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6871390"/>
        <w:docPartObj>
          <w:docPartGallery w:val="Cover Pages"/>
          <w:docPartUnique/>
        </w:docPartObj>
      </w:sdtPr>
      <w:sdtContent>
        <w:p w14:paraId="0BDD502C" w14:textId="4B0CA262" w:rsidR="0067671E" w:rsidRDefault="0067671E">
          <w:r>
            <w:rPr>
              <w:noProof/>
            </w:rPr>
            <mc:AlternateContent>
              <mc:Choice Requires="wpg">
                <w:drawing>
                  <wp:anchor distT="0" distB="0" distL="114300" distR="114300" simplePos="0" relativeHeight="251662336" behindDoc="0" locked="0" layoutInCell="1" allowOverlap="1" wp14:anchorId="44596B45" wp14:editId="357514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8C3A3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96C173" wp14:editId="1D884F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EADACC" w14:textId="24257A26" w:rsidR="0067671E" w:rsidRDefault="0067671E">
                                    <w:pPr>
                                      <w:pStyle w:val="NoSpacing"/>
                                      <w:jc w:val="right"/>
                                      <w:rPr>
                                        <w:color w:val="595959" w:themeColor="text1" w:themeTint="A6"/>
                                        <w:sz w:val="28"/>
                                        <w:szCs w:val="28"/>
                                      </w:rPr>
                                    </w:pPr>
                                    <w:r>
                                      <w:rPr>
                                        <w:color w:val="595959" w:themeColor="text1" w:themeTint="A6"/>
                                        <w:sz w:val="28"/>
                                        <w:szCs w:val="28"/>
                                      </w:rPr>
                                      <w:t>Jack Banner (2200212)</w:t>
                                    </w:r>
                                  </w:p>
                                </w:sdtContent>
                              </w:sdt>
                              <w:p w14:paraId="21D8A405" w14:textId="0CE204D6" w:rsidR="0067671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7671E">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96C17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EADACC" w14:textId="24257A26" w:rsidR="0067671E" w:rsidRDefault="0067671E">
                              <w:pPr>
                                <w:pStyle w:val="NoSpacing"/>
                                <w:jc w:val="right"/>
                                <w:rPr>
                                  <w:color w:val="595959" w:themeColor="text1" w:themeTint="A6"/>
                                  <w:sz w:val="28"/>
                                  <w:szCs w:val="28"/>
                                </w:rPr>
                              </w:pPr>
                              <w:r>
                                <w:rPr>
                                  <w:color w:val="595959" w:themeColor="text1" w:themeTint="A6"/>
                                  <w:sz w:val="28"/>
                                  <w:szCs w:val="28"/>
                                </w:rPr>
                                <w:t>Jack Banner (2200212)</w:t>
                              </w:r>
                            </w:p>
                          </w:sdtContent>
                        </w:sdt>
                        <w:p w14:paraId="21D8A405" w14:textId="0CE204D6" w:rsidR="0067671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7671E">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45375B" wp14:editId="3EBE5A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9CE64" w14:textId="6032684F" w:rsidR="0067671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671E">
                                      <w:rPr>
                                        <w:caps/>
                                        <w:color w:val="4472C4" w:themeColor="accent1"/>
                                        <w:sz w:val="64"/>
                                        <w:szCs w:val="64"/>
                                      </w:rPr>
                                      <w:t>Common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1FB17E" w14:textId="0A49AAC4" w:rsidR="0067671E" w:rsidRDefault="0067671E">
                                    <w:pPr>
                                      <w:jc w:val="right"/>
                                      <w:rPr>
                                        <w:smallCaps/>
                                        <w:color w:val="404040" w:themeColor="text1" w:themeTint="BF"/>
                                        <w:sz w:val="36"/>
                                        <w:szCs w:val="36"/>
                                      </w:rPr>
                                    </w:pPr>
                                    <w:r>
                                      <w:rPr>
                                        <w:color w:val="404040" w:themeColor="text1" w:themeTint="BF"/>
                                        <w:sz w:val="36"/>
                                        <w:szCs w:val="36"/>
                                      </w:rPr>
                                      <w:t>BMPL40</w:t>
                                    </w:r>
                                    <w:r w:rsidR="006073E2">
                                      <w:rPr>
                                        <w:color w:val="404040" w:themeColor="text1" w:themeTint="BF"/>
                                        <w:sz w:val="36"/>
                                        <w:szCs w:val="36"/>
                                      </w:rPr>
                                      <w:t>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45375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D69CE64" w14:textId="6032684F" w:rsidR="0067671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671E">
                                <w:rPr>
                                  <w:caps/>
                                  <w:color w:val="4472C4" w:themeColor="accent1"/>
                                  <w:sz w:val="64"/>
                                  <w:szCs w:val="64"/>
                                </w:rPr>
                                <w:t>Common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1FB17E" w14:textId="0A49AAC4" w:rsidR="0067671E" w:rsidRDefault="0067671E">
                              <w:pPr>
                                <w:jc w:val="right"/>
                                <w:rPr>
                                  <w:smallCaps/>
                                  <w:color w:val="404040" w:themeColor="text1" w:themeTint="BF"/>
                                  <w:sz w:val="36"/>
                                  <w:szCs w:val="36"/>
                                </w:rPr>
                              </w:pPr>
                              <w:r>
                                <w:rPr>
                                  <w:color w:val="404040" w:themeColor="text1" w:themeTint="BF"/>
                                  <w:sz w:val="36"/>
                                  <w:szCs w:val="36"/>
                                </w:rPr>
                                <w:t>BMPL40</w:t>
                              </w:r>
                              <w:r w:rsidR="006073E2">
                                <w:rPr>
                                  <w:color w:val="404040" w:themeColor="text1" w:themeTint="BF"/>
                                  <w:sz w:val="36"/>
                                  <w:szCs w:val="36"/>
                                </w:rPr>
                                <w:t>11</w:t>
                              </w:r>
                            </w:p>
                          </w:sdtContent>
                        </w:sdt>
                      </w:txbxContent>
                    </v:textbox>
                    <w10:wrap type="square" anchorx="page" anchory="page"/>
                  </v:shape>
                </w:pict>
              </mc:Fallback>
            </mc:AlternateContent>
          </w:r>
        </w:p>
        <w:p w14:paraId="5E5787A5" w14:textId="7A00410C" w:rsidR="0067671E" w:rsidRDefault="0067671E">
          <w:r>
            <w:br w:type="page"/>
          </w:r>
        </w:p>
      </w:sdtContent>
    </w:sdt>
    <w:sdt>
      <w:sdtPr>
        <w:rPr>
          <w:rFonts w:asciiTheme="minorHAnsi" w:eastAsiaTheme="minorHAnsi" w:hAnsiTheme="minorHAnsi" w:cstheme="minorBidi"/>
          <w:color w:val="auto"/>
          <w:sz w:val="22"/>
          <w:szCs w:val="22"/>
          <w:lang w:val="en-GB"/>
        </w:rPr>
        <w:id w:val="145328156"/>
        <w:docPartObj>
          <w:docPartGallery w:val="Table of Contents"/>
          <w:docPartUnique/>
        </w:docPartObj>
      </w:sdtPr>
      <w:sdtEndPr>
        <w:rPr>
          <w:b/>
          <w:bCs/>
          <w:noProof/>
        </w:rPr>
      </w:sdtEndPr>
      <w:sdtContent>
        <w:p w14:paraId="48EFE2D1" w14:textId="004F7C00" w:rsidR="000710DF" w:rsidRDefault="000710DF">
          <w:pPr>
            <w:pStyle w:val="TOCHeading"/>
          </w:pPr>
          <w:r>
            <w:t>Contents</w:t>
          </w:r>
        </w:p>
        <w:p w14:paraId="1A8BA7A5" w14:textId="277CD0A3" w:rsidR="00D2322F" w:rsidRDefault="000710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288726" w:history="1">
            <w:r w:rsidR="00D2322F" w:rsidRPr="007A71E5">
              <w:rPr>
                <w:rStyle w:val="Hyperlink"/>
                <w:noProof/>
              </w:rPr>
              <w:t>Introduction</w:t>
            </w:r>
            <w:r w:rsidR="00D2322F">
              <w:rPr>
                <w:noProof/>
                <w:webHidden/>
              </w:rPr>
              <w:tab/>
            </w:r>
            <w:r w:rsidR="00D2322F">
              <w:rPr>
                <w:noProof/>
                <w:webHidden/>
              </w:rPr>
              <w:fldChar w:fldCharType="begin"/>
            </w:r>
            <w:r w:rsidR="00D2322F">
              <w:rPr>
                <w:noProof/>
                <w:webHidden/>
              </w:rPr>
              <w:instrText xml:space="preserve"> PAGEREF _Toc129288726 \h </w:instrText>
            </w:r>
            <w:r w:rsidR="00D2322F">
              <w:rPr>
                <w:noProof/>
                <w:webHidden/>
              </w:rPr>
            </w:r>
            <w:r w:rsidR="00D2322F">
              <w:rPr>
                <w:noProof/>
                <w:webHidden/>
              </w:rPr>
              <w:fldChar w:fldCharType="separate"/>
            </w:r>
            <w:r w:rsidR="00D2322F">
              <w:rPr>
                <w:noProof/>
                <w:webHidden/>
              </w:rPr>
              <w:t>2</w:t>
            </w:r>
            <w:r w:rsidR="00D2322F">
              <w:rPr>
                <w:noProof/>
                <w:webHidden/>
              </w:rPr>
              <w:fldChar w:fldCharType="end"/>
            </w:r>
          </w:hyperlink>
        </w:p>
        <w:p w14:paraId="7AAB2DD8" w14:textId="1BD2B872" w:rsidR="00D2322F" w:rsidRDefault="00000000">
          <w:pPr>
            <w:pStyle w:val="TOC1"/>
            <w:tabs>
              <w:tab w:val="right" w:leader="dot" w:pos="9016"/>
            </w:tabs>
            <w:rPr>
              <w:rFonts w:eastAsiaTheme="minorEastAsia"/>
              <w:noProof/>
              <w:lang w:eastAsia="en-GB"/>
            </w:rPr>
          </w:pPr>
          <w:hyperlink w:anchor="_Toc129288727" w:history="1">
            <w:r w:rsidR="00D2322F" w:rsidRPr="007A71E5">
              <w:rPr>
                <w:rStyle w:val="Hyperlink"/>
                <w:noProof/>
              </w:rPr>
              <w:t>Common Law History</w:t>
            </w:r>
            <w:r w:rsidR="00D2322F">
              <w:rPr>
                <w:noProof/>
                <w:webHidden/>
              </w:rPr>
              <w:tab/>
            </w:r>
            <w:r w:rsidR="00D2322F">
              <w:rPr>
                <w:noProof/>
                <w:webHidden/>
              </w:rPr>
              <w:fldChar w:fldCharType="begin"/>
            </w:r>
            <w:r w:rsidR="00D2322F">
              <w:rPr>
                <w:noProof/>
                <w:webHidden/>
              </w:rPr>
              <w:instrText xml:space="preserve"> PAGEREF _Toc129288727 \h </w:instrText>
            </w:r>
            <w:r w:rsidR="00D2322F">
              <w:rPr>
                <w:noProof/>
                <w:webHidden/>
              </w:rPr>
            </w:r>
            <w:r w:rsidR="00D2322F">
              <w:rPr>
                <w:noProof/>
                <w:webHidden/>
              </w:rPr>
              <w:fldChar w:fldCharType="separate"/>
            </w:r>
            <w:r w:rsidR="00D2322F">
              <w:rPr>
                <w:noProof/>
                <w:webHidden/>
              </w:rPr>
              <w:t>2</w:t>
            </w:r>
            <w:r w:rsidR="00D2322F">
              <w:rPr>
                <w:noProof/>
                <w:webHidden/>
              </w:rPr>
              <w:fldChar w:fldCharType="end"/>
            </w:r>
          </w:hyperlink>
        </w:p>
        <w:p w14:paraId="140AAD8F" w14:textId="71ED47C2" w:rsidR="00D2322F" w:rsidRDefault="00000000">
          <w:pPr>
            <w:pStyle w:val="TOC1"/>
            <w:tabs>
              <w:tab w:val="right" w:leader="dot" w:pos="9016"/>
            </w:tabs>
            <w:rPr>
              <w:rFonts w:eastAsiaTheme="minorEastAsia"/>
              <w:noProof/>
              <w:lang w:eastAsia="en-GB"/>
            </w:rPr>
          </w:pPr>
          <w:hyperlink w:anchor="_Toc129288728" w:history="1">
            <w:r w:rsidR="00D2322F" w:rsidRPr="007A71E5">
              <w:rPr>
                <w:rStyle w:val="Hyperlink"/>
                <w:noProof/>
              </w:rPr>
              <w:t>Common Law Advantages and Disadvantages.</w:t>
            </w:r>
            <w:r w:rsidR="00D2322F">
              <w:rPr>
                <w:noProof/>
                <w:webHidden/>
              </w:rPr>
              <w:tab/>
            </w:r>
            <w:r w:rsidR="00D2322F">
              <w:rPr>
                <w:noProof/>
                <w:webHidden/>
              </w:rPr>
              <w:fldChar w:fldCharType="begin"/>
            </w:r>
            <w:r w:rsidR="00D2322F">
              <w:rPr>
                <w:noProof/>
                <w:webHidden/>
              </w:rPr>
              <w:instrText xml:space="preserve"> PAGEREF _Toc129288728 \h </w:instrText>
            </w:r>
            <w:r w:rsidR="00D2322F">
              <w:rPr>
                <w:noProof/>
                <w:webHidden/>
              </w:rPr>
            </w:r>
            <w:r w:rsidR="00D2322F">
              <w:rPr>
                <w:noProof/>
                <w:webHidden/>
              </w:rPr>
              <w:fldChar w:fldCharType="separate"/>
            </w:r>
            <w:r w:rsidR="00D2322F">
              <w:rPr>
                <w:noProof/>
                <w:webHidden/>
              </w:rPr>
              <w:t>2</w:t>
            </w:r>
            <w:r w:rsidR="00D2322F">
              <w:rPr>
                <w:noProof/>
                <w:webHidden/>
              </w:rPr>
              <w:fldChar w:fldCharType="end"/>
            </w:r>
          </w:hyperlink>
        </w:p>
        <w:p w14:paraId="78B1049D" w14:textId="51A2CE3E" w:rsidR="00D2322F" w:rsidRDefault="00000000">
          <w:pPr>
            <w:pStyle w:val="TOC1"/>
            <w:tabs>
              <w:tab w:val="right" w:leader="dot" w:pos="9016"/>
            </w:tabs>
            <w:rPr>
              <w:rFonts w:eastAsiaTheme="minorEastAsia"/>
              <w:noProof/>
              <w:lang w:eastAsia="en-GB"/>
            </w:rPr>
          </w:pPr>
          <w:hyperlink w:anchor="_Toc129288729" w:history="1">
            <w:r w:rsidR="00D2322F" w:rsidRPr="007A71E5">
              <w:rPr>
                <w:rStyle w:val="Hyperlink"/>
                <w:noProof/>
              </w:rPr>
              <w:t>Civil Law and its Differences</w:t>
            </w:r>
            <w:r w:rsidR="00D2322F">
              <w:rPr>
                <w:noProof/>
                <w:webHidden/>
              </w:rPr>
              <w:tab/>
            </w:r>
            <w:r w:rsidR="00D2322F">
              <w:rPr>
                <w:noProof/>
                <w:webHidden/>
              </w:rPr>
              <w:fldChar w:fldCharType="begin"/>
            </w:r>
            <w:r w:rsidR="00D2322F">
              <w:rPr>
                <w:noProof/>
                <w:webHidden/>
              </w:rPr>
              <w:instrText xml:space="preserve"> PAGEREF _Toc129288729 \h </w:instrText>
            </w:r>
            <w:r w:rsidR="00D2322F">
              <w:rPr>
                <w:noProof/>
                <w:webHidden/>
              </w:rPr>
            </w:r>
            <w:r w:rsidR="00D2322F">
              <w:rPr>
                <w:noProof/>
                <w:webHidden/>
              </w:rPr>
              <w:fldChar w:fldCharType="separate"/>
            </w:r>
            <w:r w:rsidR="00D2322F">
              <w:rPr>
                <w:noProof/>
                <w:webHidden/>
              </w:rPr>
              <w:t>3</w:t>
            </w:r>
            <w:r w:rsidR="00D2322F">
              <w:rPr>
                <w:noProof/>
                <w:webHidden/>
              </w:rPr>
              <w:fldChar w:fldCharType="end"/>
            </w:r>
          </w:hyperlink>
        </w:p>
        <w:p w14:paraId="3A0AE7AF" w14:textId="1B8780B0" w:rsidR="00D2322F" w:rsidRDefault="00000000">
          <w:pPr>
            <w:pStyle w:val="TOC1"/>
            <w:tabs>
              <w:tab w:val="right" w:leader="dot" w:pos="9016"/>
            </w:tabs>
            <w:rPr>
              <w:rFonts w:eastAsiaTheme="minorEastAsia"/>
              <w:noProof/>
              <w:lang w:eastAsia="en-GB"/>
            </w:rPr>
          </w:pPr>
          <w:hyperlink w:anchor="_Toc129288730" w:history="1">
            <w:r w:rsidR="00D2322F" w:rsidRPr="007A71E5">
              <w:rPr>
                <w:rStyle w:val="Hyperlink"/>
                <w:noProof/>
              </w:rPr>
              <w:t>Conclusion</w:t>
            </w:r>
            <w:r w:rsidR="00D2322F">
              <w:rPr>
                <w:noProof/>
                <w:webHidden/>
              </w:rPr>
              <w:tab/>
            </w:r>
            <w:r w:rsidR="00D2322F">
              <w:rPr>
                <w:noProof/>
                <w:webHidden/>
              </w:rPr>
              <w:fldChar w:fldCharType="begin"/>
            </w:r>
            <w:r w:rsidR="00D2322F">
              <w:rPr>
                <w:noProof/>
                <w:webHidden/>
              </w:rPr>
              <w:instrText xml:space="preserve"> PAGEREF _Toc129288730 \h </w:instrText>
            </w:r>
            <w:r w:rsidR="00D2322F">
              <w:rPr>
                <w:noProof/>
                <w:webHidden/>
              </w:rPr>
            </w:r>
            <w:r w:rsidR="00D2322F">
              <w:rPr>
                <w:noProof/>
                <w:webHidden/>
              </w:rPr>
              <w:fldChar w:fldCharType="separate"/>
            </w:r>
            <w:r w:rsidR="00D2322F">
              <w:rPr>
                <w:noProof/>
                <w:webHidden/>
              </w:rPr>
              <w:t>4</w:t>
            </w:r>
            <w:r w:rsidR="00D2322F">
              <w:rPr>
                <w:noProof/>
                <w:webHidden/>
              </w:rPr>
              <w:fldChar w:fldCharType="end"/>
            </w:r>
          </w:hyperlink>
        </w:p>
        <w:p w14:paraId="4F66E6BC" w14:textId="451B76F7" w:rsidR="00D2322F" w:rsidRDefault="00000000">
          <w:pPr>
            <w:pStyle w:val="TOC1"/>
            <w:tabs>
              <w:tab w:val="right" w:leader="dot" w:pos="9016"/>
            </w:tabs>
            <w:rPr>
              <w:rFonts w:eastAsiaTheme="minorEastAsia"/>
              <w:noProof/>
              <w:lang w:eastAsia="en-GB"/>
            </w:rPr>
          </w:pPr>
          <w:hyperlink w:anchor="_Toc129288731" w:history="1">
            <w:r w:rsidR="00D2322F" w:rsidRPr="007A71E5">
              <w:rPr>
                <w:rStyle w:val="Hyperlink"/>
                <w:noProof/>
              </w:rPr>
              <w:t>Bibliography</w:t>
            </w:r>
            <w:r w:rsidR="00D2322F">
              <w:rPr>
                <w:noProof/>
                <w:webHidden/>
              </w:rPr>
              <w:tab/>
            </w:r>
            <w:r w:rsidR="00D2322F">
              <w:rPr>
                <w:noProof/>
                <w:webHidden/>
              </w:rPr>
              <w:fldChar w:fldCharType="begin"/>
            </w:r>
            <w:r w:rsidR="00D2322F">
              <w:rPr>
                <w:noProof/>
                <w:webHidden/>
              </w:rPr>
              <w:instrText xml:space="preserve"> PAGEREF _Toc129288731 \h </w:instrText>
            </w:r>
            <w:r w:rsidR="00D2322F">
              <w:rPr>
                <w:noProof/>
                <w:webHidden/>
              </w:rPr>
            </w:r>
            <w:r w:rsidR="00D2322F">
              <w:rPr>
                <w:noProof/>
                <w:webHidden/>
              </w:rPr>
              <w:fldChar w:fldCharType="separate"/>
            </w:r>
            <w:r w:rsidR="00D2322F">
              <w:rPr>
                <w:noProof/>
                <w:webHidden/>
              </w:rPr>
              <w:t>5</w:t>
            </w:r>
            <w:r w:rsidR="00D2322F">
              <w:rPr>
                <w:noProof/>
                <w:webHidden/>
              </w:rPr>
              <w:fldChar w:fldCharType="end"/>
            </w:r>
          </w:hyperlink>
        </w:p>
        <w:p w14:paraId="35DD4338" w14:textId="39AEA30C" w:rsidR="000710DF" w:rsidRDefault="000710DF">
          <w:r>
            <w:rPr>
              <w:b/>
              <w:bCs/>
              <w:noProof/>
            </w:rPr>
            <w:fldChar w:fldCharType="end"/>
          </w:r>
        </w:p>
      </w:sdtContent>
    </w:sdt>
    <w:p w14:paraId="581ECD8B" w14:textId="2378CB83" w:rsidR="000710DF" w:rsidRDefault="000710DF"/>
    <w:p w14:paraId="6C242812" w14:textId="77777777" w:rsidR="000710DF" w:rsidRDefault="000710DF">
      <w:r>
        <w:br w:type="page"/>
      </w:r>
    </w:p>
    <w:p w14:paraId="3CD3C6A7" w14:textId="034837BC" w:rsidR="000710DF" w:rsidRDefault="000710DF" w:rsidP="000710DF">
      <w:pPr>
        <w:pStyle w:val="Heading1"/>
      </w:pPr>
      <w:bookmarkStart w:id="0" w:name="_Toc129288726"/>
      <w:r>
        <w:lastRenderedPageBreak/>
        <w:t>Introduction</w:t>
      </w:r>
      <w:bookmarkEnd w:id="0"/>
    </w:p>
    <w:p w14:paraId="07D51D02" w14:textId="02514FCF" w:rsidR="009B17CB" w:rsidRDefault="00F53DC0">
      <w:r>
        <w:t xml:space="preserve">     Like many others around the world, the legal system of England and Wales is a common law one</w:t>
      </w:r>
      <w:r w:rsidR="009D3CFA">
        <w:t xml:space="preserve">, meaning that the law will derive from both </w:t>
      </w:r>
      <w:r w:rsidR="00DF75F5">
        <w:t>statute</w:t>
      </w:r>
      <w:r w:rsidR="009D3CFA">
        <w:t xml:space="preserve"> and </w:t>
      </w:r>
      <w:r w:rsidR="008528AA">
        <w:t xml:space="preserve">precedent set through judicial proceedings </w:t>
      </w:r>
      <w:r w:rsidR="00AB1CD2">
        <w:rPr>
          <w:color w:val="000000"/>
          <w:shd w:val="clear" w:color="auto" w:fill="FFFFFF"/>
        </w:rPr>
        <w:t>(</w:t>
      </w:r>
      <w:r w:rsidR="004F3173">
        <w:rPr>
          <w:color w:val="000000"/>
          <w:shd w:val="clear" w:color="auto" w:fill="FFFFFF"/>
        </w:rPr>
        <w:t>University of Oxford</w:t>
      </w:r>
      <w:r w:rsidR="00AB1CD2">
        <w:rPr>
          <w:color w:val="000000"/>
          <w:shd w:val="clear" w:color="auto" w:fill="FFFFFF"/>
        </w:rPr>
        <w:t>, 2021)</w:t>
      </w:r>
      <w:r w:rsidR="00095AC2">
        <w:t>.</w:t>
      </w:r>
      <w:r w:rsidR="00AB1CD2">
        <w:t xml:space="preserve"> </w:t>
      </w:r>
      <w:r w:rsidR="00B57E58">
        <w:t xml:space="preserve"> </w:t>
      </w:r>
      <w:r w:rsidR="005E177A">
        <w:t xml:space="preserve">There is also another law system, </w:t>
      </w:r>
      <w:r w:rsidR="008115F3">
        <w:t>c</w:t>
      </w:r>
      <w:r w:rsidR="005E177A">
        <w:t xml:space="preserve">ivil </w:t>
      </w:r>
      <w:r w:rsidR="008115F3">
        <w:t>l</w:t>
      </w:r>
      <w:r w:rsidR="005E177A">
        <w:t>aw</w:t>
      </w:r>
      <w:r w:rsidR="008115F3">
        <w:t xml:space="preserve"> which</w:t>
      </w:r>
      <w:r w:rsidR="005E177A">
        <w:t xml:space="preserve"> can be seen throughout Europe, Latin </w:t>
      </w:r>
      <w:r w:rsidR="00DF75F5">
        <w:t>America</w:t>
      </w:r>
      <w:r w:rsidR="00011ED7">
        <w:t xml:space="preserve">, </w:t>
      </w:r>
      <w:r w:rsidR="005E177A">
        <w:t>Asia</w:t>
      </w:r>
      <w:r w:rsidR="00011ED7">
        <w:t>, Africa</w:t>
      </w:r>
      <w:r w:rsidR="000A7567">
        <w:t>,</w:t>
      </w:r>
      <w:r w:rsidR="00011ED7">
        <w:t xml:space="preserve"> and the Middle East</w:t>
      </w:r>
      <w:r w:rsidR="00927BCF">
        <w:t xml:space="preserve"> </w:t>
      </w:r>
      <w:r w:rsidR="00927BCF" w:rsidRPr="00927BCF">
        <w:t>(Demopoulos, 1971)</w:t>
      </w:r>
      <w:r w:rsidR="00011ED7">
        <w:t>.</w:t>
      </w:r>
      <w:r w:rsidR="00EB6F2C">
        <w:t xml:space="preserve"> Throughout this </w:t>
      </w:r>
      <w:r w:rsidR="00653497">
        <w:t>document</w:t>
      </w:r>
      <w:r w:rsidR="000A7567">
        <w:t>,</w:t>
      </w:r>
      <w:r w:rsidR="00653497">
        <w:t xml:space="preserve"> I will explore what each system is, </w:t>
      </w:r>
      <w:r w:rsidR="000A7567">
        <w:t>its</w:t>
      </w:r>
      <w:r w:rsidR="00653497">
        <w:t xml:space="preserve"> benefit</w:t>
      </w:r>
      <w:r w:rsidR="00FB11EC">
        <w:t>s</w:t>
      </w:r>
      <w:r w:rsidR="00653497">
        <w:t>,</w:t>
      </w:r>
      <w:r w:rsidR="000A7567">
        <w:t xml:space="preserve"> </w:t>
      </w:r>
      <w:r w:rsidR="00653497">
        <w:t>downfalls and compare them to ultimately find wh</w:t>
      </w:r>
      <w:r w:rsidR="009B17CB">
        <w:t xml:space="preserve">ich of the systems is better in </w:t>
      </w:r>
      <w:r w:rsidR="00FB11EC">
        <w:t xml:space="preserve">the </w:t>
      </w:r>
      <w:r w:rsidR="009B17CB">
        <w:t>application.</w:t>
      </w:r>
    </w:p>
    <w:p w14:paraId="7CFD5C63" w14:textId="77777777" w:rsidR="009B17CB" w:rsidRDefault="009B17CB"/>
    <w:p w14:paraId="257EF810" w14:textId="500B272E" w:rsidR="00BA08EB" w:rsidRDefault="009B17CB" w:rsidP="00BA08EB">
      <w:pPr>
        <w:pStyle w:val="Heading1"/>
      </w:pPr>
      <w:bookmarkStart w:id="1" w:name="_Toc129288727"/>
      <w:r>
        <w:t>Common Law</w:t>
      </w:r>
      <w:r w:rsidR="003D3ABC">
        <w:t xml:space="preserve"> History</w:t>
      </w:r>
      <w:bookmarkEnd w:id="1"/>
    </w:p>
    <w:p w14:paraId="2A92A29A" w14:textId="2AE690BC" w:rsidR="00B3657B" w:rsidRDefault="00BA08EB" w:rsidP="00BA08EB">
      <w:pPr>
        <w:rPr>
          <w:color w:val="000000"/>
          <w:shd w:val="clear" w:color="auto" w:fill="FFFFFF"/>
        </w:rPr>
      </w:pPr>
      <w:r>
        <w:t xml:space="preserve">     As stated above, common law is </w:t>
      </w:r>
      <w:r w:rsidR="002F4156">
        <w:t xml:space="preserve">used by the legal system of England and Wales and is set through both </w:t>
      </w:r>
      <w:r w:rsidR="00E74DAE">
        <w:t xml:space="preserve">judicial precedent and statute in UK law </w:t>
      </w:r>
      <w:r w:rsidR="00E74DAE">
        <w:rPr>
          <w:color w:val="000000"/>
          <w:shd w:val="clear" w:color="auto" w:fill="FFFFFF"/>
        </w:rPr>
        <w:t>(</w:t>
      </w:r>
      <w:r w:rsidR="004F3173">
        <w:rPr>
          <w:color w:val="000000"/>
          <w:shd w:val="clear" w:color="auto" w:fill="FFFFFF"/>
        </w:rPr>
        <w:t>University of Oxford</w:t>
      </w:r>
      <w:r w:rsidR="00E74DAE">
        <w:rPr>
          <w:color w:val="000000"/>
          <w:shd w:val="clear" w:color="auto" w:fill="FFFFFF"/>
        </w:rPr>
        <w:t>, 2021).</w:t>
      </w:r>
      <w:r w:rsidR="00666D37">
        <w:rPr>
          <w:color w:val="000000"/>
          <w:shd w:val="clear" w:color="auto" w:fill="FFFFFF"/>
        </w:rPr>
        <w:t xml:space="preserve"> </w:t>
      </w:r>
      <w:r w:rsidR="009F6B81">
        <w:rPr>
          <w:color w:val="000000"/>
          <w:shd w:val="clear" w:color="auto" w:fill="FFFFFF"/>
        </w:rPr>
        <w:t>Many major countries around the world, along with the UK, operate with common law systems. Some of these countries include the United States, Canada, Australia</w:t>
      </w:r>
      <w:r w:rsidR="00FA1C88">
        <w:rPr>
          <w:color w:val="000000"/>
          <w:shd w:val="clear" w:color="auto" w:fill="FFFFFF"/>
        </w:rPr>
        <w:t>, India</w:t>
      </w:r>
      <w:r w:rsidR="002C7BC8">
        <w:rPr>
          <w:color w:val="000000"/>
          <w:shd w:val="clear" w:color="auto" w:fill="FFFFFF"/>
        </w:rPr>
        <w:t>,</w:t>
      </w:r>
      <w:r w:rsidR="00FA1C88">
        <w:rPr>
          <w:color w:val="000000"/>
          <w:shd w:val="clear" w:color="auto" w:fill="FFFFFF"/>
        </w:rPr>
        <w:t xml:space="preserve"> and even Singapore</w:t>
      </w:r>
      <w:r w:rsidR="003D56CC">
        <w:rPr>
          <w:color w:val="000000"/>
          <w:shd w:val="clear" w:color="auto" w:fill="FFFFFF"/>
        </w:rPr>
        <w:t xml:space="preserve"> (University of Oxford, 2023).</w:t>
      </w:r>
      <w:r w:rsidR="00BE6CDD">
        <w:rPr>
          <w:color w:val="000000"/>
          <w:shd w:val="clear" w:color="auto" w:fill="FFFFFF"/>
        </w:rPr>
        <w:t xml:space="preserve"> </w:t>
      </w:r>
      <w:r w:rsidR="00A90B68">
        <w:rPr>
          <w:color w:val="000000"/>
          <w:shd w:val="clear" w:color="auto" w:fill="FFFFFF"/>
        </w:rPr>
        <w:t>You may realise that many of the listed countries are former members of the British Empire.</w:t>
      </w:r>
      <w:r w:rsidR="001629A3">
        <w:rPr>
          <w:color w:val="000000"/>
          <w:shd w:val="clear" w:color="auto" w:fill="FFFFFF"/>
        </w:rPr>
        <w:t xml:space="preserve"> Hailing from England, </w:t>
      </w:r>
      <w:r w:rsidR="00C83963">
        <w:rPr>
          <w:color w:val="000000"/>
          <w:shd w:val="clear" w:color="auto" w:fill="FFFFFF"/>
        </w:rPr>
        <w:t>this makes sense why these countries have common law systems in place.</w:t>
      </w:r>
      <w:r w:rsidR="00A90B68">
        <w:rPr>
          <w:color w:val="000000"/>
          <w:shd w:val="clear" w:color="auto" w:fill="FFFFFF"/>
        </w:rPr>
        <w:t xml:space="preserve"> </w:t>
      </w:r>
      <w:r w:rsidR="00BE6CDD">
        <w:rPr>
          <w:color w:val="000000"/>
          <w:shd w:val="clear" w:color="auto" w:fill="FFFFFF"/>
        </w:rPr>
        <w:t xml:space="preserve">The </w:t>
      </w:r>
      <w:r w:rsidR="00800214">
        <w:rPr>
          <w:color w:val="000000"/>
          <w:shd w:val="clear" w:color="auto" w:fill="FFFFFF"/>
        </w:rPr>
        <w:t>beauty of this system</w:t>
      </w:r>
      <w:r w:rsidR="001629A3">
        <w:rPr>
          <w:color w:val="000000"/>
          <w:shd w:val="clear" w:color="auto" w:fill="FFFFFF"/>
        </w:rPr>
        <w:t xml:space="preserve"> </w:t>
      </w:r>
      <w:r w:rsidR="00800214">
        <w:rPr>
          <w:color w:val="000000"/>
          <w:shd w:val="clear" w:color="auto" w:fill="FFFFFF"/>
        </w:rPr>
        <w:t>is the flexibility provided through its use</w:t>
      </w:r>
      <w:r w:rsidR="00AA17B9">
        <w:rPr>
          <w:color w:val="000000"/>
          <w:shd w:val="clear" w:color="auto" w:fill="FFFFFF"/>
        </w:rPr>
        <w:t>, not being force</w:t>
      </w:r>
      <w:r w:rsidR="00A7487C">
        <w:rPr>
          <w:color w:val="000000"/>
          <w:shd w:val="clear" w:color="auto" w:fill="FFFFFF"/>
        </w:rPr>
        <w:t>d</w:t>
      </w:r>
      <w:r w:rsidR="00AA17B9">
        <w:rPr>
          <w:color w:val="000000"/>
          <w:shd w:val="clear" w:color="auto" w:fill="FFFFFF"/>
        </w:rPr>
        <w:t xml:space="preserve"> through</w:t>
      </w:r>
      <w:r w:rsidR="000A616F">
        <w:rPr>
          <w:color w:val="000000"/>
          <w:shd w:val="clear" w:color="auto" w:fill="FFFFFF"/>
        </w:rPr>
        <w:t xml:space="preserve"> “immutable code”. </w:t>
      </w:r>
      <w:r w:rsidR="0053683C">
        <w:rPr>
          <w:color w:val="000000"/>
          <w:shd w:val="clear" w:color="auto" w:fill="FFFFFF"/>
        </w:rPr>
        <w:t>Instead,</w:t>
      </w:r>
      <w:r w:rsidR="000A616F">
        <w:rPr>
          <w:color w:val="000000"/>
          <w:shd w:val="clear" w:color="auto" w:fill="FFFFFF"/>
        </w:rPr>
        <w:t xml:space="preserve"> common law has been allowed to </w:t>
      </w:r>
      <w:r w:rsidR="00E83CFE">
        <w:rPr>
          <w:color w:val="000000"/>
          <w:shd w:val="clear" w:color="auto" w:fill="FFFFFF"/>
        </w:rPr>
        <w:t xml:space="preserve">evolve with </w:t>
      </w:r>
      <w:r w:rsidR="00E5265F">
        <w:rPr>
          <w:color w:val="000000"/>
          <w:shd w:val="clear" w:color="auto" w:fill="FFFFFF"/>
        </w:rPr>
        <w:t xml:space="preserve">the </w:t>
      </w:r>
      <w:r w:rsidR="00E83CFE">
        <w:rPr>
          <w:color w:val="000000"/>
          <w:shd w:val="clear" w:color="auto" w:fill="FFFFFF"/>
        </w:rPr>
        <w:t xml:space="preserve">passing </w:t>
      </w:r>
      <w:r w:rsidR="00283406">
        <w:rPr>
          <w:color w:val="000000"/>
          <w:shd w:val="clear" w:color="auto" w:fill="FFFFFF"/>
        </w:rPr>
        <w:t xml:space="preserve">of </w:t>
      </w:r>
      <w:r w:rsidR="00E83CFE">
        <w:rPr>
          <w:color w:val="000000"/>
          <w:shd w:val="clear" w:color="auto" w:fill="FFFFFF"/>
        </w:rPr>
        <w:t xml:space="preserve">time </w:t>
      </w:r>
      <w:r w:rsidR="00A7487C">
        <w:rPr>
          <w:color w:val="000000"/>
          <w:shd w:val="clear" w:color="auto" w:fill="FFFFFF"/>
        </w:rPr>
        <w:t xml:space="preserve">and </w:t>
      </w:r>
      <w:r w:rsidR="00E83CFE">
        <w:rPr>
          <w:color w:val="000000"/>
          <w:shd w:val="clear" w:color="auto" w:fill="FFFFFF"/>
        </w:rPr>
        <w:t>with the decisions of judge</w:t>
      </w:r>
      <w:r w:rsidR="006941CA">
        <w:rPr>
          <w:color w:val="000000"/>
          <w:shd w:val="clear" w:color="auto" w:fill="FFFFFF"/>
        </w:rPr>
        <w:t xml:space="preserve">s </w:t>
      </w:r>
      <w:r w:rsidR="0053683C">
        <w:rPr>
          <w:color w:val="000000"/>
          <w:shd w:val="clear" w:color="auto" w:fill="FFFFFF"/>
        </w:rPr>
        <w:t>or</w:t>
      </w:r>
      <w:r w:rsidR="006941CA">
        <w:rPr>
          <w:color w:val="000000"/>
          <w:shd w:val="clear" w:color="auto" w:fill="FFFFFF"/>
        </w:rPr>
        <w:t xml:space="preserve"> kings alike, becoming evermore sophisticated and allowing </w:t>
      </w:r>
      <w:r w:rsidR="00000291">
        <w:rPr>
          <w:color w:val="000000"/>
          <w:shd w:val="clear" w:color="auto" w:fill="FFFFFF"/>
        </w:rPr>
        <w:t>it to meet the changes of circumstances through time due to the reliance on precedent</w:t>
      </w:r>
      <w:r w:rsidR="007D1242">
        <w:rPr>
          <w:color w:val="000000"/>
          <w:shd w:val="clear" w:color="auto" w:fill="FFFFFF"/>
        </w:rPr>
        <w:t xml:space="preserve"> </w:t>
      </w:r>
      <w:r w:rsidR="007D1242" w:rsidRPr="007D1242">
        <w:rPr>
          <w:color w:val="000000"/>
          <w:shd w:val="clear" w:color="auto" w:fill="FFFFFF"/>
        </w:rPr>
        <w:t>(Potter, 2015)</w:t>
      </w:r>
      <w:r w:rsidR="00000291">
        <w:rPr>
          <w:color w:val="000000"/>
          <w:shd w:val="clear" w:color="auto" w:fill="FFFFFF"/>
        </w:rPr>
        <w:t>.</w:t>
      </w:r>
      <w:r w:rsidR="0053683C">
        <w:rPr>
          <w:color w:val="000000"/>
          <w:shd w:val="clear" w:color="auto" w:fill="FFFFFF"/>
        </w:rPr>
        <w:t xml:space="preserve"> It has been held to the judiciary to interpret and make decisions based on circumstance, which promotes </w:t>
      </w:r>
      <w:r w:rsidR="00C57782">
        <w:rPr>
          <w:color w:val="000000"/>
          <w:shd w:val="clear" w:color="auto" w:fill="FFFFFF"/>
        </w:rPr>
        <w:t xml:space="preserve">flexibility while also allowing </w:t>
      </w:r>
      <w:r w:rsidR="00D65B2A">
        <w:rPr>
          <w:color w:val="000000"/>
          <w:shd w:val="clear" w:color="auto" w:fill="FFFFFF"/>
        </w:rPr>
        <w:t xml:space="preserve">some form of consistency of sentencing </w:t>
      </w:r>
      <w:r w:rsidR="00E5265F">
        <w:rPr>
          <w:color w:val="000000"/>
          <w:shd w:val="clear" w:color="auto" w:fill="FFFFFF"/>
        </w:rPr>
        <w:t>within</w:t>
      </w:r>
      <w:r w:rsidR="00D65B2A">
        <w:rPr>
          <w:color w:val="000000"/>
          <w:shd w:val="clear" w:color="auto" w:fill="FFFFFF"/>
        </w:rPr>
        <w:t xml:space="preserve"> society.</w:t>
      </w:r>
      <w:r w:rsidR="007752B7">
        <w:rPr>
          <w:color w:val="000000"/>
          <w:shd w:val="clear" w:color="auto" w:fill="FFFFFF"/>
        </w:rPr>
        <w:t xml:space="preserve"> </w:t>
      </w:r>
      <w:r w:rsidR="009F4012">
        <w:rPr>
          <w:color w:val="000000"/>
          <w:shd w:val="clear" w:color="auto" w:fill="FFFFFF"/>
        </w:rPr>
        <w:t>In the 12</w:t>
      </w:r>
      <w:r w:rsidR="009F4012" w:rsidRPr="009F4012">
        <w:rPr>
          <w:color w:val="000000"/>
          <w:shd w:val="clear" w:color="auto" w:fill="FFFFFF"/>
          <w:vertAlign w:val="superscript"/>
        </w:rPr>
        <w:t>th</w:t>
      </w:r>
      <w:r w:rsidR="009F4012">
        <w:rPr>
          <w:color w:val="000000"/>
          <w:shd w:val="clear" w:color="auto" w:fill="FFFFFF"/>
        </w:rPr>
        <w:t xml:space="preserve"> century under the reign </w:t>
      </w:r>
      <w:r w:rsidR="009A655D">
        <w:rPr>
          <w:color w:val="000000"/>
          <w:shd w:val="clear" w:color="auto" w:fill="FFFFFF"/>
        </w:rPr>
        <w:t>of King Henry II</w:t>
      </w:r>
      <w:r w:rsidR="00283406">
        <w:rPr>
          <w:color w:val="000000"/>
          <w:shd w:val="clear" w:color="auto" w:fill="FFFFFF"/>
        </w:rPr>
        <w:t>,</w:t>
      </w:r>
      <w:r w:rsidR="009A655D">
        <w:rPr>
          <w:color w:val="000000"/>
          <w:shd w:val="clear" w:color="auto" w:fill="FFFFFF"/>
        </w:rPr>
        <w:t xml:space="preserve"> we began to see the development of law as it is seen today. Prior to his reign</w:t>
      </w:r>
      <w:r w:rsidR="00194BCC">
        <w:rPr>
          <w:color w:val="000000"/>
          <w:shd w:val="clear" w:color="auto" w:fill="FFFFFF"/>
        </w:rPr>
        <w:t xml:space="preserve"> law was extremely decentralised and </w:t>
      </w:r>
      <w:r w:rsidR="00F12BC6">
        <w:rPr>
          <w:color w:val="000000"/>
          <w:shd w:val="clear" w:color="auto" w:fill="FFFFFF"/>
        </w:rPr>
        <w:t xml:space="preserve">relied heavily on local custom; however, King Henry began </w:t>
      </w:r>
      <w:r w:rsidR="00E77FCF">
        <w:rPr>
          <w:color w:val="000000"/>
          <w:shd w:val="clear" w:color="auto" w:fill="FFFFFF"/>
        </w:rPr>
        <w:t xml:space="preserve">the </w:t>
      </w:r>
      <w:r w:rsidR="00F12BC6">
        <w:rPr>
          <w:color w:val="000000"/>
          <w:shd w:val="clear" w:color="auto" w:fill="FFFFFF"/>
        </w:rPr>
        <w:t xml:space="preserve">centralisation of “common” law which would be </w:t>
      </w:r>
      <w:r w:rsidR="00504A77">
        <w:rPr>
          <w:color w:val="000000"/>
          <w:shd w:val="clear" w:color="auto" w:fill="FFFFFF"/>
        </w:rPr>
        <w:t xml:space="preserve">applied equally across the nation </w:t>
      </w:r>
      <w:r w:rsidR="0081246B">
        <w:rPr>
          <w:color w:val="000000"/>
          <w:shd w:val="clear" w:color="auto" w:fill="FFFFFF"/>
        </w:rPr>
        <w:t>(</w:t>
      </w:r>
      <w:r w:rsidR="0081246B">
        <w:t xml:space="preserve">Incorporated Council of Law Reporting, </w:t>
      </w:r>
      <w:r w:rsidR="0023622B">
        <w:t>n.d.</w:t>
      </w:r>
      <w:r w:rsidR="0081246B">
        <w:t>)</w:t>
      </w:r>
      <w:r w:rsidR="00504A77">
        <w:rPr>
          <w:color w:val="000000"/>
          <w:shd w:val="clear" w:color="auto" w:fill="FFFFFF"/>
        </w:rPr>
        <w:t>.</w:t>
      </w:r>
      <w:r w:rsidR="00C306DA">
        <w:rPr>
          <w:color w:val="000000"/>
          <w:shd w:val="clear" w:color="auto" w:fill="FFFFFF"/>
        </w:rPr>
        <w:t xml:space="preserve"> A great example of common law is the definition of the </w:t>
      </w:r>
      <w:r w:rsidR="00283406">
        <w:rPr>
          <w:color w:val="000000"/>
          <w:shd w:val="clear" w:color="auto" w:fill="FFFFFF"/>
        </w:rPr>
        <w:t>offense</w:t>
      </w:r>
      <w:r w:rsidR="00C306DA">
        <w:rPr>
          <w:color w:val="000000"/>
          <w:shd w:val="clear" w:color="auto" w:fill="FFFFFF"/>
        </w:rPr>
        <w:t xml:space="preserve"> of murder. </w:t>
      </w:r>
      <w:r w:rsidR="00A87B18">
        <w:rPr>
          <w:color w:val="000000"/>
          <w:shd w:val="clear" w:color="auto" w:fill="FFFFFF"/>
        </w:rPr>
        <w:t>From</w:t>
      </w:r>
      <w:r w:rsidR="00C306DA">
        <w:rPr>
          <w:color w:val="000000"/>
          <w:shd w:val="clear" w:color="auto" w:fill="FFFFFF"/>
        </w:rPr>
        <w:t xml:space="preserve"> </w:t>
      </w:r>
      <w:r w:rsidR="00343D6C">
        <w:rPr>
          <w:color w:val="000000"/>
          <w:shd w:val="clear" w:color="auto" w:fill="FFFFFF"/>
        </w:rPr>
        <w:t xml:space="preserve">a later edition of </w:t>
      </w:r>
      <w:r w:rsidR="00CA35F4">
        <w:rPr>
          <w:color w:val="000000"/>
          <w:shd w:val="clear" w:color="auto" w:fill="FFFFFF"/>
        </w:rPr>
        <w:t xml:space="preserve">Sir Edward Coke </w:t>
      </w:r>
      <w:r w:rsidR="00A87B18">
        <w:rPr>
          <w:color w:val="000000"/>
          <w:shd w:val="clear" w:color="auto" w:fill="FFFFFF"/>
        </w:rPr>
        <w:t xml:space="preserve">in 1797 from the </w:t>
      </w:r>
      <w:r w:rsidR="00CA35F4" w:rsidRPr="00CA35F4">
        <w:rPr>
          <w:color w:val="000000"/>
          <w:shd w:val="clear" w:color="auto" w:fill="FFFFFF"/>
        </w:rPr>
        <w:t>Institutes of the Laws of England,</w:t>
      </w:r>
      <w:r w:rsidR="00A87B18">
        <w:rPr>
          <w:color w:val="000000"/>
          <w:shd w:val="clear" w:color="auto" w:fill="FFFFFF"/>
        </w:rPr>
        <w:t xml:space="preserve"> the murder is defined as</w:t>
      </w:r>
      <w:r w:rsidR="00E9667C">
        <w:rPr>
          <w:color w:val="000000"/>
          <w:shd w:val="clear" w:color="auto" w:fill="FFFFFF"/>
        </w:rPr>
        <w:t xml:space="preserve"> </w:t>
      </w:r>
      <w:r w:rsidR="00E9667C" w:rsidRPr="00E9667C">
        <w:rPr>
          <w:color w:val="000000"/>
          <w:shd w:val="clear" w:color="auto" w:fill="FFFFFF"/>
        </w:rPr>
        <w:t>“unlawful killing of a reasonable person in being under the Queen’s peace, with malice aforethought, express or implied”</w:t>
      </w:r>
      <w:r w:rsidR="00E110F1">
        <w:rPr>
          <w:color w:val="000000"/>
          <w:shd w:val="clear" w:color="auto" w:fill="FFFFFF"/>
        </w:rPr>
        <w:t xml:space="preserve"> (Study Rocket, </w:t>
      </w:r>
      <w:r w:rsidR="0023622B">
        <w:rPr>
          <w:color w:val="000000"/>
          <w:shd w:val="clear" w:color="auto" w:fill="FFFFFF"/>
        </w:rPr>
        <w:t>n.d.</w:t>
      </w:r>
      <w:r w:rsidR="00E110F1">
        <w:rPr>
          <w:color w:val="000000"/>
          <w:shd w:val="clear" w:color="auto" w:fill="FFFFFF"/>
        </w:rPr>
        <w:t>)</w:t>
      </w:r>
      <w:r w:rsidR="00B03C04">
        <w:rPr>
          <w:color w:val="000000"/>
          <w:shd w:val="clear" w:color="auto" w:fill="FFFFFF"/>
        </w:rPr>
        <w:t>.</w:t>
      </w:r>
      <w:r w:rsidR="007F3F9E">
        <w:rPr>
          <w:color w:val="000000"/>
          <w:shd w:val="clear" w:color="auto" w:fill="FFFFFF"/>
        </w:rPr>
        <w:t xml:space="preserve"> </w:t>
      </w:r>
    </w:p>
    <w:p w14:paraId="597D378D" w14:textId="77777777" w:rsidR="00B3657B" w:rsidRDefault="00B3657B" w:rsidP="00BA08EB"/>
    <w:p w14:paraId="2A2F736F" w14:textId="350A6F7A" w:rsidR="00B3657B" w:rsidRDefault="00B3657B" w:rsidP="00B3657B">
      <w:pPr>
        <w:pStyle w:val="Heading1"/>
      </w:pPr>
      <w:bookmarkStart w:id="2" w:name="_Toc129288728"/>
      <w:r>
        <w:t>Common Law Advantages</w:t>
      </w:r>
      <w:r w:rsidR="002C3B46">
        <w:t xml:space="preserve"> and Disadvantages</w:t>
      </w:r>
      <w:r>
        <w:t>.</w:t>
      </w:r>
      <w:bookmarkEnd w:id="2"/>
    </w:p>
    <w:p w14:paraId="641191C8" w14:textId="77777777" w:rsidR="00D7546B" w:rsidRDefault="00B3657B" w:rsidP="00B3657B">
      <w:r>
        <w:t xml:space="preserve">     </w:t>
      </w:r>
      <w:r w:rsidR="00F55EF5">
        <w:t xml:space="preserve">Like anything, common law systems will come with both their advantages and their disadvantages. </w:t>
      </w:r>
      <w:r w:rsidR="002C3B46">
        <w:t xml:space="preserve">To start, one of the advantages that I have already mentioned </w:t>
      </w:r>
      <w:r w:rsidR="00D660A6">
        <w:t>is</w:t>
      </w:r>
      <w:r w:rsidR="002C3B46">
        <w:t xml:space="preserve"> flexibility.</w:t>
      </w:r>
      <w:r w:rsidR="00085DDC">
        <w:t xml:space="preserve"> </w:t>
      </w:r>
      <w:r w:rsidR="00D660A6">
        <w:t>With the</w:t>
      </w:r>
      <w:r w:rsidR="0017214D">
        <w:t xml:space="preserve"> use of </w:t>
      </w:r>
      <w:r w:rsidR="000C69D9">
        <w:t>precedent and</w:t>
      </w:r>
      <w:r w:rsidR="00D660A6">
        <w:t xml:space="preserve"> </w:t>
      </w:r>
      <w:r w:rsidR="0017214D">
        <w:t xml:space="preserve">trusting judges as somewhat champions of the law we can continuously </w:t>
      </w:r>
      <w:r w:rsidR="00BD66C7">
        <w:t xml:space="preserve">adapt to </w:t>
      </w:r>
      <w:r w:rsidR="00D660A6">
        <w:t>an ever-changing</w:t>
      </w:r>
      <w:r w:rsidR="00BD66C7">
        <w:t xml:space="preserve"> society. This is extremely important in the UK to ensure that </w:t>
      </w:r>
      <w:r w:rsidR="00F76D98">
        <w:t xml:space="preserve">decisions are being made in relation to </w:t>
      </w:r>
      <w:r w:rsidR="00C450FA">
        <w:t xml:space="preserve">our society, not the generations of the past. </w:t>
      </w:r>
      <w:r w:rsidR="004C220F">
        <w:t xml:space="preserve">In </w:t>
      </w:r>
      <w:r w:rsidR="00A93D77">
        <w:t xml:space="preserve">the UK we still have </w:t>
      </w:r>
      <w:r w:rsidR="004C220F">
        <w:t xml:space="preserve">older statue such as the Offences Against the Person </w:t>
      </w:r>
      <w:r w:rsidR="00A93D77">
        <w:t xml:space="preserve">Act 1861 that is still being used in </w:t>
      </w:r>
      <w:r w:rsidR="007B73B0">
        <w:t>practic</w:t>
      </w:r>
      <w:r w:rsidR="001D25B2">
        <w:t>ed</w:t>
      </w:r>
      <w:r w:rsidR="007B73B0">
        <w:t xml:space="preserve"> law, and it is far harder to change decision</w:t>
      </w:r>
      <w:r w:rsidR="00B11B4D">
        <w:t xml:space="preserve"> guidance</w:t>
      </w:r>
      <w:r w:rsidR="007B73B0">
        <w:t xml:space="preserve"> through new legislation being passed. With </w:t>
      </w:r>
      <w:r w:rsidR="00B11B4D">
        <w:t xml:space="preserve">the use of precedent through case law, we have far more options to allow </w:t>
      </w:r>
      <w:r w:rsidR="000C69D9">
        <w:t>decision-making</w:t>
      </w:r>
      <w:r w:rsidR="00B11B4D">
        <w:t xml:space="preserve"> to evolve with different circumstances and changing times.</w:t>
      </w:r>
      <w:r w:rsidR="00105D5A">
        <w:t xml:space="preserve"> Inevitably, there will be </w:t>
      </w:r>
      <w:r w:rsidR="00B761C4">
        <w:t xml:space="preserve">situations that were not anticipated by the original lawmakers of certain </w:t>
      </w:r>
      <w:r w:rsidR="000C69D9">
        <w:t>statutes</w:t>
      </w:r>
      <w:r w:rsidR="00B761C4">
        <w:t>, putting common law countries in good stead to deal with these sit</w:t>
      </w:r>
      <w:r w:rsidR="006F40E9">
        <w:t>uations if and when they arise.</w:t>
      </w:r>
      <w:r w:rsidR="0004044E">
        <w:t xml:space="preserve"> Even with the inclusion of </w:t>
      </w:r>
      <w:r w:rsidR="00CD17BC">
        <w:t>decisions driven by personal agenda, on average the use of the precedent doctrine</w:t>
      </w:r>
      <w:r w:rsidR="00947CB3">
        <w:t xml:space="preserve"> will</w:t>
      </w:r>
      <w:r w:rsidR="00EB2BEF">
        <w:t xml:space="preserve"> begin to render out </w:t>
      </w:r>
      <w:r w:rsidR="000C69D9">
        <w:t>decisions</w:t>
      </w:r>
      <w:r w:rsidR="00EB2BEF">
        <w:t xml:space="preserve"> made with a bias, ultimately rendering </w:t>
      </w:r>
      <w:r w:rsidR="003855B0">
        <w:t>the law more precise</w:t>
      </w:r>
      <w:r w:rsidR="009E3FA7">
        <w:t xml:space="preserve"> </w:t>
      </w:r>
      <w:r w:rsidR="009E3FA7" w:rsidRPr="009E3FA7">
        <w:t>(Gennaioli and Shleifer, 2007)</w:t>
      </w:r>
      <w:r w:rsidR="003855B0">
        <w:t>.</w:t>
      </w:r>
      <w:r w:rsidR="000E7B0B">
        <w:t xml:space="preserve"> This then as a result adds </w:t>
      </w:r>
      <w:r w:rsidR="00C044C8">
        <w:t xml:space="preserve">a sense of stability to the law, making </w:t>
      </w:r>
      <w:r w:rsidR="000F04C0">
        <w:t xml:space="preserve">it </w:t>
      </w:r>
      <w:r w:rsidR="00C044C8">
        <w:t xml:space="preserve">more predictable and consistent </w:t>
      </w:r>
      <w:r w:rsidR="000F04C0">
        <w:t xml:space="preserve">by allowing </w:t>
      </w:r>
      <w:r w:rsidR="00C044C8">
        <w:t xml:space="preserve">cases with </w:t>
      </w:r>
      <w:r w:rsidR="00C044C8">
        <w:lastRenderedPageBreak/>
        <w:t>the same fact</w:t>
      </w:r>
      <w:r w:rsidR="00DA3AC1">
        <w:t>s</w:t>
      </w:r>
      <w:r w:rsidR="00B52C49">
        <w:t xml:space="preserve"> to be treated in the same </w:t>
      </w:r>
      <w:r w:rsidR="008E6F50">
        <w:t>manner</w:t>
      </w:r>
      <w:r w:rsidR="00B52C49">
        <w:t>.</w:t>
      </w:r>
      <w:r w:rsidR="000D1C31">
        <w:t xml:space="preserve"> </w:t>
      </w:r>
      <w:r w:rsidR="00A43C28">
        <w:t xml:space="preserve">This </w:t>
      </w:r>
      <w:r w:rsidR="008E6F50">
        <w:t>comes</w:t>
      </w:r>
      <w:r w:rsidR="00A43C28">
        <w:t xml:space="preserve"> together and makes the law, in the eyes of many, </w:t>
      </w:r>
      <w:r w:rsidR="001273F8">
        <w:t>more just and fairer</w:t>
      </w:r>
      <w:r w:rsidR="00A43C28">
        <w:t xml:space="preserve"> than other non-flexible or non-consistent approaches</w:t>
      </w:r>
      <w:r w:rsidR="000313F9">
        <w:t>, while still holding that</w:t>
      </w:r>
      <w:r w:rsidR="0057010C">
        <w:t xml:space="preserve"> stability as more than subjective decisions of individual judges</w:t>
      </w:r>
      <w:r w:rsidR="00A43C28">
        <w:t>.</w:t>
      </w:r>
      <w:r w:rsidR="00310E4B">
        <w:t xml:space="preserve"> With the advantages of </w:t>
      </w:r>
      <w:r w:rsidR="00481C51">
        <w:t>common law there also come a handful of disadvantages.</w:t>
      </w:r>
      <w:r w:rsidR="0057010C">
        <w:t xml:space="preserve"> </w:t>
      </w:r>
      <w:r w:rsidR="00592A16">
        <w:t xml:space="preserve">Some will also argue </w:t>
      </w:r>
      <w:r w:rsidR="001F5843">
        <w:t>for</w:t>
      </w:r>
      <w:r w:rsidR="00592A16">
        <w:t xml:space="preserve"> the inflexibility of common law systems.</w:t>
      </w:r>
      <w:r w:rsidR="001F5843">
        <w:t xml:space="preserve"> If a precedent is set in the </w:t>
      </w:r>
      <w:r w:rsidR="00450315">
        <w:t>past,</w:t>
      </w:r>
      <w:r w:rsidR="001F5843">
        <w:t xml:space="preserve"> it is argued that going into the future that previous decision</w:t>
      </w:r>
      <w:r w:rsidR="00BD7410">
        <w:t>s</w:t>
      </w:r>
      <w:r w:rsidR="001F5843">
        <w:t xml:space="preserve"> may not be </w:t>
      </w:r>
      <w:r w:rsidR="00BD7410">
        <w:t>the correct solutions for a case in the modern day, yet a judge would still be bound to the precedent of the past.</w:t>
      </w:r>
      <w:r w:rsidR="008022A4">
        <w:t xml:space="preserve"> This can mean that the law may not change at the pace or frequency </w:t>
      </w:r>
      <w:r w:rsidR="00450315">
        <w:t>at</w:t>
      </w:r>
      <w:r w:rsidR="008022A4">
        <w:t xml:space="preserve"> which it is required to do so</w:t>
      </w:r>
      <w:r w:rsidR="00843B49">
        <w:t xml:space="preserve">. In some cases, this can lead to judges taking </w:t>
      </w:r>
      <w:r w:rsidR="000740B4">
        <w:t>action to distinguish previous cases</w:t>
      </w:r>
      <w:r w:rsidR="00464BAF">
        <w:t xml:space="preserve"> (establishing case facts are different)</w:t>
      </w:r>
      <w:r w:rsidR="00843B49">
        <w:t xml:space="preserve"> to avoid being bound </w:t>
      </w:r>
      <w:r w:rsidR="000740B4">
        <w:t xml:space="preserve">by </w:t>
      </w:r>
      <w:r w:rsidR="00843B49">
        <w:t>the precedents which can also create uncertainty</w:t>
      </w:r>
      <w:r w:rsidR="000740B4">
        <w:t xml:space="preserve"> with decisions </w:t>
      </w:r>
      <w:r w:rsidR="00806484" w:rsidRPr="00806484">
        <w:t>(Crilly, n.d.)</w:t>
      </w:r>
      <w:r w:rsidR="008022A4">
        <w:t>.</w:t>
      </w:r>
      <w:r w:rsidR="00BD7410">
        <w:t xml:space="preserve"> </w:t>
      </w:r>
      <w:r w:rsidR="00676ABE">
        <w:t>The precedent set by a court lower in the court hierarchy may be over</w:t>
      </w:r>
      <w:r w:rsidR="00A61B30">
        <w:t>ruled by a court higher in the hierarchy; however, decisions cannot be overruled</w:t>
      </w:r>
      <w:r w:rsidR="004E7397">
        <w:t xml:space="preserve"> by a court of the same level or lower. Even the house of lords, now known as the supreme court, </w:t>
      </w:r>
      <w:r w:rsidR="00970B14">
        <w:t>is</w:t>
      </w:r>
      <w:r w:rsidR="004E7397">
        <w:t xml:space="preserve"> bound by precedent of their own decisions </w:t>
      </w:r>
      <w:r w:rsidR="00970B14">
        <w:t xml:space="preserve">since </w:t>
      </w:r>
      <w:r w:rsidR="00970B14" w:rsidRPr="00970B14">
        <w:t>London Street Tramways v London County Council</w:t>
      </w:r>
      <w:r w:rsidR="00970B14">
        <w:t xml:space="preserve"> [189</w:t>
      </w:r>
      <w:r w:rsidR="0033536E">
        <w:t>8]</w:t>
      </w:r>
      <w:r w:rsidR="006A4592">
        <w:t xml:space="preserve"> (Swarb, 2021)</w:t>
      </w:r>
      <w:r w:rsidR="0033536E">
        <w:t>.</w:t>
      </w:r>
      <w:r w:rsidR="0039665D">
        <w:t xml:space="preserve"> </w:t>
      </w:r>
      <w:r w:rsidR="006E297B">
        <w:t xml:space="preserve">Despite this, the </w:t>
      </w:r>
      <w:r w:rsidR="00DE63F5">
        <w:t>practice statement of 1966, despite not being freely used</w:t>
      </w:r>
      <w:r w:rsidR="00063384">
        <w:t xml:space="preserve">, </w:t>
      </w:r>
      <w:r w:rsidR="007B3E1E">
        <w:t>recognised</w:t>
      </w:r>
      <w:r w:rsidR="00063384">
        <w:t xml:space="preserve"> that </w:t>
      </w:r>
      <w:r w:rsidR="00283BCC">
        <w:t xml:space="preserve">rigorous adherence to </w:t>
      </w:r>
      <w:r w:rsidR="007B3E1E">
        <w:t>precedent can lead to injustices and restrict the development of the law.</w:t>
      </w:r>
      <w:r w:rsidR="007014CF">
        <w:t xml:space="preserve"> We see an example of this in</w:t>
      </w:r>
      <w:r w:rsidR="00703B48">
        <w:t xml:space="preserve"> </w:t>
      </w:r>
      <w:r w:rsidR="00703B48" w:rsidRPr="00703B48">
        <w:t>Murphy v. Brentwood [1991]</w:t>
      </w:r>
      <w:r w:rsidR="00703B48">
        <w:t xml:space="preserve"> where the house of lords overruled </w:t>
      </w:r>
      <w:r w:rsidR="00885E1B">
        <w:t xml:space="preserve">a past decision from </w:t>
      </w:r>
      <w:r w:rsidR="00885E1B" w:rsidRPr="00885E1B">
        <w:t>Anns v. Merton [1978]</w:t>
      </w:r>
      <w:r w:rsidR="00885E1B">
        <w:t xml:space="preserve"> (LexLaw, 2020).</w:t>
      </w:r>
    </w:p>
    <w:p w14:paraId="0E13B86A" w14:textId="77777777" w:rsidR="00D7546B" w:rsidRDefault="00D7546B" w:rsidP="00B3657B"/>
    <w:p w14:paraId="75CC6DFF" w14:textId="6DF411D6" w:rsidR="000327F4" w:rsidRDefault="000327F4" w:rsidP="000327F4">
      <w:pPr>
        <w:pStyle w:val="Heading1"/>
      </w:pPr>
      <w:bookmarkStart w:id="3" w:name="_Toc129288729"/>
      <w:r>
        <w:t>Civil Law</w:t>
      </w:r>
      <w:r w:rsidR="00DD4664">
        <w:t xml:space="preserve"> and</w:t>
      </w:r>
      <w:r w:rsidR="007042F5">
        <w:t xml:space="preserve"> </w:t>
      </w:r>
      <w:r w:rsidR="007C29DE">
        <w:t>its</w:t>
      </w:r>
      <w:r w:rsidR="00DD4664">
        <w:t xml:space="preserve"> </w:t>
      </w:r>
      <w:r w:rsidR="007C29DE">
        <w:t>Differences</w:t>
      </w:r>
      <w:bookmarkEnd w:id="3"/>
    </w:p>
    <w:p w14:paraId="1F40B50B" w14:textId="77777777" w:rsidR="00CD37BC" w:rsidRDefault="000327F4" w:rsidP="000327F4">
      <w:r>
        <w:t xml:space="preserve">     What is Civil Law?</w:t>
      </w:r>
      <w:r w:rsidR="009B5A4B">
        <w:t xml:space="preserve"> Coming from ancient roman law, civil law systems unlike </w:t>
      </w:r>
      <w:r w:rsidR="00DD4664">
        <w:t xml:space="preserve">common law systems </w:t>
      </w:r>
      <w:r w:rsidR="009210C0">
        <w:t xml:space="preserve">are codified and rely on specific </w:t>
      </w:r>
      <w:r w:rsidR="00B402C0">
        <w:t>codes set out through statutes and written constitutions</w:t>
      </w:r>
      <w:r w:rsidR="00407871">
        <w:t xml:space="preserve"> that are binding to all with little room for judge-made law</w:t>
      </w:r>
      <w:r w:rsidR="002461A2">
        <w:t>, the opposite of what we see with common law</w:t>
      </w:r>
      <w:r w:rsidR="00407871">
        <w:t xml:space="preserve"> </w:t>
      </w:r>
      <w:r w:rsidR="00B35C2E">
        <w:t xml:space="preserve">(The World Bank, </w:t>
      </w:r>
      <w:r w:rsidR="00205652">
        <w:t>2022).</w:t>
      </w:r>
      <w:r w:rsidR="001C6EE6">
        <w:t xml:space="preserve"> </w:t>
      </w:r>
      <w:r w:rsidR="00243D97">
        <w:t>Civil law began to develop with the rediscovery of Roman Law</w:t>
      </w:r>
      <w:r w:rsidR="001A51C6">
        <w:t xml:space="preserve"> </w:t>
      </w:r>
      <w:r w:rsidR="00AD0221">
        <w:t xml:space="preserve">and </w:t>
      </w:r>
      <w:r w:rsidR="001A51C6">
        <w:t>began to be taught throughout northern Italy</w:t>
      </w:r>
      <w:r w:rsidR="003B402D">
        <w:t>. With increasing</w:t>
      </w:r>
      <w:r w:rsidR="00D667CF">
        <w:t xml:space="preserve"> </w:t>
      </w:r>
      <w:r w:rsidR="003B402D">
        <w:t>demand</w:t>
      </w:r>
      <w:r w:rsidR="00D667CF">
        <w:t>,</w:t>
      </w:r>
      <w:r w:rsidR="003B402D">
        <w:t xml:space="preserve"> </w:t>
      </w:r>
      <w:r w:rsidR="009953A9">
        <w:t xml:space="preserve">teaching the subject began to spread all </w:t>
      </w:r>
      <w:r w:rsidR="00AD0221">
        <w:t>throughout</w:t>
      </w:r>
      <w:r w:rsidR="009953A9">
        <w:t xml:space="preserve"> Italy and even began to penetrate into </w:t>
      </w:r>
      <w:r w:rsidR="00AD0221">
        <w:t>Germany and the Netherlands becoming a strong influence</w:t>
      </w:r>
      <w:r w:rsidR="00724C2B">
        <w:t xml:space="preserve"> (Britannica, </w:t>
      </w:r>
      <w:r w:rsidR="002069FA">
        <w:t>2019)</w:t>
      </w:r>
      <w:r w:rsidR="00AD0221">
        <w:t>.</w:t>
      </w:r>
      <w:r w:rsidR="00A058B5">
        <w:t xml:space="preserve"> According to </w:t>
      </w:r>
      <w:r w:rsidR="00A058B5" w:rsidRPr="00A058B5">
        <w:t>Borchard (2017)</w:t>
      </w:r>
      <w:r w:rsidR="00A058B5">
        <w:t xml:space="preserve">, </w:t>
      </w:r>
      <w:r w:rsidR="00872C0B">
        <w:t xml:space="preserve">“The modern codification movement may be said to have begun with the Austrian Allgenzeines Biirgerliches Gesetzbuch, the Prussian Landrecht of the eighteenth century, and the French codes of the early nineteenth century”. From here it </w:t>
      </w:r>
      <w:r w:rsidR="00A21B24">
        <w:t>began to spread to the other civil law countries that you see in the modern day.</w:t>
      </w:r>
      <w:r w:rsidR="00EC41AF">
        <w:t xml:space="preserve"> But what are the advantages and disadvantages of this system</w:t>
      </w:r>
      <w:r w:rsidR="00E11275">
        <w:t xml:space="preserve"> and how do they compare to common law</w:t>
      </w:r>
      <w:r w:rsidR="00EC41AF">
        <w:t>?</w:t>
      </w:r>
      <w:r w:rsidR="00E11275">
        <w:t xml:space="preserve"> Firstly, w</w:t>
      </w:r>
      <w:r w:rsidR="0018198E">
        <w:t>hat they have that common law can lack is clarity and predictability.</w:t>
      </w:r>
      <w:r w:rsidR="009C5FEB">
        <w:t xml:space="preserve"> </w:t>
      </w:r>
      <w:r w:rsidR="00056A88">
        <w:t xml:space="preserve">Through the codified structure of these systems, you are only able to be prosecuted in accordance with the law that is written. This makes </w:t>
      </w:r>
      <w:r w:rsidR="00E6154A">
        <w:t>it</w:t>
      </w:r>
      <w:r w:rsidR="00056A88">
        <w:t xml:space="preserve"> far easier for </w:t>
      </w:r>
      <w:r w:rsidR="00E6154A">
        <w:t xml:space="preserve">those in the court to predict with a degree of certainty the outcome, or at least an idea. This can sometimes be absent from common law in some cases. For the most part, if your case is like those of the past you may be able to </w:t>
      </w:r>
      <w:r w:rsidR="00252968">
        <w:t xml:space="preserve">predict which way the court may lean; however, in instances of new case facts that may have not been </w:t>
      </w:r>
      <w:r w:rsidR="006D4011">
        <w:t>dealt</w:t>
      </w:r>
      <w:r w:rsidR="00252968">
        <w:t xml:space="preserve"> with before by a court of the same standing the decision can be thrown in a different direction, </w:t>
      </w:r>
      <w:r w:rsidR="006D4011">
        <w:t>therefore</w:t>
      </w:r>
      <w:r w:rsidR="00252968">
        <w:t xml:space="preserve"> setting a new precedent.</w:t>
      </w:r>
      <w:r w:rsidR="006D4011">
        <w:t xml:space="preserve"> The downside of the civil law side could also be that a judge may </w:t>
      </w:r>
      <w:r w:rsidR="004B4117">
        <w:t>interpret</w:t>
      </w:r>
      <w:r w:rsidR="006D4011">
        <w:t xml:space="preserve"> the code </w:t>
      </w:r>
      <w:r w:rsidR="004B4117">
        <w:t xml:space="preserve">differently from you, so even if similar cases swung a different way there isn’t that guarantee of the same outcome </w:t>
      </w:r>
      <w:r w:rsidR="0009334D">
        <w:t>(International Business Law Advisor, 2010)</w:t>
      </w:r>
      <w:r w:rsidR="004B4117">
        <w:t>.</w:t>
      </w:r>
      <w:r w:rsidR="006E69D8">
        <w:t xml:space="preserve"> Civil law systems for </w:t>
      </w:r>
      <w:r w:rsidR="00986BFA">
        <w:t>their</w:t>
      </w:r>
      <w:r w:rsidR="006E69D8">
        <w:t xml:space="preserve"> codification </w:t>
      </w:r>
      <w:r w:rsidR="00986BFA">
        <w:t>can</w:t>
      </w:r>
      <w:r w:rsidR="00A062A1">
        <w:t xml:space="preserve"> work through cases much quicker; however, another </w:t>
      </w:r>
      <w:r w:rsidR="00446FFE">
        <w:t>effect</w:t>
      </w:r>
      <w:r w:rsidR="00A062A1">
        <w:t xml:space="preserve"> of this is the </w:t>
      </w:r>
      <w:r w:rsidR="00446FFE">
        <w:t>less frequent use and importance of the Jury.</w:t>
      </w:r>
      <w:r w:rsidR="009B7D57">
        <w:t xml:space="preserve"> The decision falls upon the judge with </w:t>
      </w:r>
      <w:r w:rsidR="00986BFA">
        <w:t xml:space="preserve">the knowledge of the law to </w:t>
      </w:r>
      <w:r w:rsidR="00726AE0">
        <w:t>decide</w:t>
      </w:r>
      <w:r w:rsidR="00986BFA">
        <w:t xml:space="preserve"> in accordance with the codes.</w:t>
      </w:r>
      <w:r w:rsidR="004C4872">
        <w:t xml:space="preserve"> An example of </w:t>
      </w:r>
      <w:r w:rsidR="00726AE0">
        <w:t xml:space="preserve">a country that rarely uses a jury would be Russia with its civil law system </w:t>
      </w:r>
      <w:r w:rsidR="000F71C4">
        <w:t>(National Geographic, 2022)</w:t>
      </w:r>
      <w:r w:rsidR="00726AE0">
        <w:t>.</w:t>
      </w:r>
      <w:r w:rsidR="00495F48">
        <w:t xml:space="preserve"> The downside to this would be the argument that society has less of a hand i</w:t>
      </w:r>
      <w:r w:rsidR="006A01A7">
        <w:t xml:space="preserve">n legal </w:t>
      </w:r>
      <w:r w:rsidR="00D4175C">
        <w:t>decision-making</w:t>
      </w:r>
      <w:r w:rsidR="006A01A7">
        <w:t xml:space="preserve">, taking power away from the citizens as the legal </w:t>
      </w:r>
      <w:r w:rsidR="006A01A7">
        <w:lastRenderedPageBreak/>
        <w:t>decision is left primarily to the hands of the judges.</w:t>
      </w:r>
      <w:r w:rsidR="00B01DED">
        <w:t xml:space="preserve"> If the codes are </w:t>
      </w:r>
      <w:r w:rsidR="00C441D6">
        <w:t xml:space="preserve">set out in a way that is intended to protect individual rights this can also be a good </w:t>
      </w:r>
      <w:r w:rsidR="00372E3F">
        <w:t xml:space="preserve">thing. </w:t>
      </w:r>
      <w:r w:rsidR="00467B60">
        <w:t xml:space="preserve">According to </w:t>
      </w:r>
      <w:r w:rsidR="00467B60" w:rsidRPr="00467B60">
        <w:t>Koch Jr (2004)</w:t>
      </w:r>
      <w:r w:rsidR="00F62772">
        <w:t>,</w:t>
      </w:r>
      <w:r w:rsidR="00467B60">
        <w:t xml:space="preserve"> </w:t>
      </w:r>
      <w:r w:rsidR="00F62772">
        <w:t>“a</w:t>
      </w:r>
      <w:r w:rsidR="00F62772" w:rsidRPr="00F62772">
        <w:t>ble judges can be the great equalizers, assuring fair litigation</w:t>
      </w:r>
      <w:r w:rsidR="00F62772">
        <w:t xml:space="preserve">”. </w:t>
      </w:r>
      <w:r w:rsidR="00FD4C4B">
        <w:t xml:space="preserve">Basically, </w:t>
      </w:r>
      <w:r w:rsidR="00CD37BC">
        <w:t>if</w:t>
      </w:r>
      <w:r w:rsidR="00FD4C4B">
        <w:t xml:space="preserve"> the code is intended to protect the rights of the individual, when placed in the hands of an able judge they will be able </w:t>
      </w:r>
      <w:r w:rsidR="00CD37BC">
        <w:t>to keep protection over many freedoms such right to religion or assembly as examples. With common law this is not always the case. Due to precedent being set purely from the judicial decisions, it can sometimes be the case that the wrong decision is made or one that doesn’t fully represent the interests of society at that time.</w:t>
      </w:r>
    </w:p>
    <w:p w14:paraId="6A8D2A8A" w14:textId="77777777" w:rsidR="00CD37BC" w:rsidRDefault="00CD37BC" w:rsidP="000327F4"/>
    <w:p w14:paraId="2294C706" w14:textId="77777777" w:rsidR="00CD37BC" w:rsidRDefault="00CD37BC" w:rsidP="00CD37BC">
      <w:pPr>
        <w:pStyle w:val="Heading1"/>
      </w:pPr>
      <w:bookmarkStart w:id="4" w:name="_Toc129288730"/>
      <w:r>
        <w:t>Conclusion</w:t>
      </w:r>
      <w:bookmarkEnd w:id="4"/>
    </w:p>
    <w:p w14:paraId="048ED276" w14:textId="341FF68A" w:rsidR="000710DF" w:rsidRDefault="00CD37BC" w:rsidP="00CD37BC">
      <w:r>
        <w:t xml:space="preserve">     To conclude, even beyond the </w:t>
      </w:r>
      <w:r w:rsidR="00FD0273">
        <w:t xml:space="preserve">points that I have covered throughout this paper, there is still so much more to both the </w:t>
      </w:r>
      <w:r w:rsidR="00ED0245">
        <w:t xml:space="preserve">civil and common law systems. From what we have covered, it is my opinion that common law systems are more beneficial to the UK and our society. The system has developed over </w:t>
      </w:r>
      <w:r w:rsidR="003F6CD4">
        <w:t>centuries</w:t>
      </w:r>
      <w:r w:rsidR="00ED0245">
        <w:t xml:space="preserve"> and the flexibility that it provides </w:t>
      </w:r>
      <w:r w:rsidR="003F6CD4">
        <w:t>gives</w:t>
      </w:r>
      <w:r w:rsidR="00ED0245">
        <w:t xml:space="preserve"> the necessary room </w:t>
      </w:r>
      <w:r w:rsidR="003F6CD4">
        <w:t>for evolution, especially where past outdated precedents can be overruled by the supreme court. Civil law systems have their place, but in some situations, I feel that they can be easier used against the people and allow less of a hand from society in the law-making of their nation.</w:t>
      </w:r>
      <w:r w:rsidR="000710DF">
        <w:br w:type="page"/>
      </w:r>
    </w:p>
    <w:p w14:paraId="2BEECD56" w14:textId="0CDB239A" w:rsidR="00A82501" w:rsidRDefault="000710DF" w:rsidP="000710DF">
      <w:pPr>
        <w:pStyle w:val="Heading1"/>
      </w:pPr>
      <w:bookmarkStart w:id="5" w:name="_Toc129288731"/>
      <w:r>
        <w:lastRenderedPageBreak/>
        <w:t>Bibliography</w:t>
      </w:r>
      <w:bookmarkEnd w:id="5"/>
    </w:p>
    <w:p w14:paraId="38C83086" w14:textId="33FCF69A" w:rsidR="00AE7078" w:rsidRPr="003B3BF1" w:rsidRDefault="003A5B8C" w:rsidP="00AE7078">
      <w:pPr>
        <w:pStyle w:val="NormalWeb"/>
        <w:spacing w:before="0" w:beforeAutospacing="0" w:after="240" w:afterAutospacing="0" w:line="360" w:lineRule="atLeast"/>
        <w:rPr>
          <w:color w:val="000000"/>
        </w:rPr>
      </w:pPr>
      <w:r w:rsidRPr="003B3BF1">
        <w:rPr>
          <w:color w:val="000000"/>
        </w:rPr>
        <w:t>University of Oxford</w:t>
      </w:r>
      <w:r w:rsidR="00AE7078" w:rsidRPr="003B3BF1">
        <w:rPr>
          <w:color w:val="000000"/>
        </w:rPr>
        <w:t xml:space="preserve"> (2021) </w:t>
      </w:r>
      <w:r w:rsidR="00AE7078" w:rsidRPr="003B3BF1">
        <w:rPr>
          <w:i/>
          <w:iCs/>
          <w:color w:val="000000"/>
        </w:rPr>
        <w:t>Oxford LibGuides: United Kingdom Law: Legal system</w:t>
      </w:r>
      <w:r w:rsidR="00AE7078" w:rsidRPr="003B3BF1">
        <w:rPr>
          <w:color w:val="000000"/>
        </w:rPr>
        <w:t>. Available at:</w:t>
      </w:r>
      <w:r w:rsidR="00CB1697">
        <w:rPr>
          <w:color w:val="000000"/>
        </w:rPr>
        <w:t xml:space="preserve"> </w:t>
      </w:r>
      <w:hyperlink r:id="rId7" w:anchor=":~:text=England%20and%20Wales%20operate%20a,and%20the%20House%20of%20Lords" w:history="1">
        <w:r w:rsidR="00CB1697" w:rsidRPr="00746065">
          <w:rPr>
            <w:rStyle w:val="Hyperlink"/>
          </w:rPr>
          <w:t>https://ox.libguides.com/c.php?g=422832&amp;p=2887374#:~:text=England%20and%20Wales%20operate%20a,and%20the%20House%20of%20Lords</w:t>
        </w:r>
      </w:hyperlink>
      <w:r w:rsidR="00CB1697">
        <w:rPr>
          <w:color w:val="000000"/>
        </w:rPr>
        <w:t xml:space="preserve"> </w:t>
      </w:r>
      <w:r w:rsidR="00C26C3F">
        <w:rPr>
          <w:color w:val="000000"/>
        </w:rPr>
        <w:t>[</w:t>
      </w:r>
      <w:r w:rsidR="00AE7078" w:rsidRPr="003B3BF1">
        <w:rPr>
          <w:color w:val="000000"/>
        </w:rPr>
        <w:t>Accessed 6 Mar</w:t>
      </w:r>
      <w:r w:rsidR="00F31252" w:rsidRPr="003B3BF1">
        <w:rPr>
          <w:color w:val="000000"/>
        </w:rPr>
        <w:t>.</w:t>
      </w:r>
      <w:r w:rsidR="00AE7078" w:rsidRPr="003B3BF1">
        <w:rPr>
          <w:color w:val="000000"/>
        </w:rPr>
        <w:t xml:space="preserve"> 2023</w:t>
      </w:r>
      <w:r w:rsidR="00C26C3F">
        <w:rPr>
          <w:color w:val="000000"/>
        </w:rPr>
        <w:t>]</w:t>
      </w:r>
      <w:r w:rsidR="00AE7078" w:rsidRPr="003B3BF1">
        <w:rPr>
          <w:color w:val="000000"/>
        </w:rPr>
        <w:t>.</w:t>
      </w:r>
    </w:p>
    <w:p w14:paraId="7CA85F3D" w14:textId="77777777" w:rsidR="00F9057B" w:rsidRPr="00AE7078" w:rsidRDefault="00F9057B" w:rsidP="00AE7078">
      <w:pPr>
        <w:pStyle w:val="NormalWeb"/>
        <w:spacing w:before="0" w:beforeAutospacing="0" w:after="240" w:afterAutospacing="0" w:line="360" w:lineRule="atLeast"/>
        <w:rPr>
          <w:rFonts w:asciiTheme="minorHAnsi" w:hAnsiTheme="minorHAnsi" w:cstheme="minorHAnsi"/>
          <w:color w:val="000000"/>
        </w:rPr>
      </w:pPr>
    </w:p>
    <w:p w14:paraId="267E9960" w14:textId="3FDEE794" w:rsidR="00EB6F2C" w:rsidRPr="003B3BF1" w:rsidRDefault="00AE7078" w:rsidP="00EB6F2C">
      <w:pPr>
        <w:pStyle w:val="NormalWeb"/>
        <w:spacing w:before="0" w:beforeAutospacing="0" w:after="240" w:afterAutospacing="0" w:line="360" w:lineRule="auto"/>
      </w:pPr>
      <w:r w:rsidRPr="003B3BF1">
        <w:rPr>
          <w:color w:val="000000"/>
        </w:rPr>
        <w:t>‌</w:t>
      </w:r>
      <w:r w:rsidR="00EB6F2C" w:rsidRPr="003B3BF1">
        <w:t xml:space="preserve">Demopoulos, A. (1971) </w:t>
      </w:r>
      <w:r w:rsidR="00EB6F2C" w:rsidRPr="003B3BF1">
        <w:rPr>
          <w:i/>
          <w:iCs/>
        </w:rPr>
        <w:t>The Modern Law Review</w:t>
      </w:r>
      <w:r w:rsidR="00EB6F2C" w:rsidRPr="003B3BF1">
        <w:t xml:space="preserve">, [online] 34(3), pp.354–355. Available at: http://www.jstor.org/stable/1094647 </w:t>
      </w:r>
      <w:r w:rsidR="00C26C3F">
        <w:t>[</w:t>
      </w:r>
      <w:r w:rsidR="00EB6F2C" w:rsidRPr="003B3BF1">
        <w:t>Accessed 6 Mar. 2023</w:t>
      </w:r>
      <w:r w:rsidR="00C26C3F">
        <w:t>]</w:t>
      </w:r>
      <w:r w:rsidR="00EB6F2C" w:rsidRPr="003B3BF1">
        <w:t>.</w:t>
      </w:r>
    </w:p>
    <w:p w14:paraId="48668877" w14:textId="77777777" w:rsidR="00F9057B" w:rsidRPr="00F9057B" w:rsidRDefault="00F9057B" w:rsidP="00EB6F2C">
      <w:pPr>
        <w:pStyle w:val="NormalWeb"/>
        <w:spacing w:before="0" w:beforeAutospacing="0" w:after="240" w:afterAutospacing="0" w:line="360" w:lineRule="auto"/>
        <w:rPr>
          <w:rFonts w:asciiTheme="minorHAnsi" w:hAnsiTheme="minorHAnsi" w:cstheme="minorHAnsi"/>
        </w:rPr>
      </w:pPr>
    </w:p>
    <w:p w14:paraId="0BD593E0" w14:textId="59F3A2C3" w:rsidR="003A5B8C" w:rsidRPr="00C26C3F" w:rsidRDefault="003A5B8C" w:rsidP="00EB6F2C">
      <w:pPr>
        <w:pStyle w:val="NormalWeb"/>
        <w:spacing w:before="0" w:beforeAutospacing="0" w:after="240" w:afterAutospacing="0" w:line="360" w:lineRule="auto"/>
      </w:pPr>
      <w:r w:rsidRPr="00C26C3F">
        <w:t>University of Oxford (2023)</w:t>
      </w:r>
      <w:r w:rsidR="00CA7BB8" w:rsidRPr="00C26C3F">
        <w:t xml:space="preserve"> </w:t>
      </w:r>
      <w:r w:rsidR="00DA06A9" w:rsidRPr="00C26C3F">
        <w:rPr>
          <w:i/>
          <w:iCs/>
        </w:rPr>
        <w:t xml:space="preserve">Case law: online resources for common law countries: Further jurisdictions. </w:t>
      </w:r>
      <w:r w:rsidR="00DA06A9" w:rsidRPr="00C26C3F">
        <w:t xml:space="preserve">Available at: </w:t>
      </w:r>
      <w:hyperlink r:id="rId8" w:history="1">
        <w:r w:rsidR="00EB3DF8" w:rsidRPr="00C26C3F">
          <w:rPr>
            <w:rStyle w:val="Hyperlink"/>
          </w:rPr>
          <w:t>https://libguides.bodleian.ox.ac.uk/lawecases/foreign</w:t>
        </w:r>
      </w:hyperlink>
      <w:r w:rsidR="00EB3DF8" w:rsidRPr="00C26C3F">
        <w:t xml:space="preserve"> </w:t>
      </w:r>
      <w:r w:rsidR="00781B2D">
        <w:t>[</w:t>
      </w:r>
      <w:r w:rsidR="00EB3DF8" w:rsidRPr="00C26C3F">
        <w:t xml:space="preserve">Accessed </w:t>
      </w:r>
      <w:r w:rsidR="003D56CC" w:rsidRPr="00C26C3F">
        <w:t>8 Mar. 2023</w:t>
      </w:r>
      <w:r w:rsidR="00781B2D">
        <w:t>]</w:t>
      </w:r>
      <w:r w:rsidR="003D56CC" w:rsidRPr="00C26C3F">
        <w:t>.</w:t>
      </w:r>
    </w:p>
    <w:p w14:paraId="087C3011" w14:textId="1F4CAEE8" w:rsidR="00000291" w:rsidRDefault="00000291" w:rsidP="00EB6F2C">
      <w:pPr>
        <w:pStyle w:val="NormalWeb"/>
        <w:spacing w:before="0" w:beforeAutospacing="0" w:after="240" w:afterAutospacing="0" w:line="360" w:lineRule="auto"/>
        <w:rPr>
          <w:rFonts w:asciiTheme="minorHAnsi" w:hAnsiTheme="minorHAnsi" w:cstheme="minorHAnsi"/>
        </w:rPr>
      </w:pPr>
    </w:p>
    <w:p w14:paraId="7DCCB033" w14:textId="2918C727" w:rsidR="00213A8C" w:rsidRDefault="00213A8C" w:rsidP="00213A8C">
      <w:pPr>
        <w:pStyle w:val="NormalWeb"/>
        <w:spacing w:before="0" w:beforeAutospacing="0" w:after="240" w:afterAutospacing="0" w:line="360" w:lineRule="auto"/>
      </w:pPr>
      <w:r>
        <w:t xml:space="preserve">Potter, H. (2015) </w:t>
      </w:r>
      <w:r>
        <w:rPr>
          <w:i/>
          <w:iCs/>
        </w:rPr>
        <w:t xml:space="preserve">Law, liberty and the </w:t>
      </w:r>
      <w:r w:rsidR="007D1242">
        <w:rPr>
          <w:i/>
          <w:iCs/>
        </w:rPr>
        <w:t>constitution:</w:t>
      </w:r>
      <w:r>
        <w:rPr>
          <w:i/>
          <w:iCs/>
        </w:rPr>
        <w:t xml:space="preserve"> a brief history of the common law</w:t>
      </w:r>
      <w:r>
        <w:t>. Suffolk: Boydell &amp; Brewer.</w:t>
      </w:r>
    </w:p>
    <w:p w14:paraId="71D4D36D" w14:textId="0CBFE9C6" w:rsidR="00E11B18" w:rsidRDefault="00E11B18" w:rsidP="00213A8C">
      <w:pPr>
        <w:pStyle w:val="NormalWeb"/>
        <w:spacing w:before="0" w:beforeAutospacing="0" w:after="240" w:afterAutospacing="0" w:line="360" w:lineRule="auto"/>
      </w:pPr>
    </w:p>
    <w:p w14:paraId="3977F712" w14:textId="66BF6CFC" w:rsidR="00E11B18" w:rsidRPr="009A3107" w:rsidRDefault="00E11B18" w:rsidP="00213A8C">
      <w:pPr>
        <w:pStyle w:val="NormalWeb"/>
        <w:spacing w:before="0" w:beforeAutospacing="0" w:after="240" w:afterAutospacing="0" w:line="360" w:lineRule="auto"/>
      </w:pPr>
      <w:r>
        <w:t>Incorporated Council of Law Report</w:t>
      </w:r>
      <w:r w:rsidR="003B3BF1">
        <w:t>ing (</w:t>
      </w:r>
      <w:r w:rsidR="0023622B">
        <w:t>n.d.</w:t>
      </w:r>
      <w:r w:rsidR="003B3BF1">
        <w:t xml:space="preserve">) </w:t>
      </w:r>
      <w:r w:rsidR="009A3107" w:rsidRPr="009A3107">
        <w:rPr>
          <w:i/>
          <w:iCs/>
        </w:rPr>
        <w:t>The English legal system</w:t>
      </w:r>
      <w:r w:rsidR="009A3107">
        <w:rPr>
          <w:i/>
          <w:iCs/>
        </w:rPr>
        <w:t xml:space="preserve">. </w:t>
      </w:r>
      <w:r w:rsidR="009A3107">
        <w:t xml:space="preserve">Available at: </w:t>
      </w:r>
      <w:hyperlink r:id="rId9" w:history="1">
        <w:r w:rsidR="0000283E" w:rsidRPr="00BF2561">
          <w:rPr>
            <w:rStyle w:val="Hyperlink"/>
          </w:rPr>
          <w:t>https://www.iclr.co.uk/knowledge/topics/the-english-legal-system/</w:t>
        </w:r>
      </w:hyperlink>
      <w:r w:rsidR="0000283E">
        <w:t xml:space="preserve"> </w:t>
      </w:r>
      <w:r w:rsidR="00C26C3F">
        <w:t>[Accessed</w:t>
      </w:r>
      <w:r w:rsidR="00781B2D">
        <w:t xml:space="preserve"> 8 Mar. 2023].</w:t>
      </w:r>
    </w:p>
    <w:p w14:paraId="66B8862D" w14:textId="3936CACD" w:rsidR="003D56CC" w:rsidRDefault="003D56CC" w:rsidP="00EB6F2C">
      <w:pPr>
        <w:pStyle w:val="NormalWeb"/>
        <w:spacing w:before="0" w:beforeAutospacing="0" w:after="240" w:afterAutospacing="0" w:line="360" w:lineRule="auto"/>
      </w:pPr>
    </w:p>
    <w:p w14:paraId="060EED46" w14:textId="75B28D5F" w:rsidR="004F2CD2" w:rsidRDefault="004F2CD2" w:rsidP="00EB6F2C">
      <w:pPr>
        <w:pStyle w:val="NormalWeb"/>
        <w:spacing w:before="0" w:beforeAutospacing="0" w:after="240" w:afterAutospacing="0" w:line="360" w:lineRule="auto"/>
      </w:pPr>
      <w:r>
        <w:t xml:space="preserve">Study Rocket </w:t>
      </w:r>
      <w:r w:rsidR="00014F35">
        <w:t>(</w:t>
      </w:r>
      <w:r w:rsidR="004C2819">
        <w:t>n.d.</w:t>
      </w:r>
      <w:r w:rsidR="00014F35">
        <w:t xml:space="preserve">) </w:t>
      </w:r>
      <w:r w:rsidR="00014F35">
        <w:rPr>
          <w:i/>
          <w:iCs/>
        </w:rPr>
        <w:t xml:space="preserve">Murder. </w:t>
      </w:r>
      <w:r w:rsidR="00014F35">
        <w:t xml:space="preserve">Available at: </w:t>
      </w:r>
      <w:hyperlink r:id="rId10" w:anchor=":~:text=Murder%20is%20a%20common%20law,the%20acts%20reus%20of%20murder" w:history="1">
        <w:r w:rsidR="007C6DDD" w:rsidRPr="00BF2561">
          <w:rPr>
            <w:rStyle w:val="Hyperlink"/>
          </w:rPr>
          <w:t>https://studyrocket.co.uk/revision/a-level-law-aqa/criminal-law/murder#:~:text=Murder%20is%20a%20common%20law,the%20acts%20reus%20of%20murder</w:t>
        </w:r>
      </w:hyperlink>
      <w:r w:rsidR="007C6DDD">
        <w:t xml:space="preserve"> [Accessed: 8 Mar</w:t>
      </w:r>
      <w:r w:rsidR="00E110F1">
        <w:t>. 2023].</w:t>
      </w:r>
    </w:p>
    <w:p w14:paraId="6C260881" w14:textId="0A2132BB" w:rsidR="0008417B" w:rsidRDefault="0008417B" w:rsidP="00EB6F2C">
      <w:pPr>
        <w:pStyle w:val="NormalWeb"/>
        <w:spacing w:before="0" w:beforeAutospacing="0" w:after="240" w:afterAutospacing="0" w:line="360" w:lineRule="auto"/>
      </w:pPr>
    </w:p>
    <w:p w14:paraId="4789A443" w14:textId="2A223705" w:rsidR="0008417B" w:rsidRDefault="0008417B" w:rsidP="0008417B">
      <w:pPr>
        <w:pStyle w:val="NormalWeb"/>
        <w:spacing w:before="0" w:beforeAutospacing="0" w:after="240" w:afterAutospacing="0" w:line="360" w:lineRule="auto"/>
      </w:pPr>
      <w:r>
        <w:t xml:space="preserve">Gennaioli, N. and Shleifer, A. (2007). The Evolution of Common Law. </w:t>
      </w:r>
      <w:r>
        <w:rPr>
          <w:i/>
          <w:iCs/>
        </w:rPr>
        <w:t>Journal of Political Economy</w:t>
      </w:r>
      <w:r>
        <w:t xml:space="preserve">, [online] 115(1). Available at: </w:t>
      </w:r>
      <w:hyperlink r:id="rId11" w:history="1">
        <w:r w:rsidRPr="00BF2561">
          <w:rPr>
            <w:rStyle w:val="Hyperlink"/>
          </w:rPr>
          <w:t>https://www.jstor.org/stable/10.1086/511996</w:t>
        </w:r>
      </w:hyperlink>
      <w:r>
        <w:t xml:space="preserve"> [Accessed 8 Mar. 2023].</w:t>
      </w:r>
    </w:p>
    <w:p w14:paraId="7DA58FA2" w14:textId="53842B5E" w:rsidR="0058639C" w:rsidRDefault="0058639C" w:rsidP="0008417B">
      <w:pPr>
        <w:pStyle w:val="NormalWeb"/>
        <w:spacing w:before="0" w:beforeAutospacing="0" w:after="240" w:afterAutospacing="0" w:line="360" w:lineRule="auto"/>
      </w:pPr>
    </w:p>
    <w:p w14:paraId="1D917833" w14:textId="23A4A99B" w:rsidR="0058639C" w:rsidRDefault="0058639C" w:rsidP="0058639C">
      <w:pPr>
        <w:pStyle w:val="NormalWeb"/>
        <w:spacing w:before="0" w:beforeAutospacing="0" w:after="240" w:afterAutospacing="0" w:line="360" w:lineRule="auto"/>
      </w:pPr>
      <w:r>
        <w:t xml:space="preserve">Crilly, C. (n.d.) </w:t>
      </w:r>
      <w:r>
        <w:rPr>
          <w:i/>
          <w:iCs/>
        </w:rPr>
        <w:t>Introduction to English Common Law</w:t>
      </w:r>
      <w:r>
        <w:t xml:space="preserve">. Available at: </w:t>
      </w:r>
      <w:hyperlink r:id="rId12" w:history="1">
        <w:r w:rsidRPr="00746065">
          <w:rPr>
            <w:rStyle w:val="Hyperlink"/>
          </w:rPr>
          <w:t>https://www.coursera.org/lecture/intro-common-law/advantages-and-disadvantages-of-precedent-pT1Up?irclickid=WE6RqlToXxyNUAZWPp1MB0h4UkAR0xyfiXAESA0&amp;irgwc=1&amp;utm_medium=partners&amp;utm_source=impact&amp;utm_campaign=1310690&amp;utm_content=b2c</w:t>
        </w:r>
      </w:hyperlink>
      <w:r>
        <w:t xml:space="preserve"> [Accessed 9 Mar. 2023].</w:t>
      </w:r>
    </w:p>
    <w:p w14:paraId="57190EFC" w14:textId="7760D0E8" w:rsidR="006A4592" w:rsidRDefault="006A4592" w:rsidP="0058639C">
      <w:pPr>
        <w:pStyle w:val="NormalWeb"/>
        <w:spacing w:before="0" w:beforeAutospacing="0" w:after="240" w:afterAutospacing="0" w:line="360" w:lineRule="auto"/>
      </w:pPr>
    </w:p>
    <w:p w14:paraId="5C2599ED" w14:textId="56AAC85E" w:rsidR="0039665D" w:rsidRDefault="006A4592" w:rsidP="0058639C">
      <w:pPr>
        <w:pStyle w:val="NormalWeb"/>
        <w:spacing w:before="0" w:beforeAutospacing="0" w:after="240" w:afterAutospacing="0" w:line="360" w:lineRule="auto"/>
      </w:pPr>
      <w:r>
        <w:t>Swarb (2021)</w:t>
      </w:r>
      <w:r w:rsidR="003B0E1A">
        <w:t xml:space="preserve"> </w:t>
      </w:r>
      <w:r w:rsidR="00CD2D5E" w:rsidRPr="00CD2D5E">
        <w:rPr>
          <w:i/>
          <w:iCs/>
        </w:rPr>
        <w:t>London Street Tramways v London County Council: HL 25 Apr 1898</w:t>
      </w:r>
      <w:r w:rsidR="00CD2D5E">
        <w:rPr>
          <w:i/>
          <w:iCs/>
        </w:rPr>
        <w:t xml:space="preserve">. </w:t>
      </w:r>
      <w:r w:rsidR="00CD2D5E">
        <w:t xml:space="preserve">Available at: </w:t>
      </w:r>
      <w:hyperlink r:id="rId13" w:history="1">
        <w:r w:rsidR="00CD2D5E" w:rsidRPr="00746065">
          <w:rPr>
            <w:rStyle w:val="Hyperlink"/>
          </w:rPr>
          <w:t>https://swarb.co.uk/london-street-tramways-v-london-county-council-hl-25-apr-1898/</w:t>
        </w:r>
      </w:hyperlink>
      <w:r w:rsidR="00CD2D5E">
        <w:t xml:space="preserve"> [Accessed</w:t>
      </w:r>
      <w:r w:rsidR="0039665D">
        <w:t xml:space="preserve"> 9 Mar. 2023].</w:t>
      </w:r>
    </w:p>
    <w:p w14:paraId="70D5AB9E" w14:textId="5025B4B3" w:rsidR="00885E1B" w:rsidRDefault="00885E1B" w:rsidP="0058639C">
      <w:pPr>
        <w:pStyle w:val="NormalWeb"/>
        <w:spacing w:before="0" w:beforeAutospacing="0" w:after="240" w:afterAutospacing="0" w:line="360" w:lineRule="auto"/>
      </w:pPr>
    </w:p>
    <w:p w14:paraId="51920ADF" w14:textId="5D0CFCC8" w:rsidR="00885E1B" w:rsidRDefault="00D95AE6" w:rsidP="0058639C">
      <w:pPr>
        <w:pStyle w:val="NormalWeb"/>
        <w:spacing w:before="0" w:beforeAutospacing="0" w:after="240" w:afterAutospacing="0" w:line="360" w:lineRule="auto"/>
      </w:pPr>
      <w:r>
        <w:t xml:space="preserve">LexLaw (2020) </w:t>
      </w:r>
      <w:r w:rsidRPr="00D95AE6">
        <w:rPr>
          <w:i/>
          <w:iCs/>
        </w:rPr>
        <w:t>The Doctrine of Legal Precedent: When is a Court decision binding?</w:t>
      </w:r>
      <w:r>
        <w:t xml:space="preserve"> Available at: </w:t>
      </w:r>
      <w:hyperlink r:id="rId14" w:history="1">
        <w:r w:rsidR="000421DF" w:rsidRPr="00746065">
          <w:rPr>
            <w:rStyle w:val="Hyperlink"/>
          </w:rPr>
          <w:t>https://lexlaw.co.uk/solicitors-london/the-doctrine-of-legal-precedent-when-is-a-court-decision-binding/</w:t>
        </w:r>
      </w:hyperlink>
      <w:r w:rsidR="000421DF">
        <w:t xml:space="preserve"> [Accessed 9 Mar. 2023].</w:t>
      </w:r>
    </w:p>
    <w:p w14:paraId="564A7127" w14:textId="00E3BF9C" w:rsidR="00205652" w:rsidRDefault="00205652" w:rsidP="0058639C">
      <w:pPr>
        <w:pStyle w:val="NormalWeb"/>
        <w:spacing w:before="0" w:beforeAutospacing="0" w:after="240" w:afterAutospacing="0" w:line="360" w:lineRule="auto"/>
      </w:pPr>
    </w:p>
    <w:p w14:paraId="3C3A805D" w14:textId="2CA53B1B" w:rsidR="00205652" w:rsidRPr="00205652" w:rsidRDefault="00205652" w:rsidP="0058639C">
      <w:pPr>
        <w:pStyle w:val="NormalWeb"/>
        <w:spacing w:before="0" w:beforeAutospacing="0" w:after="240" w:afterAutospacing="0" w:line="360" w:lineRule="auto"/>
      </w:pPr>
      <w:r>
        <w:t xml:space="preserve">The World Bank (2022) </w:t>
      </w:r>
      <w:r w:rsidRPr="00205652">
        <w:rPr>
          <w:i/>
          <w:iCs/>
        </w:rPr>
        <w:t>Key Features of Common Law or Civil Law Systems.</w:t>
      </w:r>
      <w:r>
        <w:t xml:space="preserve"> Available at: </w:t>
      </w:r>
      <w:hyperlink r:id="rId15" w:history="1">
        <w:r w:rsidR="00AD18A1" w:rsidRPr="00746065">
          <w:rPr>
            <w:rStyle w:val="Hyperlink"/>
          </w:rPr>
          <w:t>https://ppp.worldbank.org/public-private-partnership/legislation-regulation/framework-assessment/legal-systems/common-vs-civil-law</w:t>
        </w:r>
      </w:hyperlink>
      <w:r w:rsidR="00AD18A1">
        <w:t xml:space="preserve"> [Accessed 9 Mar. 2023].</w:t>
      </w:r>
    </w:p>
    <w:p w14:paraId="1080962F" w14:textId="725F78EF" w:rsidR="0058639C" w:rsidRDefault="0058639C" w:rsidP="0008417B">
      <w:pPr>
        <w:pStyle w:val="NormalWeb"/>
        <w:spacing w:before="0" w:beforeAutospacing="0" w:after="240" w:afterAutospacing="0" w:line="360" w:lineRule="auto"/>
      </w:pPr>
    </w:p>
    <w:p w14:paraId="53AF61AF" w14:textId="75EB61F3" w:rsidR="002069FA" w:rsidRDefault="002069FA" w:rsidP="0008417B">
      <w:pPr>
        <w:pStyle w:val="NormalWeb"/>
        <w:spacing w:before="0" w:beforeAutospacing="0" w:after="240" w:afterAutospacing="0" w:line="360" w:lineRule="auto"/>
      </w:pPr>
      <w:r>
        <w:t xml:space="preserve">Britannica (2019) </w:t>
      </w:r>
      <w:r w:rsidR="00A73BE6" w:rsidRPr="00A73BE6">
        <w:rPr>
          <w:i/>
          <w:iCs/>
        </w:rPr>
        <w:t>civil law.</w:t>
      </w:r>
      <w:r w:rsidR="00A73BE6">
        <w:rPr>
          <w:i/>
          <w:iCs/>
        </w:rPr>
        <w:t xml:space="preserve"> </w:t>
      </w:r>
      <w:r w:rsidR="00A73BE6">
        <w:t xml:space="preserve">Available at: </w:t>
      </w:r>
      <w:hyperlink r:id="rId16" w:history="1">
        <w:r w:rsidR="00A73BE6" w:rsidRPr="00746065">
          <w:rPr>
            <w:rStyle w:val="Hyperlink"/>
          </w:rPr>
          <w:t>https://www.britannica.com/topic/civil-law-Romano-Germanic</w:t>
        </w:r>
      </w:hyperlink>
      <w:r w:rsidR="00A73BE6">
        <w:t xml:space="preserve"> [Accessed </w:t>
      </w:r>
      <w:r w:rsidR="00F703E7">
        <w:t>9 Mar. 2023].</w:t>
      </w:r>
    </w:p>
    <w:p w14:paraId="6219ADC6" w14:textId="0E2C6092" w:rsidR="00A37A6A" w:rsidRDefault="00A37A6A" w:rsidP="0008417B">
      <w:pPr>
        <w:pStyle w:val="NormalWeb"/>
        <w:spacing w:before="0" w:beforeAutospacing="0" w:after="240" w:afterAutospacing="0" w:line="360" w:lineRule="auto"/>
      </w:pPr>
    </w:p>
    <w:p w14:paraId="6D241D20" w14:textId="5338EBBC" w:rsidR="002F3E6D" w:rsidRDefault="002F3E6D" w:rsidP="002F3E6D">
      <w:pPr>
        <w:pStyle w:val="NormalWeb"/>
        <w:spacing w:before="0" w:beforeAutospacing="0" w:after="240" w:afterAutospacing="0" w:line="360" w:lineRule="auto"/>
      </w:pPr>
      <w:r>
        <w:t xml:space="preserve">Borchard, E.M. (2017). </w:t>
      </w:r>
      <w:r>
        <w:rPr>
          <w:i/>
          <w:iCs/>
        </w:rPr>
        <w:t>Some Lessons from the Civil Law</w:t>
      </w:r>
      <w:r>
        <w:t xml:space="preserve">. [online] The University of Pennsylvania. Available at: </w:t>
      </w:r>
      <w:hyperlink r:id="rId17" w:history="1">
        <w:r w:rsidRPr="00746065">
          <w:rPr>
            <w:rStyle w:val="Hyperlink"/>
          </w:rPr>
          <w:t>https://scholarship.law.upenn.edu/cgi/viewcontent.cgi?article=7583&amp;context=penn_law_review</w:t>
        </w:r>
      </w:hyperlink>
      <w:r>
        <w:t xml:space="preserve"> [Accessed 9 Mar. 2023].</w:t>
      </w:r>
    </w:p>
    <w:p w14:paraId="49B8613D" w14:textId="1297DCCD" w:rsidR="0009334D" w:rsidRDefault="00285F20" w:rsidP="002F3E6D">
      <w:pPr>
        <w:pStyle w:val="NormalWeb"/>
        <w:spacing w:before="0" w:beforeAutospacing="0" w:after="240" w:afterAutospacing="0" w:line="360" w:lineRule="auto"/>
      </w:pPr>
      <w:r>
        <w:lastRenderedPageBreak/>
        <w:t>Cueto S, A.</w:t>
      </w:r>
      <w:r w:rsidR="0009334D">
        <w:t xml:space="preserve"> (2010) </w:t>
      </w:r>
      <w:r w:rsidRPr="00285F20">
        <w:rPr>
          <w:i/>
          <w:iCs/>
        </w:rPr>
        <w:t>International Basics: What's the Difference Between Common Law and Civil Law?</w:t>
      </w:r>
      <w:r>
        <w:t xml:space="preserve"> Available at: </w:t>
      </w:r>
      <w:hyperlink r:id="rId18" w:anchor=":~:text=The%20benefit%20of%20a%20civil,same%20way%20on%20your%20case" w:history="1">
        <w:r w:rsidR="00CC5129" w:rsidRPr="00746065">
          <w:rPr>
            <w:rStyle w:val="Hyperlink"/>
          </w:rPr>
          <w:t>http://internationalbusinesslawadvisor.com/international-basics-whats-the-difference-between-common-law-and-civil-law/#:~:text=The%20benefit%20of%20a%20civil,same%20way%20on%20your%20case</w:t>
        </w:r>
      </w:hyperlink>
      <w:r w:rsidR="00CC5129">
        <w:t xml:space="preserve"> [Accessed: 9 Mar. 2023]. </w:t>
      </w:r>
    </w:p>
    <w:p w14:paraId="66FE637C" w14:textId="483B8308" w:rsidR="000F71C4" w:rsidRDefault="000F71C4" w:rsidP="002F3E6D">
      <w:pPr>
        <w:pStyle w:val="NormalWeb"/>
        <w:spacing w:before="0" w:beforeAutospacing="0" w:after="240" w:afterAutospacing="0" w:line="360" w:lineRule="auto"/>
      </w:pPr>
    </w:p>
    <w:p w14:paraId="2E1EB4D5" w14:textId="58DF80CA" w:rsidR="000F71C4" w:rsidRDefault="000F71C4" w:rsidP="002F3E6D">
      <w:pPr>
        <w:pStyle w:val="NormalWeb"/>
        <w:spacing w:before="0" w:beforeAutospacing="0" w:after="240" w:afterAutospacing="0" w:line="360" w:lineRule="auto"/>
      </w:pPr>
      <w:r>
        <w:t>National Geo</w:t>
      </w:r>
      <w:r w:rsidR="00495F48">
        <w:t xml:space="preserve">graphic (2022) </w:t>
      </w:r>
      <w:r w:rsidR="00495F48">
        <w:rPr>
          <w:i/>
          <w:iCs/>
        </w:rPr>
        <w:t xml:space="preserve">Jury. </w:t>
      </w:r>
      <w:r w:rsidR="00495F48">
        <w:t xml:space="preserve">Available at: </w:t>
      </w:r>
      <w:hyperlink r:id="rId19" w:history="1">
        <w:r w:rsidR="00495F48" w:rsidRPr="00746065">
          <w:rPr>
            <w:rStyle w:val="Hyperlink"/>
          </w:rPr>
          <w:t>https://education.nationalgeographic.org/resource/jury/</w:t>
        </w:r>
      </w:hyperlink>
      <w:r w:rsidR="00495F48">
        <w:t xml:space="preserve"> [Accessed 9 Mar. 2023].</w:t>
      </w:r>
    </w:p>
    <w:p w14:paraId="115C9842" w14:textId="3E1E848A" w:rsidR="00F13247" w:rsidRDefault="00F13247" w:rsidP="002F3E6D">
      <w:pPr>
        <w:pStyle w:val="NormalWeb"/>
        <w:spacing w:before="0" w:beforeAutospacing="0" w:after="240" w:afterAutospacing="0" w:line="360" w:lineRule="auto"/>
      </w:pPr>
    </w:p>
    <w:p w14:paraId="7107BCDD" w14:textId="67DBEFFC" w:rsidR="00260EDF" w:rsidRDefault="00260EDF" w:rsidP="00260EDF">
      <w:pPr>
        <w:pStyle w:val="NormalWeb"/>
        <w:spacing w:before="0" w:beforeAutospacing="0" w:after="240" w:afterAutospacing="0" w:line="360" w:lineRule="auto"/>
      </w:pPr>
      <w:r>
        <w:t xml:space="preserve">Koch Jr, C.H. (2004). The Advantages of the Civil Law Judicial Design as the Model for Emerging Legal Systems. </w:t>
      </w:r>
      <w:r>
        <w:rPr>
          <w:i/>
          <w:iCs/>
        </w:rPr>
        <w:t>Indiana Journal of Global Legal Studies</w:t>
      </w:r>
      <w:r>
        <w:t xml:space="preserve">, [online] 11(1). Available at: </w:t>
      </w:r>
      <w:hyperlink r:id="rId20" w:history="1">
        <w:r w:rsidRPr="00746065">
          <w:rPr>
            <w:rStyle w:val="Hyperlink"/>
          </w:rPr>
          <w:t>https://www.jstor.org/stable/10.2979/gls.2004.11.1.139</w:t>
        </w:r>
      </w:hyperlink>
      <w:r>
        <w:t xml:space="preserve"> [Accessed 9 Mar. 2023].</w:t>
      </w:r>
    </w:p>
    <w:p w14:paraId="33CF7DFF" w14:textId="77777777" w:rsidR="00260EDF" w:rsidRPr="00495F48" w:rsidRDefault="00260EDF" w:rsidP="002F3E6D">
      <w:pPr>
        <w:pStyle w:val="NormalWeb"/>
        <w:spacing w:before="0" w:beforeAutospacing="0" w:after="240" w:afterAutospacing="0" w:line="360" w:lineRule="auto"/>
      </w:pPr>
    </w:p>
    <w:p w14:paraId="65652582" w14:textId="77777777" w:rsidR="00A37A6A" w:rsidRDefault="00A37A6A" w:rsidP="0008417B">
      <w:pPr>
        <w:pStyle w:val="NormalWeb"/>
        <w:spacing w:before="0" w:beforeAutospacing="0" w:after="240" w:afterAutospacing="0" w:line="360" w:lineRule="auto"/>
      </w:pPr>
    </w:p>
    <w:p w14:paraId="31CE10FF" w14:textId="77777777" w:rsidR="00F703E7" w:rsidRPr="00A73BE6" w:rsidRDefault="00F703E7" w:rsidP="0008417B">
      <w:pPr>
        <w:pStyle w:val="NormalWeb"/>
        <w:spacing w:before="0" w:beforeAutospacing="0" w:after="240" w:afterAutospacing="0" w:line="360" w:lineRule="auto"/>
      </w:pPr>
    </w:p>
    <w:p w14:paraId="36A3D8C5" w14:textId="77777777" w:rsidR="0008417B" w:rsidRPr="00014F35" w:rsidRDefault="0008417B" w:rsidP="00EB6F2C">
      <w:pPr>
        <w:pStyle w:val="NormalWeb"/>
        <w:spacing w:before="0" w:beforeAutospacing="0" w:after="240" w:afterAutospacing="0" w:line="360" w:lineRule="auto"/>
      </w:pPr>
    </w:p>
    <w:p w14:paraId="52404A61" w14:textId="77777777" w:rsidR="00213A8C" w:rsidRPr="00DA06A9" w:rsidRDefault="00213A8C" w:rsidP="00EB6F2C">
      <w:pPr>
        <w:pStyle w:val="NormalWeb"/>
        <w:spacing w:before="0" w:beforeAutospacing="0" w:after="240" w:afterAutospacing="0" w:line="360" w:lineRule="auto"/>
      </w:pPr>
    </w:p>
    <w:p w14:paraId="72FA61AA" w14:textId="61CEB3F7" w:rsidR="00AE7078" w:rsidRDefault="00AE7078" w:rsidP="00AE7078">
      <w:pPr>
        <w:pStyle w:val="NormalWeb"/>
        <w:rPr>
          <w:color w:val="000000"/>
        </w:rPr>
      </w:pPr>
    </w:p>
    <w:p w14:paraId="4DF1756E" w14:textId="77777777" w:rsidR="00AE7078" w:rsidRPr="00AE7078" w:rsidRDefault="00AE7078" w:rsidP="00AE7078"/>
    <w:sectPr w:rsidR="00AE7078" w:rsidRPr="00AE7078" w:rsidSect="0067671E">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060372"/>
    <w:rsid w:val="00000291"/>
    <w:rsid w:val="0000283E"/>
    <w:rsid w:val="00011ED7"/>
    <w:rsid w:val="00014F35"/>
    <w:rsid w:val="000313F9"/>
    <w:rsid w:val="000327F4"/>
    <w:rsid w:val="0004044E"/>
    <w:rsid w:val="000421DF"/>
    <w:rsid w:val="00056A88"/>
    <w:rsid w:val="00063384"/>
    <w:rsid w:val="000647F4"/>
    <w:rsid w:val="000710DF"/>
    <w:rsid w:val="000740B4"/>
    <w:rsid w:val="0008417B"/>
    <w:rsid w:val="00085DDC"/>
    <w:rsid w:val="0009334D"/>
    <w:rsid w:val="00095677"/>
    <w:rsid w:val="00095AC2"/>
    <w:rsid w:val="000A616F"/>
    <w:rsid w:val="000A7567"/>
    <w:rsid w:val="000C69D9"/>
    <w:rsid w:val="000D1C31"/>
    <w:rsid w:val="000E7B0B"/>
    <w:rsid w:val="000F04C0"/>
    <w:rsid w:val="000F71C4"/>
    <w:rsid w:val="00105D5A"/>
    <w:rsid w:val="001273F8"/>
    <w:rsid w:val="00141506"/>
    <w:rsid w:val="001629A3"/>
    <w:rsid w:val="0017214D"/>
    <w:rsid w:val="0018198E"/>
    <w:rsid w:val="00194BCC"/>
    <w:rsid w:val="001A51C6"/>
    <w:rsid w:val="001C6EE6"/>
    <w:rsid w:val="001D25B2"/>
    <w:rsid w:val="001F5843"/>
    <w:rsid w:val="00205652"/>
    <w:rsid w:val="002069FA"/>
    <w:rsid w:val="00213A8C"/>
    <w:rsid w:val="0023622B"/>
    <w:rsid w:val="00243D97"/>
    <w:rsid w:val="002461A2"/>
    <w:rsid w:val="00252968"/>
    <w:rsid w:val="00260EDF"/>
    <w:rsid w:val="00283406"/>
    <w:rsid w:val="00283BCC"/>
    <w:rsid w:val="00285F20"/>
    <w:rsid w:val="002C3B46"/>
    <w:rsid w:val="002C7BC8"/>
    <w:rsid w:val="002F2B65"/>
    <w:rsid w:val="002F3E6D"/>
    <w:rsid w:val="002F4156"/>
    <w:rsid w:val="00310E4B"/>
    <w:rsid w:val="00322BFE"/>
    <w:rsid w:val="0033536E"/>
    <w:rsid w:val="00343D6C"/>
    <w:rsid w:val="00372E3F"/>
    <w:rsid w:val="003855B0"/>
    <w:rsid w:val="0039665D"/>
    <w:rsid w:val="003A5B8C"/>
    <w:rsid w:val="003A788E"/>
    <w:rsid w:val="003B0E1A"/>
    <w:rsid w:val="003B3BF1"/>
    <w:rsid w:val="003B402D"/>
    <w:rsid w:val="003D3ABC"/>
    <w:rsid w:val="003D56CC"/>
    <w:rsid w:val="003F6CD4"/>
    <w:rsid w:val="00407871"/>
    <w:rsid w:val="00446FFE"/>
    <w:rsid w:val="00450315"/>
    <w:rsid w:val="00464BAF"/>
    <w:rsid w:val="00467B60"/>
    <w:rsid w:val="00481C51"/>
    <w:rsid w:val="00495F48"/>
    <w:rsid w:val="004B4117"/>
    <w:rsid w:val="004C220F"/>
    <w:rsid w:val="004C2819"/>
    <w:rsid w:val="004C4872"/>
    <w:rsid w:val="004E7397"/>
    <w:rsid w:val="004F2CD2"/>
    <w:rsid w:val="004F3173"/>
    <w:rsid w:val="00504A77"/>
    <w:rsid w:val="005352A8"/>
    <w:rsid w:val="0053683C"/>
    <w:rsid w:val="0057010C"/>
    <w:rsid w:val="0058639C"/>
    <w:rsid w:val="00592A16"/>
    <w:rsid w:val="005E177A"/>
    <w:rsid w:val="006073E2"/>
    <w:rsid w:val="0063173D"/>
    <w:rsid w:val="00640113"/>
    <w:rsid w:val="00653497"/>
    <w:rsid w:val="00666D37"/>
    <w:rsid w:val="0067671E"/>
    <w:rsid w:val="00676ABE"/>
    <w:rsid w:val="006941CA"/>
    <w:rsid w:val="006A01A7"/>
    <w:rsid w:val="006A4592"/>
    <w:rsid w:val="006D4011"/>
    <w:rsid w:val="006E297B"/>
    <w:rsid w:val="006E69D8"/>
    <w:rsid w:val="006F40E9"/>
    <w:rsid w:val="007014CF"/>
    <w:rsid w:val="00703B48"/>
    <w:rsid w:val="007042F5"/>
    <w:rsid w:val="00724C2B"/>
    <w:rsid w:val="00726AE0"/>
    <w:rsid w:val="007752B7"/>
    <w:rsid w:val="00781B2D"/>
    <w:rsid w:val="007B3E1E"/>
    <w:rsid w:val="007B73B0"/>
    <w:rsid w:val="007C29DE"/>
    <w:rsid w:val="007C6DDD"/>
    <w:rsid w:val="007D1242"/>
    <w:rsid w:val="007F3F9E"/>
    <w:rsid w:val="00800214"/>
    <w:rsid w:val="008022A4"/>
    <w:rsid w:val="00803ACC"/>
    <w:rsid w:val="00806484"/>
    <w:rsid w:val="008115F3"/>
    <w:rsid w:val="0081246B"/>
    <w:rsid w:val="00843B49"/>
    <w:rsid w:val="008528AA"/>
    <w:rsid w:val="00872C0B"/>
    <w:rsid w:val="00885E1B"/>
    <w:rsid w:val="008E6F50"/>
    <w:rsid w:val="009210C0"/>
    <w:rsid w:val="00927BCF"/>
    <w:rsid w:val="00947CB3"/>
    <w:rsid w:val="00970B14"/>
    <w:rsid w:val="00986BFA"/>
    <w:rsid w:val="009953A9"/>
    <w:rsid w:val="009A3107"/>
    <w:rsid w:val="009A655D"/>
    <w:rsid w:val="009B17CB"/>
    <w:rsid w:val="009B5A4B"/>
    <w:rsid w:val="009B7D57"/>
    <w:rsid w:val="009C5FEB"/>
    <w:rsid w:val="009D3CFA"/>
    <w:rsid w:val="009D513E"/>
    <w:rsid w:val="009E3FA7"/>
    <w:rsid w:val="009F4012"/>
    <w:rsid w:val="009F6B81"/>
    <w:rsid w:val="00A058B5"/>
    <w:rsid w:val="00A062A1"/>
    <w:rsid w:val="00A21B24"/>
    <w:rsid w:val="00A37A6A"/>
    <w:rsid w:val="00A43C28"/>
    <w:rsid w:val="00A61B30"/>
    <w:rsid w:val="00A73BE6"/>
    <w:rsid w:val="00A7487C"/>
    <w:rsid w:val="00A82501"/>
    <w:rsid w:val="00A87B18"/>
    <w:rsid w:val="00A90B68"/>
    <w:rsid w:val="00A93D77"/>
    <w:rsid w:val="00AA17B9"/>
    <w:rsid w:val="00AB1CD2"/>
    <w:rsid w:val="00AD0221"/>
    <w:rsid w:val="00AD18A1"/>
    <w:rsid w:val="00AD27E6"/>
    <w:rsid w:val="00AE620D"/>
    <w:rsid w:val="00AE7078"/>
    <w:rsid w:val="00B01DED"/>
    <w:rsid w:val="00B03C04"/>
    <w:rsid w:val="00B11B4D"/>
    <w:rsid w:val="00B35C2E"/>
    <w:rsid w:val="00B3657B"/>
    <w:rsid w:val="00B402C0"/>
    <w:rsid w:val="00B40505"/>
    <w:rsid w:val="00B52C49"/>
    <w:rsid w:val="00B576CA"/>
    <w:rsid w:val="00B57E58"/>
    <w:rsid w:val="00B761C4"/>
    <w:rsid w:val="00BA08EB"/>
    <w:rsid w:val="00BD66C7"/>
    <w:rsid w:val="00BD7410"/>
    <w:rsid w:val="00BE6CDD"/>
    <w:rsid w:val="00C044C8"/>
    <w:rsid w:val="00C26C3F"/>
    <w:rsid w:val="00C306DA"/>
    <w:rsid w:val="00C441D6"/>
    <w:rsid w:val="00C450FA"/>
    <w:rsid w:val="00C57782"/>
    <w:rsid w:val="00C83963"/>
    <w:rsid w:val="00CA35F4"/>
    <w:rsid w:val="00CA7BB8"/>
    <w:rsid w:val="00CB1697"/>
    <w:rsid w:val="00CC5129"/>
    <w:rsid w:val="00CD17BC"/>
    <w:rsid w:val="00CD2D5E"/>
    <w:rsid w:val="00CD37BC"/>
    <w:rsid w:val="00D2322F"/>
    <w:rsid w:val="00D4175C"/>
    <w:rsid w:val="00D65B2A"/>
    <w:rsid w:val="00D660A6"/>
    <w:rsid w:val="00D667CF"/>
    <w:rsid w:val="00D7546B"/>
    <w:rsid w:val="00D95AE6"/>
    <w:rsid w:val="00DA06A9"/>
    <w:rsid w:val="00DA0C35"/>
    <w:rsid w:val="00DA3AC1"/>
    <w:rsid w:val="00DC0FFB"/>
    <w:rsid w:val="00DD4664"/>
    <w:rsid w:val="00DE63F5"/>
    <w:rsid w:val="00DF75F5"/>
    <w:rsid w:val="00E110F1"/>
    <w:rsid w:val="00E11275"/>
    <w:rsid w:val="00E11615"/>
    <w:rsid w:val="00E11B18"/>
    <w:rsid w:val="00E5265F"/>
    <w:rsid w:val="00E6154A"/>
    <w:rsid w:val="00E74DAE"/>
    <w:rsid w:val="00E77FCF"/>
    <w:rsid w:val="00E83CFE"/>
    <w:rsid w:val="00E9667C"/>
    <w:rsid w:val="00EB2BEF"/>
    <w:rsid w:val="00EB3DF8"/>
    <w:rsid w:val="00EB6F2C"/>
    <w:rsid w:val="00EC41AF"/>
    <w:rsid w:val="00ED0245"/>
    <w:rsid w:val="00F12BC6"/>
    <w:rsid w:val="00F13247"/>
    <w:rsid w:val="00F31252"/>
    <w:rsid w:val="00F53DC0"/>
    <w:rsid w:val="00F55EF5"/>
    <w:rsid w:val="00F62772"/>
    <w:rsid w:val="00F703E7"/>
    <w:rsid w:val="00F76D98"/>
    <w:rsid w:val="00F9057B"/>
    <w:rsid w:val="00FA1C88"/>
    <w:rsid w:val="00FB11EC"/>
    <w:rsid w:val="00FD0273"/>
    <w:rsid w:val="00FD4C4B"/>
    <w:rsid w:val="0A060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60372"/>
  <w15:chartTrackingRefBased/>
  <w15:docId w15:val="{2CDA8189-146D-4E25-8DF2-7082C8A7E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0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67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671E"/>
    <w:rPr>
      <w:rFonts w:eastAsiaTheme="minorEastAsia"/>
      <w:lang w:val="en-US"/>
    </w:rPr>
  </w:style>
  <w:style w:type="character" w:customStyle="1" w:styleId="Heading1Char">
    <w:name w:val="Heading 1 Char"/>
    <w:basedOn w:val="DefaultParagraphFont"/>
    <w:link w:val="Heading1"/>
    <w:uiPriority w:val="9"/>
    <w:rsid w:val="000710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10DF"/>
    <w:pPr>
      <w:outlineLvl w:val="9"/>
    </w:pPr>
    <w:rPr>
      <w:lang w:val="en-US"/>
    </w:rPr>
  </w:style>
  <w:style w:type="paragraph" w:styleId="TOC1">
    <w:name w:val="toc 1"/>
    <w:basedOn w:val="Normal"/>
    <w:next w:val="Normal"/>
    <w:autoRedefine/>
    <w:uiPriority w:val="39"/>
    <w:unhideWhenUsed/>
    <w:rsid w:val="000710DF"/>
    <w:pPr>
      <w:spacing w:after="100"/>
    </w:pPr>
  </w:style>
  <w:style w:type="character" w:styleId="Hyperlink">
    <w:name w:val="Hyperlink"/>
    <w:basedOn w:val="DefaultParagraphFont"/>
    <w:uiPriority w:val="99"/>
    <w:unhideWhenUsed/>
    <w:rsid w:val="000710DF"/>
    <w:rPr>
      <w:color w:val="0563C1" w:themeColor="hyperlink"/>
      <w:u w:val="single"/>
    </w:rPr>
  </w:style>
  <w:style w:type="paragraph" w:styleId="NormalWeb">
    <w:name w:val="Normal (Web)"/>
    <w:basedOn w:val="Normal"/>
    <w:uiPriority w:val="99"/>
    <w:semiHidden/>
    <w:unhideWhenUsed/>
    <w:rsid w:val="00AE70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BA08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8EB"/>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B3DF8"/>
    <w:rPr>
      <w:color w:val="605E5C"/>
      <w:shd w:val="clear" w:color="auto" w:fill="E1DFDD"/>
    </w:rPr>
  </w:style>
  <w:style w:type="character" w:styleId="FollowedHyperlink">
    <w:name w:val="FollowedHyperlink"/>
    <w:basedOn w:val="DefaultParagraphFont"/>
    <w:uiPriority w:val="99"/>
    <w:semiHidden/>
    <w:unhideWhenUsed/>
    <w:rsid w:val="00F132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527253">
      <w:bodyDiv w:val="1"/>
      <w:marLeft w:val="0"/>
      <w:marRight w:val="0"/>
      <w:marTop w:val="0"/>
      <w:marBottom w:val="0"/>
      <w:divBdr>
        <w:top w:val="none" w:sz="0" w:space="0" w:color="auto"/>
        <w:left w:val="none" w:sz="0" w:space="0" w:color="auto"/>
        <w:bottom w:val="none" w:sz="0" w:space="0" w:color="auto"/>
        <w:right w:val="none" w:sz="0" w:space="0" w:color="auto"/>
      </w:divBdr>
      <w:divsChild>
        <w:div w:id="548424136">
          <w:marLeft w:val="0"/>
          <w:marRight w:val="0"/>
          <w:marTop w:val="0"/>
          <w:marBottom w:val="0"/>
          <w:divBdr>
            <w:top w:val="none" w:sz="0" w:space="0" w:color="auto"/>
            <w:left w:val="none" w:sz="0" w:space="0" w:color="auto"/>
            <w:bottom w:val="none" w:sz="0" w:space="0" w:color="auto"/>
            <w:right w:val="none" w:sz="0" w:space="0" w:color="auto"/>
          </w:divBdr>
        </w:div>
      </w:divsChild>
    </w:div>
    <w:div w:id="329528834">
      <w:bodyDiv w:val="1"/>
      <w:marLeft w:val="0"/>
      <w:marRight w:val="0"/>
      <w:marTop w:val="0"/>
      <w:marBottom w:val="0"/>
      <w:divBdr>
        <w:top w:val="none" w:sz="0" w:space="0" w:color="auto"/>
        <w:left w:val="none" w:sz="0" w:space="0" w:color="auto"/>
        <w:bottom w:val="none" w:sz="0" w:space="0" w:color="auto"/>
        <w:right w:val="none" w:sz="0" w:space="0" w:color="auto"/>
      </w:divBdr>
      <w:divsChild>
        <w:div w:id="508376358">
          <w:marLeft w:val="0"/>
          <w:marRight w:val="0"/>
          <w:marTop w:val="0"/>
          <w:marBottom w:val="0"/>
          <w:divBdr>
            <w:top w:val="none" w:sz="0" w:space="0" w:color="auto"/>
            <w:left w:val="none" w:sz="0" w:space="0" w:color="auto"/>
            <w:bottom w:val="none" w:sz="0" w:space="0" w:color="auto"/>
            <w:right w:val="none" w:sz="0" w:space="0" w:color="auto"/>
          </w:divBdr>
        </w:div>
      </w:divsChild>
    </w:div>
    <w:div w:id="1009139421">
      <w:bodyDiv w:val="1"/>
      <w:marLeft w:val="0"/>
      <w:marRight w:val="0"/>
      <w:marTop w:val="0"/>
      <w:marBottom w:val="0"/>
      <w:divBdr>
        <w:top w:val="none" w:sz="0" w:space="0" w:color="auto"/>
        <w:left w:val="none" w:sz="0" w:space="0" w:color="auto"/>
        <w:bottom w:val="none" w:sz="0" w:space="0" w:color="auto"/>
        <w:right w:val="none" w:sz="0" w:space="0" w:color="auto"/>
      </w:divBdr>
    </w:div>
    <w:div w:id="1103111237">
      <w:bodyDiv w:val="1"/>
      <w:marLeft w:val="0"/>
      <w:marRight w:val="0"/>
      <w:marTop w:val="0"/>
      <w:marBottom w:val="0"/>
      <w:divBdr>
        <w:top w:val="none" w:sz="0" w:space="0" w:color="auto"/>
        <w:left w:val="none" w:sz="0" w:space="0" w:color="auto"/>
        <w:bottom w:val="none" w:sz="0" w:space="0" w:color="auto"/>
        <w:right w:val="none" w:sz="0" w:space="0" w:color="auto"/>
      </w:divBdr>
    </w:div>
    <w:div w:id="1112818897">
      <w:bodyDiv w:val="1"/>
      <w:marLeft w:val="0"/>
      <w:marRight w:val="0"/>
      <w:marTop w:val="0"/>
      <w:marBottom w:val="0"/>
      <w:divBdr>
        <w:top w:val="none" w:sz="0" w:space="0" w:color="auto"/>
        <w:left w:val="none" w:sz="0" w:space="0" w:color="auto"/>
        <w:bottom w:val="none" w:sz="0" w:space="0" w:color="auto"/>
        <w:right w:val="none" w:sz="0" w:space="0" w:color="auto"/>
      </w:divBdr>
      <w:divsChild>
        <w:div w:id="1851021960">
          <w:marLeft w:val="0"/>
          <w:marRight w:val="0"/>
          <w:marTop w:val="0"/>
          <w:marBottom w:val="0"/>
          <w:divBdr>
            <w:top w:val="none" w:sz="0" w:space="0" w:color="auto"/>
            <w:left w:val="none" w:sz="0" w:space="0" w:color="auto"/>
            <w:bottom w:val="none" w:sz="0" w:space="0" w:color="auto"/>
            <w:right w:val="none" w:sz="0" w:space="0" w:color="auto"/>
          </w:divBdr>
        </w:div>
      </w:divsChild>
    </w:div>
    <w:div w:id="1211960194">
      <w:bodyDiv w:val="1"/>
      <w:marLeft w:val="0"/>
      <w:marRight w:val="0"/>
      <w:marTop w:val="0"/>
      <w:marBottom w:val="0"/>
      <w:divBdr>
        <w:top w:val="none" w:sz="0" w:space="0" w:color="auto"/>
        <w:left w:val="none" w:sz="0" w:space="0" w:color="auto"/>
        <w:bottom w:val="none" w:sz="0" w:space="0" w:color="auto"/>
        <w:right w:val="none" w:sz="0" w:space="0" w:color="auto"/>
      </w:divBdr>
    </w:div>
    <w:div w:id="1384259422">
      <w:bodyDiv w:val="1"/>
      <w:marLeft w:val="0"/>
      <w:marRight w:val="0"/>
      <w:marTop w:val="0"/>
      <w:marBottom w:val="0"/>
      <w:divBdr>
        <w:top w:val="none" w:sz="0" w:space="0" w:color="auto"/>
        <w:left w:val="none" w:sz="0" w:space="0" w:color="auto"/>
        <w:bottom w:val="none" w:sz="0" w:space="0" w:color="auto"/>
        <w:right w:val="none" w:sz="0" w:space="0" w:color="auto"/>
      </w:divBdr>
      <w:divsChild>
        <w:div w:id="626814512">
          <w:marLeft w:val="0"/>
          <w:marRight w:val="0"/>
          <w:marTop w:val="0"/>
          <w:marBottom w:val="0"/>
          <w:divBdr>
            <w:top w:val="none" w:sz="0" w:space="0" w:color="auto"/>
            <w:left w:val="none" w:sz="0" w:space="0" w:color="auto"/>
            <w:bottom w:val="none" w:sz="0" w:space="0" w:color="auto"/>
            <w:right w:val="none" w:sz="0" w:space="0" w:color="auto"/>
          </w:divBdr>
        </w:div>
      </w:divsChild>
    </w:div>
    <w:div w:id="1417242548">
      <w:bodyDiv w:val="1"/>
      <w:marLeft w:val="0"/>
      <w:marRight w:val="0"/>
      <w:marTop w:val="0"/>
      <w:marBottom w:val="0"/>
      <w:divBdr>
        <w:top w:val="none" w:sz="0" w:space="0" w:color="auto"/>
        <w:left w:val="none" w:sz="0" w:space="0" w:color="auto"/>
        <w:bottom w:val="none" w:sz="0" w:space="0" w:color="auto"/>
        <w:right w:val="none" w:sz="0" w:space="0" w:color="auto"/>
      </w:divBdr>
      <w:divsChild>
        <w:div w:id="1503661392">
          <w:marLeft w:val="0"/>
          <w:marRight w:val="0"/>
          <w:marTop w:val="0"/>
          <w:marBottom w:val="0"/>
          <w:divBdr>
            <w:top w:val="none" w:sz="0" w:space="0" w:color="auto"/>
            <w:left w:val="none" w:sz="0" w:space="0" w:color="auto"/>
            <w:bottom w:val="none" w:sz="0" w:space="0" w:color="auto"/>
            <w:right w:val="none" w:sz="0" w:space="0" w:color="auto"/>
          </w:divBdr>
        </w:div>
      </w:divsChild>
    </w:div>
    <w:div w:id="1441757650">
      <w:bodyDiv w:val="1"/>
      <w:marLeft w:val="0"/>
      <w:marRight w:val="0"/>
      <w:marTop w:val="0"/>
      <w:marBottom w:val="0"/>
      <w:divBdr>
        <w:top w:val="none" w:sz="0" w:space="0" w:color="auto"/>
        <w:left w:val="none" w:sz="0" w:space="0" w:color="auto"/>
        <w:bottom w:val="none" w:sz="0" w:space="0" w:color="auto"/>
        <w:right w:val="none" w:sz="0" w:space="0" w:color="auto"/>
      </w:divBdr>
    </w:div>
    <w:div w:id="1447458596">
      <w:bodyDiv w:val="1"/>
      <w:marLeft w:val="0"/>
      <w:marRight w:val="0"/>
      <w:marTop w:val="0"/>
      <w:marBottom w:val="0"/>
      <w:divBdr>
        <w:top w:val="none" w:sz="0" w:space="0" w:color="auto"/>
        <w:left w:val="none" w:sz="0" w:space="0" w:color="auto"/>
        <w:bottom w:val="none" w:sz="0" w:space="0" w:color="auto"/>
        <w:right w:val="none" w:sz="0" w:space="0" w:color="auto"/>
      </w:divBdr>
    </w:div>
    <w:div w:id="1518886490">
      <w:bodyDiv w:val="1"/>
      <w:marLeft w:val="0"/>
      <w:marRight w:val="0"/>
      <w:marTop w:val="0"/>
      <w:marBottom w:val="0"/>
      <w:divBdr>
        <w:top w:val="none" w:sz="0" w:space="0" w:color="auto"/>
        <w:left w:val="none" w:sz="0" w:space="0" w:color="auto"/>
        <w:bottom w:val="none" w:sz="0" w:space="0" w:color="auto"/>
        <w:right w:val="none" w:sz="0" w:space="0" w:color="auto"/>
      </w:divBdr>
      <w:divsChild>
        <w:div w:id="1619680215">
          <w:marLeft w:val="0"/>
          <w:marRight w:val="0"/>
          <w:marTop w:val="0"/>
          <w:marBottom w:val="0"/>
          <w:divBdr>
            <w:top w:val="none" w:sz="0" w:space="0" w:color="auto"/>
            <w:left w:val="none" w:sz="0" w:space="0" w:color="auto"/>
            <w:bottom w:val="none" w:sz="0" w:space="0" w:color="auto"/>
            <w:right w:val="none" w:sz="0" w:space="0" w:color="auto"/>
          </w:divBdr>
        </w:div>
      </w:divsChild>
    </w:div>
    <w:div w:id="1567955986">
      <w:bodyDiv w:val="1"/>
      <w:marLeft w:val="0"/>
      <w:marRight w:val="0"/>
      <w:marTop w:val="0"/>
      <w:marBottom w:val="0"/>
      <w:divBdr>
        <w:top w:val="none" w:sz="0" w:space="0" w:color="auto"/>
        <w:left w:val="none" w:sz="0" w:space="0" w:color="auto"/>
        <w:bottom w:val="none" w:sz="0" w:space="0" w:color="auto"/>
        <w:right w:val="none" w:sz="0" w:space="0" w:color="auto"/>
      </w:divBdr>
      <w:divsChild>
        <w:div w:id="1591888517">
          <w:marLeft w:val="0"/>
          <w:marRight w:val="0"/>
          <w:marTop w:val="0"/>
          <w:marBottom w:val="0"/>
          <w:divBdr>
            <w:top w:val="none" w:sz="0" w:space="0" w:color="auto"/>
            <w:left w:val="none" w:sz="0" w:space="0" w:color="auto"/>
            <w:bottom w:val="none" w:sz="0" w:space="0" w:color="auto"/>
            <w:right w:val="none" w:sz="0" w:space="0" w:color="auto"/>
          </w:divBdr>
        </w:div>
      </w:divsChild>
    </w:div>
    <w:div w:id="1606039207">
      <w:bodyDiv w:val="1"/>
      <w:marLeft w:val="0"/>
      <w:marRight w:val="0"/>
      <w:marTop w:val="0"/>
      <w:marBottom w:val="0"/>
      <w:divBdr>
        <w:top w:val="none" w:sz="0" w:space="0" w:color="auto"/>
        <w:left w:val="none" w:sz="0" w:space="0" w:color="auto"/>
        <w:bottom w:val="none" w:sz="0" w:space="0" w:color="auto"/>
        <w:right w:val="none" w:sz="0" w:space="0" w:color="auto"/>
      </w:divBdr>
      <w:divsChild>
        <w:div w:id="2017491208">
          <w:marLeft w:val="0"/>
          <w:marRight w:val="0"/>
          <w:marTop w:val="0"/>
          <w:marBottom w:val="0"/>
          <w:divBdr>
            <w:top w:val="none" w:sz="0" w:space="0" w:color="auto"/>
            <w:left w:val="none" w:sz="0" w:space="0" w:color="auto"/>
            <w:bottom w:val="none" w:sz="0" w:space="0" w:color="auto"/>
            <w:right w:val="none" w:sz="0" w:space="0" w:color="auto"/>
          </w:divBdr>
        </w:div>
      </w:divsChild>
    </w:div>
    <w:div w:id="1768652492">
      <w:bodyDiv w:val="1"/>
      <w:marLeft w:val="0"/>
      <w:marRight w:val="0"/>
      <w:marTop w:val="0"/>
      <w:marBottom w:val="0"/>
      <w:divBdr>
        <w:top w:val="none" w:sz="0" w:space="0" w:color="auto"/>
        <w:left w:val="none" w:sz="0" w:space="0" w:color="auto"/>
        <w:bottom w:val="none" w:sz="0" w:space="0" w:color="auto"/>
        <w:right w:val="none" w:sz="0" w:space="0" w:color="auto"/>
      </w:divBdr>
      <w:divsChild>
        <w:div w:id="477310148">
          <w:marLeft w:val="0"/>
          <w:marRight w:val="0"/>
          <w:marTop w:val="0"/>
          <w:marBottom w:val="0"/>
          <w:divBdr>
            <w:top w:val="none" w:sz="0" w:space="0" w:color="auto"/>
            <w:left w:val="none" w:sz="0" w:space="0" w:color="auto"/>
            <w:bottom w:val="none" w:sz="0" w:space="0" w:color="auto"/>
            <w:right w:val="none" w:sz="0" w:space="0" w:color="auto"/>
          </w:divBdr>
        </w:div>
      </w:divsChild>
    </w:div>
    <w:div w:id="211782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bodleian.ox.ac.uk/lawecases/foreign" TargetMode="External"/><Relationship Id="rId13" Type="http://schemas.openxmlformats.org/officeDocument/2006/relationships/hyperlink" Target="https://swarb.co.uk/london-street-tramways-v-london-county-council-hl-25-apr-1898/" TargetMode="External"/><Relationship Id="rId18" Type="http://schemas.openxmlformats.org/officeDocument/2006/relationships/hyperlink" Target="http://internationalbusinesslawadvisor.com/international-basics-whats-the-difference-between-common-law-and-civil-law/"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ox.libguides.com/c.php?g=422832&amp;p=2887374" TargetMode="External"/><Relationship Id="rId12" Type="http://schemas.openxmlformats.org/officeDocument/2006/relationships/hyperlink" Target="https://www.coursera.org/lecture/intro-common-law/advantages-and-disadvantages-of-precedent-pT1Up?irclickid=WE6RqlToXxyNUAZWPp1MB0h4UkAR0xyfiXAESA0&amp;irgwc=1&amp;utm_medium=partners&amp;utm_source=impact&amp;utm_campaign=1310690&amp;utm_content=b2c" TargetMode="External"/><Relationship Id="rId17" Type="http://schemas.openxmlformats.org/officeDocument/2006/relationships/hyperlink" Target="https://scholarship.law.upenn.edu/cgi/viewcontent.cgi?article=7583&amp;context=penn_law_review" TargetMode="External"/><Relationship Id="rId2" Type="http://schemas.openxmlformats.org/officeDocument/2006/relationships/styles" Target="styles.xml"/><Relationship Id="rId16" Type="http://schemas.openxmlformats.org/officeDocument/2006/relationships/hyperlink" Target="https://www.britannica.com/topic/civil-law-Romano-Germanic" TargetMode="External"/><Relationship Id="rId20" Type="http://schemas.openxmlformats.org/officeDocument/2006/relationships/hyperlink" Target="https://www.jstor.org/stable/10.2979/gls.2004.11.1.139"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jstor.org/stable/10.1086/511996" TargetMode="External"/><Relationship Id="rId5" Type="http://schemas.openxmlformats.org/officeDocument/2006/relationships/image" Target="media/image1.png"/><Relationship Id="rId15" Type="http://schemas.openxmlformats.org/officeDocument/2006/relationships/hyperlink" Target="https://ppp.worldbank.org/public-private-partnership/legislation-regulation/framework-assessment/legal-systems/common-vs-civil-law" TargetMode="External"/><Relationship Id="rId10" Type="http://schemas.openxmlformats.org/officeDocument/2006/relationships/hyperlink" Target="https://studyrocket.co.uk/revision/a-level-law-aqa/criminal-law/murder" TargetMode="External"/><Relationship Id="rId19" Type="http://schemas.openxmlformats.org/officeDocument/2006/relationships/hyperlink" Target="https://education.nationalgeographic.org/resource/jury/" TargetMode="External"/><Relationship Id="rId4" Type="http://schemas.openxmlformats.org/officeDocument/2006/relationships/webSettings" Target="webSettings.xml"/><Relationship Id="rId9" Type="http://schemas.openxmlformats.org/officeDocument/2006/relationships/hyperlink" Target="https://www.iclr.co.uk/knowledge/topics/the-english-legal-system/" TargetMode="External"/><Relationship Id="rId14" Type="http://schemas.openxmlformats.org/officeDocument/2006/relationships/hyperlink" Target="https://lexlaw.co.uk/solicitors-london/the-doctrine-of-legal-precedent-when-is-a-court-decision-bind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8</Pages>
  <Words>2253</Words>
  <Characters>12847</Characters>
  <Application>Microsoft Office Word</Application>
  <DocSecurity>0</DocSecurity>
  <Lines>107</Lines>
  <Paragraphs>30</Paragraphs>
  <ScaleCrop>false</ScaleCrop>
  <Company/>
  <LinksUpToDate>false</LinksUpToDate>
  <CharactersWithSpaces>15070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law</dc:title>
  <dc:subject>BMPL4011</dc:subject>
  <dc:creator>Jack Banner (2200212)</dc:creator>
  <cp:keywords/>
  <dc:description/>
  <cp:lastModifiedBy>Joe Webber</cp:lastModifiedBy>
  <cp:revision>233</cp:revision>
  <dcterms:created xsi:type="dcterms:W3CDTF">2023-03-06T14:17:00Z</dcterms:created>
  <dcterms:modified xsi:type="dcterms:W3CDTF">2023-03-09T21:16:00Z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aa62e6933e3e65682ad888215fa597ebdbe8defbafddede8bab94e33e770f32f</vt:lpwstr>
  </property>
</Properties>
</file>