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A1795" w14:textId="7FE647F1" w:rsidR="008D7602" w:rsidRDefault="008D7602" w:rsidP="008D7602">
      <w:r>
        <w:t>The Battle of Actium was the deciding battle in the war between Egypt and Rome, or Mark Antony and Octavian (Depending on who you ask).</w:t>
      </w:r>
      <w:r w:rsidR="00E526FC">
        <w:rPr>
          <w:rStyle w:val="FootnoteReference"/>
        </w:rPr>
        <w:footnoteReference w:id="1"/>
      </w:r>
      <w:r>
        <w:t xml:space="preserve"> The war had to be organised and presented very carefully, Rome had just seen the conclusion of a major civil war an</w:t>
      </w:r>
      <w:r w:rsidR="006B0EBB">
        <w:t xml:space="preserve">d </w:t>
      </w:r>
      <w:r w:rsidR="00A32A20">
        <w:t>no one wanted this to be another – although it was</w:t>
      </w:r>
      <w:r>
        <w:t>.</w:t>
      </w:r>
      <w:r w:rsidR="00C930AE">
        <w:rPr>
          <w:rStyle w:val="FootnoteReference"/>
        </w:rPr>
        <w:footnoteReference w:id="2"/>
      </w:r>
      <w:r>
        <w:t xml:space="preserve"> Rome had to show that this was a war with a foreign power, and that Cleopatra and the forces of Egypt were a valid threat to Rome. Cleopatra meanwhile was creating her own Propaganda: trying to solidify her control over Egypt and show her new husband and children as </w:t>
      </w:r>
      <w:r w:rsidR="007A3B9D">
        <w:t>a desirable choice</w:t>
      </w:r>
      <w:r>
        <w:t xml:space="preserve"> for the throne, Egypt too having just fought a civil war.</w:t>
      </w:r>
      <w:r w:rsidR="00C930AE">
        <w:rPr>
          <w:rStyle w:val="FootnoteReference"/>
        </w:rPr>
        <w:footnoteReference w:id="3"/>
      </w:r>
      <w:r>
        <w:t xml:space="preserve"> These rather fantastic propaganda campaigns both miss some of the more impactful factors that led to the outcomes of Actium, and lead up to the fall of Alexandria, and the annexation of Egypt. </w:t>
      </w:r>
    </w:p>
    <w:p w14:paraId="70C63C47" w14:textId="2C3F3DBF" w:rsidR="008D7602" w:rsidRDefault="008D7602" w:rsidP="008D7602">
      <w:r>
        <w:t xml:space="preserve">Throughout this essay I have changed my titling of both Cleopatra and </w:t>
      </w:r>
      <w:r w:rsidR="00A84602">
        <w:t>Augustus</w:t>
      </w:r>
      <w:r>
        <w:t xml:space="preserve">. For </w:t>
      </w:r>
      <w:r w:rsidR="00F50C04">
        <w:t>Cleopatra,</w:t>
      </w:r>
      <w:r>
        <w:t xml:space="preserve"> I have addressed her as both Pharaoh and Queen as both titles have been attributed to her by</w:t>
      </w:r>
      <w:r w:rsidR="00C13633">
        <w:t xml:space="preserve"> </w:t>
      </w:r>
      <w:r>
        <w:t xml:space="preserve">scholars. </w:t>
      </w:r>
      <w:r w:rsidR="0007590D">
        <w:t>Augustus,</w:t>
      </w:r>
      <w:r>
        <w:t xml:space="preserve"> I have addressed as both Augustus and Octavian as they are both his names, although for the majority of the period this is written about he was called Octavian.</w:t>
      </w:r>
      <w:r w:rsidR="004B1D76">
        <w:rPr>
          <w:rStyle w:val="FootnoteReference"/>
        </w:rPr>
        <w:footnoteReference w:id="4"/>
      </w:r>
      <w:r>
        <w:t xml:space="preserve"> </w:t>
      </w:r>
    </w:p>
    <w:p w14:paraId="1E87BFD6" w14:textId="1B549CAE" w:rsidR="008D7602" w:rsidRDefault="008D7602" w:rsidP="008D7602">
      <w:r>
        <w:t xml:space="preserve">Augustus’ least propagandistic statement does come from his personal ‘memoirs’ Res Gestae Divi Augusti, in which the battle of Actium, and the subsequent addition of Egypt, are both very </w:t>
      </w:r>
      <w:r w:rsidR="00A84602">
        <w:t>simplistically</w:t>
      </w:r>
      <w:r>
        <w:t xml:space="preserve"> described, they are single sentences in </w:t>
      </w:r>
      <w:r w:rsidR="00A84602">
        <w:t>Augustus’</w:t>
      </w:r>
      <w:r>
        <w:t xml:space="preserve"> greatness.</w:t>
      </w:r>
      <w:r w:rsidR="004B1D76">
        <w:rPr>
          <w:rStyle w:val="FootnoteReference"/>
        </w:rPr>
        <w:footnoteReference w:id="5"/>
      </w:r>
      <w:r>
        <w:t xml:space="preserve"> Mark Antony is also not mentioned, even when references are made to Augustus’ position as Triumvir</w:t>
      </w:r>
      <w:r w:rsidR="007A3B9D">
        <w:t>.</w:t>
      </w:r>
      <w:r w:rsidR="004B1D76">
        <w:rPr>
          <w:rStyle w:val="FootnoteReference"/>
        </w:rPr>
        <w:footnoteReference w:id="6"/>
      </w:r>
      <w:r w:rsidR="007A3B9D">
        <w:t xml:space="preserve"> </w:t>
      </w:r>
      <w:r>
        <w:t xml:space="preserve">While everything within the Res Gestae is factually correct there are a few of these general </w:t>
      </w:r>
      <w:r w:rsidR="0007590D">
        <w:t>o</w:t>
      </w:r>
      <w:r>
        <w:t>missions.</w:t>
      </w:r>
      <w:r w:rsidR="00AB03E0">
        <w:rPr>
          <w:rStyle w:val="FootnoteReference"/>
        </w:rPr>
        <w:footnoteReference w:id="7"/>
      </w:r>
      <w:r>
        <w:t xml:space="preserve"> The most notable portion of this however, is that this was not meant to be seen during Augustus’ life but was to be viewed and read after his death, it shows the lasting legacy he wanted to portray, one that was without Mark Antony and Cleopatra. Cleopatra and Antony had no such memorials, and the burial places of both have remained a </w:t>
      </w:r>
      <w:r w:rsidR="009B3C59">
        <w:t>mystery and</w:t>
      </w:r>
      <w:r>
        <w:t xml:space="preserve"> will likely remain hidden.</w:t>
      </w:r>
      <w:r w:rsidR="00AB03E0">
        <w:rPr>
          <w:rStyle w:val="FootnoteReference"/>
        </w:rPr>
        <w:footnoteReference w:id="8"/>
      </w:r>
      <w:r>
        <w:t xml:space="preserve"> This is most likely a true action, as there are two sources to state it as fact</w:t>
      </w:r>
      <w:r w:rsidR="00AB03E0">
        <w:rPr>
          <w:rStyle w:val="FootnoteReference"/>
        </w:rPr>
        <w:footnoteReference w:id="9"/>
      </w:r>
      <w:r>
        <w:t xml:space="preserve"> - although both are of varying degrees of reliability. </w:t>
      </w:r>
    </w:p>
    <w:p w14:paraId="21813484" w14:textId="77777777" w:rsidR="00060BED" w:rsidRDefault="00A84602" w:rsidP="008D7602">
      <w:r>
        <w:t>Augustus</w:t>
      </w:r>
      <w:r w:rsidR="008D7602">
        <w:t xml:space="preserve"> was careful to legitimise the war, using both overt and less </w:t>
      </w:r>
      <w:r w:rsidR="00396043">
        <w:t>well-known</w:t>
      </w:r>
      <w:r w:rsidR="008D7602">
        <w:t xml:space="preserve"> means. He declared war on Egypt.</w:t>
      </w:r>
      <w:r w:rsidR="00AB03E0">
        <w:rPr>
          <w:rStyle w:val="FootnoteReference"/>
        </w:rPr>
        <w:footnoteReference w:id="10"/>
      </w:r>
      <w:r w:rsidR="008D7602">
        <w:t xml:space="preserve"> While slightly ‘antiquated’ the ceremony went over well in Egypt, he marked out a plot of land and named it Egypt, and using </w:t>
      </w:r>
      <w:r w:rsidR="00B146A4">
        <w:t>a spear</w:t>
      </w:r>
      <w:r w:rsidR="008D7602">
        <w:t xml:space="preserve"> to strike the land he declared war on Antony and Cleopatra, through the medium of Egypt.</w:t>
      </w:r>
      <w:r w:rsidR="00AB03E0">
        <w:rPr>
          <w:rStyle w:val="FootnoteReference"/>
        </w:rPr>
        <w:footnoteReference w:id="11"/>
      </w:r>
      <w:r w:rsidR="008D7602">
        <w:t xml:space="preserve"> This made it, for all purposes a foreign war. Avoiding another Civil war seems to be one of the things </w:t>
      </w:r>
      <w:r>
        <w:t>Augustus</w:t>
      </w:r>
      <w:r w:rsidR="008D7602">
        <w:t xml:space="preserve"> pushed for with his framing of his enemies throughout this period. </w:t>
      </w:r>
    </w:p>
    <w:p w14:paraId="58DEA33F" w14:textId="10016B61" w:rsidR="008D7602" w:rsidRDefault="008D7602" w:rsidP="008D7602">
      <w:r>
        <w:lastRenderedPageBreak/>
        <w:t>But how did he make Egypt a valid threat? By making Cleopatra a threat and reducing Mark Antony to someone trapped in her wiles, she became a vapid woman and a lot of the things around her that are treated as historical fact could have been fabricated in the vicious propaganda around her. Her death by an asp, while not intentional on Augustus’ account, was due to his parading of a statue of her body with an asp over her arms and breasts.</w:t>
      </w:r>
      <w:r w:rsidR="00771B0E">
        <w:rPr>
          <w:rStyle w:val="FootnoteReference"/>
        </w:rPr>
        <w:footnoteReference w:id="12"/>
      </w:r>
      <w:r>
        <w:t xml:space="preserve"> When this story of her suicide started he didn’t stop it however, and the tale continued.</w:t>
      </w:r>
      <w:r w:rsidR="00771B0E">
        <w:rPr>
          <w:rStyle w:val="FootnoteReference"/>
        </w:rPr>
        <w:footnoteReference w:id="13"/>
      </w:r>
      <w:r>
        <w:t xml:space="preserve"> The asp was snuck in a basket of figs, becoming an innuendo.</w:t>
      </w:r>
      <w:r w:rsidR="00771B0E">
        <w:rPr>
          <w:rStyle w:val="FootnoteReference"/>
        </w:rPr>
        <w:footnoteReference w:id="14"/>
      </w:r>
      <w:r>
        <w:t xml:space="preserve"> She likely did not dissolve pearls in vinegar to create the first champagne.</w:t>
      </w:r>
      <w:r w:rsidR="00771B0E">
        <w:rPr>
          <w:rStyle w:val="FootnoteReference"/>
        </w:rPr>
        <w:footnoteReference w:id="15"/>
      </w:r>
      <w:r>
        <w:t xml:space="preserve"> Whether or not she bathed in milk,</w:t>
      </w:r>
      <w:r w:rsidR="00771B0E">
        <w:rPr>
          <w:rStyle w:val="FootnoteReference"/>
        </w:rPr>
        <w:footnoteReference w:id="16"/>
      </w:r>
      <w:r>
        <w:t xml:space="preserve"> or was carried to see Julius Caesar in a rug,</w:t>
      </w:r>
      <w:r w:rsidR="00771B0E">
        <w:rPr>
          <w:rStyle w:val="FootnoteReference"/>
        </w:rPr>
        <w:footnoteReference w:id="17"/>
      </w:r>
      <w:r>
        <w:t xml:space="preserve"> are possible but not certain. Sources around her are steeped deeply in two ideas, her corruption of Antony, and the dangers of Egypt. Almost all sources out of Rome at the time fall into this problem. </w:t>
      </w:r>
    </w:p>
    <w:p w14:paraId="0268797F" w14:textId="5F4F1551" w:rsidR="008D7602" w:rsidRDefault="008D7602" w:rsidP="008D7602">
      <w:r>
        <w:t>Cassius Dio talks in depth about Augustus' action surrounding the legitimization of the War with Cleopatra and Mark Antony.</w:t>
      </w:r>
      <w:r w:rsidR="00771B0E">
        <w:rPr>
          <w:rStyle w:val="FootnoteReference"/>
        </w:rPr>
        <w:footnoteReference w:id="18"/>
      </w:r>
      <w:r>
        <w:t xml:space="preserve"> Perhaps the most notable of these being </w:t>
      </w:r>
      <w:r w:rsidR="00AD606B">
        <w:t>Augustus’</w:t>
      </w:r>
      <w:r>
        <w:t xml:space="preserve"> reading out of Mark Antony's will, and the proposal that he wanted to be buried in Egypt with Cleopatra.</w:t>
      </w:r>
      <w:r w:rsidR="00083391">
        <w:rPr>
          <w:rStyle w:val="FootnoteReference"/>
        </w:rPr>
        <w:footnoteReference w:id="19"/>
      </w:r>
      <w:r>
        <w:t xml:space="preserve"> Augustus took the will from the Temple of the Vestal Virgins, technically stealing it, and committing a highly illegal act,</w:t>
      </w:r>
      <w:r w:rsidR="00083391">
        <w:rPr>
          <w:rStyle w:val="FootnoteReference"/>
        </w:rPr>
        <w:footnoteReference w:id="20"/>
      </w:r>
      <w:r>
        <w:t xml:space="preserve"> but the outrage it should have caused was outweighed by what was discovered. This holds significance to the Roman People, and helped </w:t>
      </w:r>
      <w:r w:rsidR="00AD606B">
        <w:t>Augustus</w:t>
      </w:r>
      <w:r>
        <w:t xml:space="preserve"> turn them against Mark Antony, as what he wished would mean he was no longer a Roman citizen. To be buried in Rome was where a Roman leader should be buried.</w:t>
      </w:r>
      <w:r w:rsidR="00083391">
        <w:rPr>
          <w:rStyle w:val="FootnoteReference"/>
        </w:rPr>
        <w:footnoteReference w:id="21"/>
      </w:r>
      <w:r>
        <w:t xml:space="preserve">  This action moved Mark Antony out of the Roman sphere. He was no longer a Roman, therefore any war brought against him was against a foreign power, thereby legitimising Octavian’s actions. While not propaganda itself it did help with the propaganda he was trying to portray: that Antony was under the thumb of Cleopatra and would do anything for her, even give up his </w:t>
      </w:r>
      <w:r w:rsidR="00AD606B">
        <w:t>Romans</w:t>
      </w:r>
      <w:r>
        <w:t xml:space="preserve"> to stay with her. Debates on if this were a forgery are rampant,</w:t>
      </w:r>
      <w:r w:rsidR="00083391">
        <w:rPr>
          <w:rStyle w:val="FootnoteReference"/>
        </w:rPr>
        <w:footnoteReference w:id="22"/>
      </w:r>
      <w:r>
        <w:t xml:space="preserve"> the Vestal virgins could have told if it was fake, however Marc Antony had to be aware that Cleopatra and the children he had with her, as non-roman citizens had no legal protections from Rome.</w:t>
      </w:r>
      <w:r w:rsidR="00083391">
        <w:rPr>
          <w:rStyle w:val="FootnoteReference"/>
        </w:rPr>
        <w:footnoteReference w:id="23"/>
      </w:r>
      <w:r>
        <w:t xml:space="preserve"> It was taken as fact in Ancient Rome, and Antony's actions would suggest it was his intention.</w:t>
      </w:r>
      <w:r w:rsidR="00083391">
        <w:rPr>
          <w:rStyle w:val="FootnoteReference"/>
        </w:rPr>
        <w:footnoteReference w:id="24"/>
      </w:r>
      <w:r>
        <w:t xml:space="preserve"> Suetonius suggests that it was Antony's will and that he had fallen away from Roman correctness with this reading. </w:t>
      </w:r>
      <w:r w:rsidR="00083391">
        <w:rPr>
          <w:rStyle w:val="FootnoteReference"/>
        </w:rPr>
        <w:footnoteReference w:id="25"/>
      </w:r>
    </w:p>
    <w:p w14:paraId="79B7B276" w14:textId="7D1CF66D" w:rsidR="008D7602" w:rsidRDefault="008D7602" w:rsidP="008D7602">
      <w:r>
        <w:t xml:space="preserve">With the use of roman poets, Augustus very easily created an image of Cleopatra, one that has carried forward into today's cultural consciousness. Horace has several Poems which either allude </w:t>
      </w:r>
      <w:r>
        <w:lastRenderedPageBreak/>
        <w:t>to, or actively include the Egyptian Queen.</w:t>
      </w:r>
      <w:r w:rsidR="00D05AAD">
        <w:rPr>
          <w:rStyle w:val="FootnoteReference"/>
        </w:rPr>
        <w:footnoteReference w:id="26"/>
      </w:r>
      <w:r>
        <w:t xml:space="preserve"> Horace’s poem given the title </w:t>
      </w:r>
      <w:r w:rsidR="0033196D">
        <w:t xml:space="preserve">modern </w:t>
      </w:r>
      <w:r>
        <w:t xml:space="preserve">Cleopatra shows both the danger of </w:t>
      </w:r>
      <w:r w:rsidR="0033196D">
        <w:t>Egypt and</w:t>
      </w:r>
      <w:r>
        <w:t xml:space="preserve"> justifies it as a non-civil war.</w:t>
      </w:r>
      <w:r w:rsidR="003E746E">
        <w:rPr>
          <w:rStyle w:val="FootnoteReference"/>
        </w:rPr>
        <w:footnoteReference w:id="27"/>
      </w:r>
      <w:r>
        <w:t xml:space="preserve"> Cleopatra’s plot is described as ‘insane’</w:t>
      </w:r>
      <w:r w:rsidR="003E746E">
        <w:rPr>
          <w:rStyle w:val="FootnoteReference"/>
        </w:rPr>
        <w:footnoteReference w:id="28"/>
      </w:r>
      <w:r>
        <w:t xml:space="preserve"> and that her followers were ‘hideous with disease’.</w:t>
      </w:r>
      <w:r w:rsidR="003E746E">
        <w:rPr>
          <w:rStyle w:val="FootnoteReference"/>
        </w:rPr>
        <w:footnoteReference w:id="29"/>
      </w:r>
      <w:r>
        <w:t xml:space="preserve"> Followers, perhaps meaning the Egyptian people, or her lover in Mark Antony. Either portrayal shows the Queen as something against the Roman people and as an enemy to be struck down quickly. Horace’s poetry has survived well in the modern day, but is largely regarded entirely as Propaganda.</w:t>
      </w:r>
      <w:r w:rsidR="00486684">
        <w:rPr>
          <w:rStyle w:val="FootnoteReference"/>
        </w:rPr>
        <w:footnoteReference w:id="30"/>
      </w:r>
      <w:r>
        <w:t xml:space="preserve"> Horace through the medium of a middle man, Maecenas who was his patron, was on the payroll of Augustus and was a mouthpiece for the Propaganda being described in the 1600s that he was simply ‘a well-mannered court slave’,</w:t>
      </w:r>
      <w:r w:rsidR="00486684">
        <w:rPr>
          <w:rStyle w:val="FootnoteReference"/>
        </w:rPr>
        <w:footnoteReference w:id="31"/>
      </w:r>
      <w:r>
        <w:t xml:space="preserve"> this is still largely mirrored in analysis of Horace today, and he is regarded as a poet filled with Propaganda.</w:t>
      </w:r>
    </w:p>
    <w:p w14:paraId="017A91CA" w14:textId="7A14F6BC" w:rsidR="008D7602" w:rsidRDefault="008D7602" w:rsidP="008D7602">
      <w:r>
        <w:t xml:space="preserve">There is also a weird amount of begrudging respect for Cleopatra in this poem </w:t>
      </w:r>
      <w:r w:rsidR="00174BF2">
        <w:t>‘But</w:t>
      </w:r>
      <w:r>
        <w:t xml:space="preserve"> she, seeking a nobler death, did not flinch at the sword like a woman… had the strength to handle stinging serpents,’</w:t>
      </w:r>
      <w:r w:rsidR="00DA7690">
        <w:rPr>
          <w:rStyle w:val="FootnoteReference"/>
        </w:rPr>
        <w:footnoteReference w:id="32"/>
      </w:r>
      <w:r>
        <w:t xml:space="preserve"> evidently a reference to her suicide. This has a few possible interpretations which furthered the propaganda that </w:t>
      </w:r>
      <w:r w:rsidR="00AD606B">
        <w:t>Augustus</w:t>
      </w:r>
      <w:r>
        <w:t xml:space="preserve"> pushed, presenting her as not a woman, or at least without womanly qualities, lending credence to the idea that she was a dangerous enemy to Rome, and in some ways that she died with honour befitting of </w:t>
      </w:r>
      <w:r w:rsidR="00174BF2">
        <w:t>an</w:t>
      </w:r>
      <w:r>
        <w:t xml:space="preserve"> enemy of Rome. </w:t>
      </w:r>
    </w:p>
    <w:p w14:paraId="2F899E9B" w14:textId="28DD8463" w:rsidR="008D7602" w:rsidRDefault="008D7602" w:rsidP="008D7602">
      <w:r>
        <w:t xml:space="preserve">Coinage minted at the time was also used to show Augustus’ victories, one in particular is linked closely with Egypt, and was issued as a celebration of Augustus’ ending of the campaign in Egypt, and his control over the Roman world. </w:t>
      </w:r>
      <w:r w:rsidR="00DA7690">
        <w:rPr>
          <w:rStyle w:val="FootnoteReference"/>
        </w:rPr>
        <w:footnoteReference w:id="33"/>
      </w:r>
    </w:p>
    <w:p w14:paraId="1EA56ED4" w14:textId="07E2525A" w:rsidR="008D7602" w:rsidRDefault="008D7602" w:rsidP="008D7602">
      <w:r>
        <w:t xml:space="preserve">There is an analysis of </w:t>
      </w:r>
      <w:r w:rsidR="007B0B41">
        <w:t>the</w:t>
      </w:r>
      <w:r>
        <w:t xml:space="preserve"> </w:t>
      </w:r>
      <w:r w:rsidR="00AD606B">
        <w:t>Aeneid</w:t>
      </w:r>
      <w:r>
        <w:t>, that Dido was meant to mirror Cleopatra and victory over a foreign queen.</w:t>
      </w:r>
      <w:r w:rsidR="007B0B41">
        <w:rPr>
          <w:rStyle w:val="FootnoteReference"/>
        </w:rPr>
        <w:footnoteReference w:id="34"/>
      </w:r>
      <w:r>
        <w:t xml:space="preserve"> The ‘roman’ Aeneas putting matters of his people in front of staying with Dido, her attempts to seduce him, and in the end her suicide.</w:t>
      </w:r>
      <w:r w:rsidR="007B0B41">
        <w:rPr>
          <w:rStyle w:val="FootnoteReference"/>
        </w:rPr>
        <w:footnoteReference w:id="35"/>
      </w:r>
      <w:r>
        <w:t xml:space="preserve"> The passage, looking at a very basic level, is meant to show the reasons for the many wars the </w:t>
      </w:r>
      <w:r w:rsidR="00AD606B">
        <w:t>Carthaginians</w:t>
      </w:r>
      <w:r>
        <w:t xml:space="preserve"> and Romans partook in, however the similarities between the two Queens cannot be mistaken. This again was published long after the annexing of Egypt and was written between 29 and 19 BCE.</w:t>
      </w:r>
      <w:r w:rsidR="007B0B41">
        <w:rPr>
          <w:rStyle w:val="FootnoteReference"/>
        </w:rPr>
        <w:footnoteReference w:id="36"/>
      </w:r>
      <w:r>
        <w:t xml:space="preserve"> The work has been under much debate on how much of it was meant to be propaganda in favour of Augustus and whether it was a clever subversion of his regime. </w:t>
      </w:r>
      <w:r w:rsidR="00B72A50">
        <w:rPr>
          <w:rStyle w:val="FootnoteReference"/>
        </w:rPr>
        <w:footnoteReference w:id="37"/>
      </w:r>
    </w:p>
    <w:p w14:paraId="586FE699" w14:textId="39DD307E" w:rsidR="008D7602" w:rsidRDefault="008D7602" w:rsidP="008D7602">
      <w:r>
        <w:t>On a complete other hand the Shield of Aeneas is entirely meant to invoke the Battle of Actium,</w:t>
      </w:r>
      <w:r w:rsidR="00B72A50">
        <w:rPr>
          <w:rStyle w:val="FootnoteReference"/>
        </w:rPr>
        <w:footnoteReference w:id="38"/>
      </w:r>
      <w:r>
        <w:t xml:space="preserve"> and it is recounted amongst the greatest moments in Rome’s history, Romulus and Remus, the </w:t>
      </w:r>
      <w:r>
        <w:lastRenderedPageBreak/>
        <w:t>‘capture’ of the Sabine women.</w:t>
      </w:r>
      <w:r w:rsidR="00B72A50">
        <w:rPr>
          <w:rStyle w:val="FootnoteReference"/>
        </w:rPr>
        <w:footnoteReference w:id="39"/>
      </w:r>
      <w:r>
        <w:t xml:space="preserve"> Augustus is described with ‘On one side we have Augustus Caesar… high he stood on the poop of his ship while from his radiant forehead streamed a double flame and his </w:t>
      </w:r>
      <w:r w:rsidR="00396043">
        <w:t>father’s</w:t>
      </w:r>
      <w:r>
        <w:t xml:space="preserve"> star shone above his head,’</w:t>
      </w:r>
      <w:r w:rsidR="00A52CF8">
        <w:rPr>
          <w:rStyle w:val="FootnoteReference"/>
        </w:rPr>
        <w:footnoteReference w:id="40"/>
      </w:r>
      <w:r>
        <w:t xml:space="preserve"> showing Augustus as a radiant and godly figure, protected by his father Julius Caesar, the divine Julius. In contrast we have Antony who gets no such description, he sailed with Egypt and ‘there bringing up the rear was the greatest outrage of all, his Egyptian wife!’</w:t>
      </w:r>
      <w:r w:rsidR="00A52CF8">
        <w:rPr>
          <w:rStyle w:val="FootnoteReference"/>
        </w:rPr>
        <w:footnoteReference w:id="41"/>
      </w:r>
      <w:r>
        <w:t xml:space="preserve"> Not an Egyptian queen or Pharaoh, it diminishes her station, and her power. We know that Cleopatra’s forces made up the more dangerous portions of Mark Antony’s navy at </w:t>
      </w:r>
      <w:r w:rsidR="00AD606B">
        <w:t>Actium</w:t>
      </w:r>
      <w:r>
        <w:t>;</w:t>
      </w:r>
      <w:r w:rsidR="00A52CF8">
        <w:rPr>
          <w:rStyle w:val="FootnoteReference"/>
        </w:rPr>
        <w:footnoteReference w:id="42"/>
      </w:r>
      <w:r>
        <w:t xml:space="preserve"> the Egyptian galleys, created with an art we cannot recreate today,</w:t>
      </w:r>
      <w:r w:rsidR="00B00391">
        <w:rPr>
          <w:rStyle w:val="FootnoteReference"/>
        </w:rPr>
        <w:footnoteReference w:id="43"/>
      </w:r>
      <w:r>
        <w:t xml:space="preserve"> made up a large portion of his forces against Augustus. Mark Antony had around five hundred ships, a very sizable fleet.</w:t>
      </w:r>
      <w:r w:rsidR="00B00391">
        <w:rPr>
          <w:rStyle w:val="FootnoteReference"/>
        </w:rPr>
        <w:footnoteReference w:id="44"/>
      </w:r>
      <w:r>
        <w:t xml:space="preserve">  </w:t>
      </w:r>
    </w:p>
    <w:p w14:paraId="70E7B885" w14:textId="0C530AED" w:rsidR="008D7602" w:rsidRDefault="008D7602" w:rsidP="008D7602">
      <w:r>
        <w:t>Cleopatra had a very differing propaganda idea, which worked well for her people but not for the Romans who she had to win over. She began to portray herself as a Goddess, she began to show herself as heavily linked to Isis,</w:t>
      </w:r>
      <w:r w:rsidR="00B00391">
        <w:rPr>
          <w:rStyle w:val="FootnoteReference"/>
        </w:rPr>
        <w:footnoteReference w:id="45"/>
      </w:r>
      <w:r>
        <w:t xml:space="preserve"> and Mark Antony became closely associated with </w:t>
      </w:r>
      <w:r w:rsidR="005440BD">
        <w:t>Osiris.</w:t>
      </w:r>
      <w:r w:rsidR="00B00391">
        <w:rPr>
          <w:rStyle w:val="FootnoteReference"/>
        </w:rPr>
        <w:footnoteReference w:id="46"/>
      </w:r>
      <w:r>
        <w:t xml:space="preserve"> Their twin children were seen as figureheads leading to the new age of Egyptian history,</w:t>
      </w:r>
      <w:r w:rsidR="00C211E1">
        <w:rPr>
          <w:rStyle w:val="FootnoteReference"/>
        </w:rPr>
        <w:footnoteReference w:id="47"/>
      </w:r>
      <w:r>
        <w:t xml:space="preserve"> their second names ‘Helios’</w:t>
      </w:r>
      <w:r w:rsidR="00C211E1">
        <w:rPr>
          <w:rStyle w:val="FootnoteReference"/>
        </w:rPr>
        <w:footnoteReference w:id="48"/>
      </w:r>
      <w:r>
        <w:t xml:space="preserve"> and ‘Selene’</w:t>
      </w:r>
      <w:r w:rsidR="00C211E1">
        <w:rPr>
          <w:rStyle w:val="FootnoteReference"/>
        </w:rPr>
        <w:footnoteReference w:id="49"/>
      </w:r>
      <w:r>
        <w:t xml:space="preserve"> used to show their godly heritage and to further the image she was trying to portray as a new chapter for Egypt through their combined command. This didn’t go over well with the Roman people,</w:t>
      </w:r>
      <w:r w:rsidR="00C211E1">
        <w:t xml:space="preserve"> </w:t>
      </w:r>
      <w:r>
        <w:t>ideas of humans ordained by gods, while not new, were associated by the roman people with the Monarchy, something they viewed as against them.</w:t>
      </w:r>
      <w:r w:rsidR="00C211E1">
        <w:rPr>
          <w:rStyle w:val="FootnoteReference"/>
        </w:rPr>
        <w:footnoteReference w:id="50"/>
      </w:r>
      <w:r>
        <w:t xml:space="preserve"> What worked very effectively in Egypt, what had worked for thousands of years, did not go over well in Rome, and against her best wishes Cleopatra helped Augustus to make Mark Antony a foreign enemy. </w:t>
      </w:r>
    </w:p>
    <w:p w14:paraId="57F987AB" w14:textId="5FA1E9EF" w:rsidR="008D7602" w:rsidRDefault="008D7602" w:rsidP="008D7602">
      <w:r>
        <w:t>Cleopatra by contrast to the Roman sources was not a one dimensional queen, her sexual endeavours aside for a moment. She was one of the few Ptolemaic rulers who endeavoured to learn the languages of her people,</w:t>
      </w:r>
      <w:r w:rsidR="00027A2F">
        <w:rPr>
          <w:rStyle w:val="FootnoteReference"/>
        </w:rPr>
        <w:footnoteReference w:id="51"/>
      </w:r>
      <w:r>
        <w:t xml:space="preserve"> both New Kingdom Hieroglyphs, and </w:t>
      </w:r>
      <w:r w:rsidR="00AD606B">
        <w:t>Coptic</w:t>
      </w:r>
      <w:r>
        <w:t>, for certain Greek and it’s thought she learnt Latin although whether or not she did is debated.</w:t>
      </w:r>
      <w:r w:rsidR="00027A2F">
        <w:rPr>
          <w:rStyle w:val="FootnoteReference"/>
        </w:rPr>
        <w:footnoteReference w:id="52"/>
      </w:r>
      <w:r>
        <w:t xml:space="preserve"> It’s thought she learnt Latin so she could communicate with the Roman </w:t>
      </w:r>
      <w:r w:rsidR="00AD606B">
        <w:t>delegations</w:t>
      </w:r>
      <w:r>
        <w:t xml:space="preserve"> without an interpreter</w:t>
      </w:r>
      <w:r w:rsidR="00027A2F">
        <w:rPr>
          <w:rStyle w:val="FootnoteReference"/>
        </w:rPr>
        <w:footnoteReference w:id="53"/>
      </w:r>
      <w:r>
        <w:t xml:space="preserve"> although they most likely spoke Greek so the necessity of this is debatable.</w:t>
      </w:r>
      <w:r w:rsidR="00057E31">
        <w:rPr>
          <w:rStyle w:val="FootnoteReference"/>
        </w:rPr>
        <w:footnoteReference w:id="54"/>
      </w:r>
      <w:r>
        <w:t xml:space="preserve"> </w:t>
      </w:r>
    </w:p>
    <w:p w14:paraId="1AD695D2" w14:textId="77777777" w:rsidR="008D7602" w:rsidRDefault="008D7602" w:rsidP="008D7602">
      <w:r>
        <w:t xml:space="preserve">While sources of public opinion on her are not readily available, due to the lack of literacy in Ancient Egypt. She was noted for having a hooked nose inherited from her father, and many of her portraits are unflattering. Some ancient authors expressed that she had a charming manner, animated </w:t>
      </w:r>
      <w:r>
        <w:lastRenderedPageBreak/>
        <w:t>conversation and ‘her intelligence and education elevated her beyond the realm of physical perfection.’</w:t>
      </w:r>
    </w:p>
    <w:p w14:paraId="353E65F1" w14:textId="77777777" w:rsidR="008D7602" w:rsidRDefault="008D7602" w:rsidP="008D7602"/>
    <w:p w14:paraId="79128206" w14:textId="6C4B6B53" w:rsidR="008D7602" w:rsidRDefault="008D7602" w:rsidP="008D7602">
      <w:r>
        <w:t xml:space="preserve">Conditions in Egypt during this time are largely a mystery but we do know they were on the back of the civil </w:t>
      </w:r>
      <w:r w:rsidR="00DA5E66">
        <w:t>unrest, and succession issues</w:t>
      </w:r>
      <w:r>
        <w:t>,</w:t>
      </w:r>
      <w:r w:rsidR="00325547">
        <w:rPr>
          <w:rStyle w:val="FootnoteReference"/>
        </w:rPr>
        <w:footnoteReference w:id="55"/>
      </w:r>
      <w:r>
        <w:t xml:space="preserve"> when Cleopatra had taken the throne, she had a joint throne with her brother Ptolemy XIII,</w:t>
      </w:r>
      <w:r w:rsidR="00325547">
        <w:rPr>
          <w:rStyle w:val="FootnoteReference"/>
        </w:rPr>
        <w:footnoteReference w:id="56"/>
      </w:r>
      <w:r>
        <w:t xml:space="preserve"> as she, as a woman, was not allowed to rule alone.</w:t>
      </w:r>
      <w:r w:rsidR="00325547">
        <w:rPr>
          <w:rStyle w:val="FootnoteReference"/>
        </w:rPr>
        <w:footnoteReference w:id="57"/>
      </w:r>
      <w:r>
        <w:t xml:space="preserve"> Later she was forced to flee her kingdom due to her brother</w:t>
      </w:r>
      <w:r w:rsidR="00B85D4F">
        <w:t xml:space="preserve">. </w:t>
      </w:r>
      <w:r w:rsidR="004342E5">
        <w:t>Then later</w:t>
      </w:r>
      <w:r w:rsidR="00B85D4F">
        <w:t xml:space="preserve"> it was</w:t>
      </w:r>
      <w:r>
        <w:t xml:space="preserve"> his actions, in the murder of Pompey,</w:t>
      </w:r>
      <w:r w:rsidR="00587E52">
        <w:rPr>
          <w:rStyle w:val="FootnoteReference"/>
        </w:rPr>
        <w:footnoteReference w:id="58"/>
      </w:r>
      <w:r>
        <w:t xml:space="preserve"> </w:t>
      </w:r>
      <w:r w:rsidR="00587E52">
        <w:t xml:space="preserve">which </w:t>
      </w:r>
      <w:r>
        <w:t xml:space="preserve">brought back the possibility of her rule. At the time there were four possible people who could continue on the throne - Cleopatra, </w:t>
      </w:r>
      <w:r w:rsidR="00AD606B">
        <w:t>Arsinoe</w:t>
      </w:r>
      <w:r>
        <w:t>, Ptolemy XIII, and another younger Ptolemy.</w:t>
      </w:r>
      <w:r w:rsidR="00587E52">
        <w:rPr>
          <w:rStyle w:val="FootnoteReference"/>
        </w:rPr>
        <w:footnoteReference w:id="59"/>
      </w:r>
      <w:r>
        <w:t xml:space="preserve"> By convincing Julius Caesar that she was the best option for Egypt, </w:t>
      </w:r>
      <w:r w:rsidR="00587E52">
        <w:t>Cleopatra</w:t>
      </w:r>
      <w:r>
        <w:t xml:space="preserve"> manag</w:t>
      </w:r>
      <w:r w:rsidR="00587E52">
        <w:t>ed</w:t>
      </w:r>
      <w:r>
        <w:t xml:space="preserve"> to claw onto power. </w:t>
      </w:r>
      <w:r w:rsidR="001F4ED3">
        <w:rPr>
          <w:rStyle w:val="FootnoteReference"/>
        </w:rPr>
        <w:footnoteReference w:id="60"/>
      </w:r>
    </w:p>
    <w:p w14:paraId="36AE82B2" w14:textId="3F99DF71" w:rsidR="008D7602" w:rsidRDefault="008D7602" w:rsidP="008D7602">
      <w:r>
        <w:t>Cleopatra was also betrayed by the weather in the period, Egypt had been hit by several famines leading back to well before Actium,</w:t>
      </w:r>
      <w:r w:rsidR="001F4ED3">
        <w:rPr>
          <w:rStyle w:val="FootnoteReference"/>
        </w:rPr>
        <w:footnoteReference w:id="61"/>
      </w:r>
      <w:r>
        <w:t xml:space="preserve"> and its military loss. Cleopatra’s loss came at the third largest volcanic eruption in the last 2,500 years,</w:t>
      </w:r>
      <w:r w:rsidR="001F4ED3">
        <w:rPr>
          <w:rStyle w:val="FootnoteReference"/>
        </w:rPr>
        <w:footnoteReference w:id="62"/>
      </w:r>
      <w:r>
        <w:t xml:space="preserve"> there is an account from the period which references ‘the sun being obscured, the Earth being scorched and a lack of flooding and seeds.’</w:t>
      </w:r>
      <w:r w:rsidR="001F4ED3">
        <w:rPr>
          <w:rStyle w:val="FootnoteReference"/>
        </w:rPr>
        <w:footnoteReference w:id="63"/>
      </w:r>
      <w:r>
        <w:t xml:space="preserve"> There is one reference to her taking control of grain production in the Autumn 50 BCE, where she took control of the grain production in the country and she decreed that all grain production must be brought to Alexandria.</w:t>
      </w:r>
      <w:r w:rsidR="001F4ED3">
        <w:rPr>
          <w:rStyle w:val="FootnoteReference"/>
        </w:rPr>
        <w:footnoteReference w:id="64"/>
      </w:r>
      <w:r>
        <w:t xml:space="preserve"> Which was a smart political move, the Alexandrians had forced her father (and her) to flee,</w:t>
      </w:r>
      <w:r w:rsidR="00D91574">
        <w:rPr>
          <w:rStyle w:val="FootnoteReference"/>
        </w:rPr>
        <w:footnoteReference w:id="65"/>
      </w:r>
      <w:r>
        <w:t xml:space="preserve"> and were responsible for the death of Ptolemy XI.</w:t>
      </w:r>
      <w:r w:rsidR="00D91574">
        <w:rPr>
          <w:rStyle w:val="FootnoteReference"/>
        </w:rPr>
        <w:footnoteReference w:id="66"/>
      </w:r>
      <w:r>
        <w:t xml:space="preserve">  There is a lack of ancient evidence of this natural disasters happening but that is largely due to the nature of Ancient Egyptian sources, every single source we have is </w:t>
      </w:r>
      <w:r w:rsidR="00AD606B">
        <w:t>biased</w:t>
      </w:r>
      <w:r>
        <w:t>, as the people writing them are the elite, the literacy rate was</w:t>
      </w:r>
      <w:r w:rsidR="00691008">
        <w:t xml:space="preserve"> incredibly low</w:t>
      </w:r>
      <w:r>
        <w:t>, although this isn’t certain as they didn’t write this down either.</w:t>
      </w:r>
      <w:r w:rsidR="003C23AD">
        <w:rPr>
          <w:rStyle w:val="FootnoteReference"/>
        </w:rPr>
        <w:footnoteReference w:id="67"/>
      </w:r>
      <w:r w:rsidR="003C23AD">
        <w:t xml:space="preserve"> </w:t>
      </w:r>
      <w:r>
        <w:t>Due to the scientific evidence we have, it can be interpreted that the elite in Egypt didn’t want to write down the ‘failings’ of their queen, and so there are little to no ancient sources documenting the problems in Egypt.</w:t>
      </w:r>
      <w:r w:rsidR="003C23AD">
        <w:rPr>
          <w:rStyle w:val="FootnoteReference"/>
        </w:rPr>
        <w:footnoteReference w:id="68"/>
      </w:r>
      <w:r>
        <w:t xml:space="preserve"> Meaning the actual conditions of the time (Outside of issues with agriculture) are unknown. </w:t>
      </w:r>
    </w:p>
    <w:p w14:paraId="1A57FB49" w14:textId="13DA47DB" w:rsidR="008D7602" w:rsidRDefault="008D7602" w:rsidP="008D7602">
      <w:r>
        <w:t>The actual Battle of Actium was over very quickly,</w:t>
      </w:r>
      <w:r w:rsidR="003C23AD">
        <w:rPr>
          <w:rStyle w:val="FootnoteReference"/>
        </w:rPr>
        <w:footnoteReference w:id="69"/>
      </w:r>
      <w:r>
        <w:t xml:space="preserve"> nothing like the half epic poem by Properties would suggest, Antony was trapped in the bay of Actium by Augustus’ forces, his troops were demoralised, and he was surrounded.</w:t>
      </w:r>
      <w:r w:rsidR="003C23AD">
        <w:rPr>
          <w:rStyle w:val="FootnoteReference"/>
        </w:rPr>
        <w:footnoteReference w:id="70"/>
      </w:r>
      <w:r>
        <w:t xml:space="preserve"> The foolish decision came when Cleopatra fled, and Antony </w:t>
      </w:r>
      <w:r>
        <w:lastRenderedPageBreak/>
        <w:t>followed.</w:t>
      </w:r>
      <w:r w:rsidR="003C23AD">
        <w:rPr>
          <w:rStyle w:val="FootnoteReference"/>
        </w:rPr>
        <w:footnoteReference w:id="71"/>
      </w:r>
      <w:r>
        <w:t xml:space="preserve"> The exact circumstances of this are murky, why Antony followed when he was not in the worst </w:t>
      </w:r>
      <w:r w:rsidR="009417E6">
        <w:t>position.</w:t>
      </w:r>
      <w:r>
        <w:t xml:space="preserve"> He however abandoned his nineteen legions and the armada,</w:t>
      </w:r>
      <w:r w:rsidR="006B0F21">
        <w:rPr>
          <w:rStyle w:val="FootnoteReference"/>
        </w:rPr>
        <w:footnoteReference w:id="72"/>
      </w:r>
      <w:r>
        <w:t xml:space="preserve"> and apparently sat silent with his head in his hands in Cleopatra’s ship for three days.</w:t>
      </w:r>
      <w:r w:rsidR="006B0F21">
        <w:rPr>
          <w:rStyle w:val="FootnoteReference"/>
        </w:rPr>
        <w:footnoteReference w:id="73"/>
      </w:r>
    </w:p>
    <w:p w14:paraId="611007C2" w14:textId="5933CC0F" w:rsidR="008D7602" w:rsidRDefault="008D7602" w:rsidP="008D7602">
      <w:r>
        <w:t xml:space="preserve">The main problem faced at Actium, within the battle itself was people deserting and joining </w:t>
      </w:r>
      <w:r w:rsidR="00AD606B">
        <w:t>Octavian’s</w:t>
      </w:r>
      <w:r>
        <w:t xml:space="preserve"> side,</w:t>
      </w:r>
      <w:r w:rsidR="00736DCF">
        <w:rPr>
          <w:rStyle w:val="FootnoteReference"/>
        </w:rPr>
        <w:footnoteReference w:id="74"/>
      </w:r>
      <w:r>
        <w:t xml:space="preserve"> perhaps most notably was one of Mark Antony’s generals, Quintus </w:t>
      </w:r>
      <w:r w:rsidR="00AD606B">
        <w:t>Delius</w:t>
      </w:r>
      <w:r>
        <w:t xml:space="preserve"> who carried over Antony’s battle plans over to </w:t>
      </w:r>
      <w:r w:rsidR="00AD606B">
        <w:t>Octavian</w:t>
      </w:r>
      <w:r>
        <w:t>.</w:t>
      </w:r>
      <w:r w:rsidR="00736DCF">
        <w:rPr>
          <w:rStyle w:val="FootnoteReference"/>
        </w:rPr>
        <w:footnoteReference w:id="75"/>
      </w:r>
      <w:r>
        <w:t xml:space="preserve"> How notably this affected the Battle is not known, and Octavian does not mention it in his propaganda, although the general is remembered, with the title </w:t>
      </w:r>
      <w:proofErr w:type="spellStart"/>
      <w:r w:rsidRPr="00637D5A">
        <w:rPr>
          <w:i/>
          <w:iCs/>
        </w:rPr>
        <w:t>desultor</w:t>
      </w:r>
      <w:proofErr w:type="spellEnd"/>
      <w:r w:rsidRPr="00637D5A">
        <w:rPr>
          <w:i/>
          <w:iCs/>
        </w:rPr>
        <w:t xml:space="preserve"> </w:t>
      </w:r>
      <w:proofErr w:type="spellStart"/>
      <w:r w:rsidRPr="00637D5A">
        <w:rPr>
          <w:i/>
          <w:iCs/>
        </w:rPr>
        <w:t>bellorum</w:t>
      </w:r>
      <w:proofErr w:type="spellEnd"/>
      <w:r w:rsidRPr="00637D5A">
        <w:rPr>
          <w:i/>
          <w:iCs/>
        </w:rPr>
        <w:t xml:space="preserve"> </w:t>
      </w:r>
      <w:proofErr w:type="spellStart"/>
      <w:r w:rsidRPr="00637D5A">
        <w:rPr>
          <w:i/>
          <w:iCs/>
        </w:rPr>
        <w:t>civilium</w:t>
      </w:r>
      <w:proofErr w:type="spellEnd"/>
      <w:r>
        <w:t>, meaning horse changer of the civil war due to him changing sides twice before his betrayal of Antony.</w:t>
      </w:r>
      <w:r w:rsidR="00637D5A">
        <w:rPr>
          <w:rStyle w:val="FootnoteReference"/>
        </w:rPr>
        <w:footnoteReference w:id="76"/>
      </w:r>
      <w:r>
        <w:t xml:space="preserve"> The betrayal was apparently due to his fear of Cleopatra, perhaps another propaganda play to make the Queen seem like more of a threat to people,</w:t>
      </w:r>
      <w:r w:rsidR="00637D5A">
        <w:rPr>
          <w:rStyle w:val="FootnoteReference"/>
        </w:rPr>
        <w:footnoteReference w:id="77"/>
      </w:r>
      <w:r>
        <w:t xml:space="preserve"> although this information comes from Plutarch, who is a fantastic source, of questionable reliability, who was born after </w:t>
      </w:r>
      <w:r w:rsidR="00396043">
        <w:t>Egypt’s</w:t>
      </w:r>
      <w:r>
        <w:t xml:space="preserve"> fall and whose information is notoriously </w:t>
      </w:r>
      <w:r w:rsidR="00396043">
        <w:t>biased</w:t>
      </w:r>
      <w:r>
        <w:t xml:space="preserve">. </w:t>
      </w:r>
      <w:r w:rsidR="00637D5A">
        <w:rPr>
          <w:rStyle w:val="FootnoteReference"/>
        </w:rPr>
        <w:footnoteReference w:id="78"/>
      </w:r>
    </w:p>
    <w:p w14:paraId="79D3A54A" w14:textId="45160A5C" w:rsidR="008D7602" w:rsidRDefault="008D7602" w:rsidP="008D7602">
      <w:r>
        <w:t xml:space="preserve">To answer the question of the title, most of our sources are in some way </w:t>
      </w:r>
      <w:r w:rsidR="00396043">
        <w:t>biased</w:t>
      </w:r>
      <w:r>
        <w:t xml:space="preserve">, even </w:t>
      </w:r>
      <w:r w:rsidR="00396043">
        <w:t>first-hand</w:t>
      </w:r>
      <w:r>
        <w:t xml:space="preserve"> accounts are not reliable history, as they do not always include important figures, or show the true history. The same can also be said for modern sources, the source around the weather conditions was created to stop a plan to emulate volcanic eruptions to slow climate change. This essay is also </w:t>
      </w:r>
      <w:r w:rsidR="00396043">
        <w:t>biased</w:t>
      </w:r>
      <w:r>
        <w:t xml:space="preserve">, I have approached this with an understanding of Egyptian sources which I do not have with Roman, and while I have tried like all academics to remain unbiased but that isn’t always possible and it’s important to recognise the bias you come from when reading sources, either to attempt to avoid it, or to find a balance in sources that ‘agree with you’ and are against you. </w:t>
      </w:r>
    </w:p>
    <w:p w14:paraId="2BEB120B" w14:textId="2A445446" w:rsidR="00A5326C" w:rsidRDefault="008D7602" w:rsidP="008D7602">
      <w:r>
        <w:t xml:space="preserve">You can see the success of </w:t>
      </w:r>
      <w:r w:rsidR="00396043">
        <w:t>Augustus</w:t>
      </w:r>
      <w:r>
        <w:t>’ propaganda campaign in the modern day by those of Cleopatra that still swim around the modern world. The film Cleopatra from 1963 shows her triumphant entry into Rome, accompanied by a Sphinx, red carpet and wearing an entirely golden outfit, not at all the image of a Queen whose country was plagued with famine. She is a beautiful woman, one of the first Femme Fatale, who bewitched Julius Caesar and Mark Antony.</w:t>
      </w:r>
      <w:r w:rsidR="00970D69">
        <w:rPr>
          <w:rStyle w:val="FootnoteReference"/>
        </w:rPr>
        <w:footnoteReference w:id="79"/>
      </w:r>
      <w:r>
        <w:t xml:space="preserve"> She is remembered largely for her beauty, thanks to the success of the Augustan propaganda campaign, which continued long after the deaths of all involved. Wiliam </w:t>
      </w:r>
      <w:r w:rsidR="00396043">
        <w:t>Shakespeare’s</w:t>
      </w:r>
      <w:r>
        <w:t xml:space="preserve"> play ‘</w:t>
      </w:r>
      <w:r w:rsidRPr="00EB5629">
        <w:rPr>
          <w:i/>
          <w:iCs/>
        </w:rPr>
        <w:t xml:space="preserve">The </w:t>
      </w:r>
      <w:proofErr w:type="spellStart"/>
      <w:r w:rsidRPr="00EB5629">
        <w:rPr>
          <w:i/>
          <w:iCs/>
        </w:rPr>
        <w:t>tragedie</w:t>
      </w:r>
      <w:proofErr w:type="spellEnd"/>
      <w:r w:rsidRPr="00EB5629">
        <w:rPr>
          <w:i/>
          <w:iCs/>
        </w:rPr>
        <w:t xml:space="preserve"> of Anthonie, and Cleopatra’</w:t>
      </w:r>
      <w:r>
        <w:t xml:space="preserve"> where she is vain and histrionic, could be viewed as a continuing the propaganda against her.</w:t>
      </w:r>
    </w:p>
    <w:p w14:paraId="77D17908" w14:textId="77777777" w:rsidR="00556D23" w:rsidRDefault="008D7602" w:rsidP="008D7602">
      <w:r>
        <w:t xml:space="preserve">The majority of the sources are influenced by propaganda, and most of it is Roman, Egyptian propaganda there is much less of, meaning we cannot find the middle ground of what has happened, and as the history has become more tied in with legends and stories, things have progressed more and more the actual history has become shrouded in mystery, perhaps the discovery of Cleopatra’s tomb will give us a different insight into the Egyptian side of things, but we won’t know till we find it.   </w:t>
      </w:r>
    </w:p>
    <w:p w14:paraId="4F64115E" w14:textId="57D0942D" w:rsidR="008B4183" w:rsidRDefault="003A3FB3" w:rsidP="008D7602">
      <w:r>
        <w:lastRenderedPageBreak/>
        <w:t xml:space="preserve">Bibliography – </w:t>
      </w:r>
    </w:p>
    <w:p w14:paraId="5B16F43E" w14:textId="78558CFD" w:rsidR="00FE56AC" w:rsidRDefault="00FE56AC" w:rsidP="00F95281">
      <w:r>
        <w:t xml:space="preserve">Ancient – </w:t>
      </w:r>
    </w:p>
    <w:p w14:paraId="182E3343" w14:textId="18B6DB0B" w:rsidR="00FE56AC" w:rsidRDefault="00D539B5" w:rsidP="00F95281">
      <w:r>
        <w:t xml:space="preserve">Caesar </w:t>
      </w:r>
      <w:r w:rsidR="00FE56AC">
        <w:t>Augus</w:t>
      </w:r>
      <w:r>
        <w:t xml:space="preserve">tus, </w:t>
      </w:r>
      <w:r>
        <w:rPr>
          <w:i/>
          <w:iCs/>
        </w:rPr>
        <w:t xml:space="preserve">Res Gestae Divi Augustus, </w:t>
      </w:r>
      <w:r w:rsidR="009762D0">
        <w:t xml:space="preserve">translation by </w:t>
      </w:r>
      <w:r w:rsidR="00A654F4">
        <w:t>A.E Cooley</w:t>
      </w:r>
      <w:r w:rsidR="002270A6">
        <w:t xml:space="preserve"> in </w:t>
      </w:r>
      <w:r w:rsidR="002270A6">
        <w:rPr>
          <w:i/>
          <w:iCs/>
        </w:rPr>
        <w:t>Res Gestae Divi Augustus: Text, Translation and Commentary</w:t>
      </w:r>
      <w:r w:rsidR="00A654F4">
        <w:t>, (</w:t>
      </w:r>
      <w:r w:rsidR="004E19DD">
        <w:t xml:space="preserve">Cambridge university press, </w:t>
      </w:r>
      <w:r w:rsidR="00F50C04">
        <w:t>2009, republished 2015)</w:t>
      </w:r>
    </w:p>
    <w:p w14:paraId="127BE237" w14:textId="322A1178" w:rsidR="0044168A" w:rsidRPr="0044168A" w:rsidRDefault="0044168A" w:rsidP="0044168A">
      <w:pPr>
        <w:pStyle w:val="FootnoteText"/>
        <w:rPr>
          <w:sz w:val="22"/>
          <w:szCs w:val="22"/>
        </w:rPr>
      </w:pPr>
      <w:r w:rsidRPr="00D2486F">
        <w:rPr>
          <w:sz w:val="22"/>
          <w:szCs w:val="22"/>
        </w:rPr>
        <w:t xml:space="preserve">Cassius </w:t>
      </w:r>
      <w:proofErr w:type="spellStart"/>
      <w:r w:rsidRPr="00D2486F">
        <w:rPr>
          <w:sz w:val="22"/>
          <w:szCs w:val="22"/>
        </w:rPr>
        <w:t>Dio</w:t>
      </w:r>
      <w:proofErr w:type="spellEnd"/>
      <w:r w:rsidRPr="00D2486F">
        <w:rPr>
          <w:i/>
          <w:iCs/>
          <w:sz w:val="22"/>
          <w:szCs w:val="22"/>
        </w:rPr>
        <w:t xml:space="preserve">, </w:t>
      </w:r>
      <w:proofErr w:type="spellStart"/>
      <w:r w:rsidRPr="00D2486F">
        <w:rPr>
          <w:i/>
          <w:iCs/>
          <w:sz w:val="22"/>
          <w:szCs w:val="22"/>
        </w:rPr>
        <w:t>Cocceianus</w:t>
      </w:r>
      <w:proofErr w:type="spellEnd"/>
      <w:r w:rsidRPr="00D2486F">
        <w:rPr>
          <w:i/>
          <w:iCs/>
          <w:sz w:val="22"/>
          <w:szCs w:val="22"/>
        </w:rPr>
        <w:t xml:space="preserve">, </w:t>
      </w:r>
      <w:proofErr w:type="spellStart"/>
      <w:r w:rsidRPr="00D2486F">
        <w:rPr>
          <w:i/>
          <w:iCs/>
          <w:sz w:val="22"/>
          <w:szCs w:val="22"/>
        </w:rPr>
        <w:t>Historiae</w:t>
      </w:r>
      <w:proofErr w:type="spellEnd"/>
      <w:r w:rsidRPr="00D2486F">
        <w:rPr>
          <w:i/>
          <w:iCs/>
          <w:sz w:val="22"/>
          <w:szCs w:val="22"/>
        </w:rPr>
        <w:t xml:space="preserve"> </w:t>
      </w:r>
      <w:proofErr w:type="spellStart"/>
      <w:r w:rsidRPr="00D2486F">
        <w:rPr>
          <w:i/>
          <w:iCs/>
          <w:sz w:val="22"/>
          <w:szCs w:val="22"/>
        </w:rPr>
        <w:t>Romanae</w:t>
      </w:r>
      <w:proofErr w:type="spellEnd"/>
      <w:r w:rsidRPr="00D2486F">
        <w:rPr>
          <w:i/>
          <w:iCs/>
          <w:sz w:val="22"/>
          <w:szCs w:val="22"/>
        </w:rPr>
        <w:t xml:space="preserve">, </w:t>
      </w:r>
      <w:r w:rsidRPr="00D2486F">
        <w:rPr>
          <w:sz w:val="22"/>
          <w:szCs w:val="22"/>
        </w:rPr>
        <w:t xml:space="preserve">Translation by Earnest Cary in </w:t>
      </w:r>
      <w:proofErr w:type="spellStart"/>
      <w:r w:rsidRPr="00D2486F">
        <w:rPr>
          <w:i/>
          <w:iCs/>
          <w:sz w:val="22"/>
          <w:szCs w:val="22"/>
        </w:rPr>
        <w:t>Dio’s</w:t>
      </w:r>
      <w:proofErr w:type="spellEnd"/>
      <w:r w:rsidRPr="00D2486F">
        <w:rPr>
          <w:i/>
          <w:iCs/>
          <w:sz w:val="22"/>
          <w:szCs w:val="22"/>
        </w:rPr>
        <w:t xml:space="preserve"> Roman History</w:t>
      </w:r>
      <w:r w:rsidRPr="00D2486F">
        <w:rPr>
          <w:sz w:val="22"/>
          <w:szCs w:val="22"/>
        </w:rPr>
        <w:t>. (Harvard University Press. London; New York. 1914)</w:t>
      </w:r>
    </w:p>
    <w:p w14:paraId="18D31FB5" w14:textId="77777777" w:rsidR="00236F83" w:rsidRPr="00D2486F" w:rsidRDefault="00236F83" w:rsidP="00236F83">
      <w:pPr>
        <w:pStyle w:val="FootnoteText"/>
        <w:rPr>
          <w:sz w:val="22"/>
          <w:szCs w:val="22"/>
        </w:rPr>
      </w:pPr>
      <w:r w:rsidRPr="00D2486F">
        <w:rPr>
          <w:sz w:val="22"/>
          <w:szCs w:val="22"/>
        </w:rPr>
        <w:t>C. Suetonius Tranquillus</w:t>
      </w:r>
      <w:r w:rsidRPr="00D2486F">
        <w:rPr>
          <w:i/>
          <w:iCs/>
          <w:sz w:val="22"/>
          <w:szCs w:val="22"/>
        </w:rPr>
        <w:t xml:space="preserve">, </w:t>
      </w:r>
      <w:proofErr w:type="spellStart"/>
      <w:r w:rsidRPr="00D2486F">
        <w:rPr>
          <w:i/>
          <w:iCs/>
          <w:sz w:val="22"/>
          <w:szCs w:val="22"/>
        </w:rPr>
        <w:t>Divus</w:t>
      </w:r>
      <w:proofErr w:type="spellEnd"/>
      <w:r w:rsidRPr="00D2486F">
        <w:rPr>
          <w:i/>
          <w:iCs/>
          <w:sz w:val="22"/>
          <w:szCs w:val="22"/>
        </w:rPr>
        <w:t xml:space="preserve"> Augustus, Alexander </w:t>
      </w:r>
      <w:r w:rsidRPr="00D2486F">
        <w:rPr>
          <w:sz w:val="22"/>
          <w:szCs w:val="22"/>
        </w:rPr>
        <w:t xml:space="preserve">Translation by Publishing Editor. J. Eugene Reed. Alexander Thomson. In </w:t>
      </w:r>
      <w:r w:rsidRPr="00D2486F">
        <w:rPr>
          <w:i/>
          <w:iCs/>
          <w:sz w:val="22"/>
          <w:szCs w:val="22"/>
        </w:rPr>
        <w:t>Suetonius: The Lives of the Twelve Caesars; An English Translation</w:t>
      </w:r>
      <w:r w:rsidRPr="00D2486F">
        <w:rPr>
          <w:sz w:val="22"/>
          <w:szCs w:val="22"/>
        </w:rPr>
        <w:t>,. (Philadelphia. Gebbie &amp; Co. 1889)</w:t>
      </w:r>
    </w:p>
    <w:p w14:paraId="51096A57" w14:textId="24AF540D" w:rsidR="00236F83" w:rsidRPr="00236F83" w:rsidRDefault="00236F83" w:rsidP="00236F83">
      <w:pPr>
        <w:pStyle w:val="FootnoteText"/>
        <w:rPr>
          <w:sz w:val="22"/>
          <w:szCs w:val="22"/>
        </w:rPr>
      </w:pPr>
      <w:r w:rsidRPr="00D2486F">
        <w:rPr>
          <w:sz w:val="22"/>
          <w:szCs w:val="22"/>
        </w:rPr>
        <w:t xml:space="preserve">Horace, </w:t>
      </w:r>
      <w:r w:rsidRPr="00D2486F">
        <w:rPr>
          <w:i/>
          <w:iCs/>
          <w:sz w:val="22"/>
          <w:szCs w:val="22"/>
        </w:rPr>
        <w:t xml:space="preserve">Odes, </w:t>
      </w:r>
      <w:r w:rsidRPr="00D2486F">
        <w:rPr>
          <w:sz w:val="22"/>
          <w:szCs w:val="22"/>
        </w:rPr>
        <w:t xml:space="preserve">Translation by </w:t>
      </w:r>
      <w:proofErr w:type="spellStart"/>
      <w:r w:rsidRPr="00D2486F">
        <w:rPr>
          <w:sz w:val="22"/>
          <w:szCs w:val="22"/>
        </w:rPr>
        <w:t>A.S.Kline</w:t>
      </w:r>
      <w:proofErr w:type="spellEnd"/>
      <w:r w:rsidRPr="00D2486F">
        <w:rPr>
          <w:sz w:val="22"/>
          <w:szCs w:val="22"/>
        </w:rPr>
        <w:t xml:space="preserve"> </w:t>
      </w:r>
    </w:p>
    <w:p w14:paraId="43F953BC" w14:textId="10CAD992" w:rsidR="008029C4" w:rsidRDefault="008029C4" w:rsidP="00F95281">
      <w:r>
        <w:t xml:space="preserve">Pliny the Elder, </w:t>
      </w:r>
      <w:r>
        <w:rPr>
          <w:i/>
          <w:iCs/>
        </w:rPr>
        <w:t xml:space="preserve">Natural History, </w:t>
      </w:r>
      <w:r>
        <w:t>(</w:t>
      </w:r>
      <w:r w:rsidR="00F2785A">
        <w:t xml:space="preserve">John Bostock, M.D., F.R.S. H.T. Riley, </w:t>
      </w:r>
      <w:proofErr w:type="spellStart"/>
      <w:r w:rsidR="00F2785A">
        <w:t>Esq.</w:t>
      </w:r>
      <w:proofErr w:type="spellEnd"/>
      <w:r w:rsidR="00F2785A">
        <w:t>, B.A. London. Taylor and Francis, Red Lion Court, Fleet Street. 1855</w:t>
      </w:r>
      <w:r w:rsidR="00F2785A">
        <w:t xml:space="preserve"> Accessed 24/3/2023, </w:t>
      </w:r>
      <w:hyperlink r:id="rId10" w:history="1">
        <w:r w:rsidR="00662337" w:rsidRPr="00417CFB">
          <w:rPr>
            <w:rStyle w:val="Hyperlink"/>
          </w:rPr>
          <w:t>http://www.perseus.tufts.edu/hopper/text?doc=urn:cts:latinLit:phi0978.phi001.perseus-eng1:9.58</w:t>
        </w:r>
      </w:hyperlink>
      <w:r w:rsidR="00662337">
        <w:t xml:space="preserve"> </w:t>
      </w:r>
      <w:r w:rsidR="00F2785A">
        <w:t>)</w:t>
      </w:r>
    </w:p>
    <w:p w14:paraId="15023394" w14:textId="10FB099F" w:rsidR="0016145F" w:rsidRDefault="002D55CC" w:rsidP="002D55CC">
      <w:pPr>
        <w:pStyle w:val="FootnoteText"/>
        <w:rPr>
          <w:i/>
          <w:iCs/>
          <w:sz w:val="22"/>
          <w:szCs w:val="22"/>
        </w:rPr>
      </w:pPr>
      <w:r w:rsidRPr="00A7369B">
        <w:rPr>
          <w:sz w:val="22"/>
          <w:szCs w:val="22"/>
        </w:rPr>
        <w:t>Plu</w:t>
      </w:r>
      <w:r w:rsidR="003F438D">
        <w:rPr>
          <w:sz w:val="22"/>
          <w:szCs w:val="22"/>
        </w:rPr>
        <w:t>tarch,</w:t>
      </w:r>
      <w:r w:rsidRPr="00A7369B">
        <w:rPr>
          <w:sz w:val="22"/>
          <w:szCs w:val="22"/>
        </w:rPr>
        <w:t xml:space="preserve"> </w:t>
      </w:r>
      <w:r w:rsidRPr="00A7369B">
        <w:rPr>
          <w:i/>
          <w:iCs/>
          <w:sz w:val="22"/>
          <w:szCs w:val="22"/>
        </w:rPr>
        <w:t>The Parallel Lives,</w:t>
      </w:r>
      <w:r w:rsidR="000A02C1">
        <w:rPr>
          <w:i/>
          <w:iCs/>
          <w:sz w:val="22"/>
          <w:szCs w:val="22"/>
        </w:rPr>
        <w:t xml:space="preserve"> </w:t>
      </w:r>
      <w:r w:rsidR="000A02C1">
        <w:t xml:space="preserve">published in Vol. IX of the Loeb Classical Library edition </w:t>
      </w:r>
      <w:r w:rsidR="00BB0B45">
        <w:t>(</w:t>
      </w:r>
      <w:r w:rsidR="000A02C1">
        <w:t>1920</w:t>
      </w:r>
      <w:r w:rsidR="00BB0B45">
        <w:t>)</w:t>
      </w:r>
      <w:r w:rsidR="000A02C1">
        <w:t xml:space="preserve"> </w:t>
      </w:r>
      <w:r w:rsidRPr="00A7369B">
        <w:rPr>
          <w:i/>
          <w:iCs/>
          <w:sz w:val="22"/>
          <w:szCs w:val="22"/>
        </w:rPr>
        <w:t xml:space="preserve"> </w:t>
      </w:r>
    </w:p>
    <w:p w14:paraId="0212B188" w14:textId="663BBFB2" w:rsidR="00BA3902" w:rsidRDefault="009155ED" w:rsidP="00BA3902">
      <w:pPr>
        <w:pStyle w:val="FootnoteText"/>
        <w:rPr>
          <w:sz w:val="22"/>
          <w:szCs w:val="22"/>
        </w:rPr>
      </w:pPr>
      <w:r w:rsidRPr="009155ED">
        <w:rPr>
          <w:sz w:val="22"/>
          <w:szCs w:val="22"/>
        </w:rPr>
        <w:t>Plutarch</w:t>
      </w:r>
      <w:r>
        <w:rPr>
          <w:i/>
          <w:iCs/>
          <w:sz w:val="22"/>
          <w:szCs w:val="22"/>
        </w:rPr>
        <w:t>,</w:t>
      </w:r>
      <w:r w:rsidRPr="009155ED">
        <w:rPr>
          <w:i/>
          <w:iCs/>
          <w:sz w:val="22"/>
          <w:szCs w:val="22"/>
        </w:rPr>
        <w:t xml:space="preserve"> Plutarch's Lives</w:t>
      </w:r>
      <w:r>
        <w:rPr>
          <w:i/>
          <w:iCs/>
          <w:sz w:val="22"/>
          <w:szCs w:val="22"/>
        </w:rPr>
        <w:t>,</w:t>
      </w:r>
      <w:r w:rsidRPr="009155ED">
        <w:rPr>
          <w:i/>
          <w:iCs/>
          <w:sz w:val="22"/>
          <w:szCs w:val="22"/>
        </w:rPr>
        <w:t xml:space="preserve"> </w:t>
      </w:r>
      <w:r w:rsidRPr="009155ED">
        <w:rPr>
          <w:sz w:val="22"/>
          <w:szCs w:val="22"/>
        </w:rPr>
        <w:t>t</w:t>
      </w:r>
      <w:r w:rsidRPr="009155ED">
        <w:rPr>
          <w:sz w:val="22"/>
          <w:szCs w:val="22"/>
        </w:rPr>
        <w:t>ranslation by. Bernadotte Perrin</w:t>
      </w:r>
      <w:r w:rsidRPr="009155ED">
        <w:rPr>
          <w:i/>
          <w:iCs/>
          <w:sz w:val="22"/>
          <w:szCs w:val="22"/>
        </w:rPr>
        <w:t>.</w:t>
      </w:r>
      <w:r>
        <w:rPr>
          <w:i/>
          <w:iCs/>
          <w:sz w:val="22"/>
          <w:szCs w:val="22"/>
        </w:rPr>
        <w:t xml:space="preserve"> </w:t>
      </w:r>
      <w:r w:rsidRPr="009155ED">
        <w:rPr>
          <w:i/>
          <w:iCs/>
          <w:sz w:val="22"/>
          <w:szCs w:val="22"/>
        </w:rPr>
        <w:t xml:space="preserve"> </w:t>
      </w:r>
      <w:r w:rsidRPr="009155ED">
        <w:rPr>
          <w:sz w:val="22"/>
          <w:szCs w:val="22"/>
        </w:rPr>
        <w:t>(</w:t>
      </w:r>
      <w:r w:rsidRPr="009155ED">
        <w:rPr>
          <w:sz w:val="22"/>
          <w:szCs w:val="22"/>
        </w:rPr>
        <w:t>Cambridge, MA. Harvard University Press. London. William Heinemann Ltd. 1919</w:t>
      </w:r>
      <w:r>
        <w:rPr>
          <w:sz w:val="22"/>
          <w:szCs w:val="22"/>
        </w:rPr>
        <w:t>)</w:t>
      </w:r>
    </w:p>
    <w:p w14:paraId="11890C50" w14:textId="5B2A44E5" w:rsidR="00004123" w:rsidRPr="00E71B19" w:rsidRDefault="003019E1" w:rsidP="00004123">
      <w:pPr>
        <w:pStyle w:val="FootnoteText"/>
        <w:rPr>
          <w:sz w:val="22"/>
          <w:szCs w:val="22"/>
        </w:rPr>
      </w:pPr>
      <w:r w:rsidRPr="00D2486F">
        <w:rPr>
          <w:sz w:val="22"/>
          <w:szCs w:val="22"/>
        </w:rPr>
        <w:t xml:space="preserve">Propertius, </w:t>
      </w:r>
      <w:r w:rsidR="009D534B" w:rsidRPr="00D2486F">
        <w:rPr>
          <w:i/>
          <w:iCs/>
          <w:sz w:val="22"/>
          <w:szCs w:val="22"/>
        </w:rPr>
        <w:t>Book IV.6:1-86 The Temple of Palatine Apollo</w:t>
      </w:r>
      <w:r w:rsidR="009D534B" w:rsidRPr="00D2486F">
        <w:rPr>
          <w:i/>
          <w:iCs/>
          <w:sz w:val="22"/>
          <w:szCs w:val="22"/>
        </w:rPr>
        <w:t xml:space="preserve">, </w:t>
      </w:r>
      <w:r w:rsidR="009D534B" w:rsidRPr="00D2486F">
        <w:rPr>
          <w:sz w:val="22"/>
          <w:szCs w:val="22"/>
        </w:rPr>
        <w:t>Translation by A.S Kline</w:t>
      </w:r>
    </w:p>
    <w:p w14:paraId="73AD2347" w14:textId="77777777" w:rsidR="00FE56AC" w:rsidRDefault="00FE56AC" w:rsidP="00F95281"/>
    <w:p w14:paraId="334AADDB" w14:textId="187AABD5" w:rsidR="00FE56AC" w:rsidRDefault="00FE56AC" w:rsidP="00F95281">
      <w:r>
        <w:t xml:space="preserve">Modern - </w:t>
      </w:r>
    </w:p>
    <w:p w14:paraId="26920276" w14:textId="71A3203B" w:rsidR="000B5977" w:rsidRDefault="000B5977" w:rsidP="000B5977">
      <w:proofErr w:type="spellStart"/>
      <w:r w:rsidRPr="00A7369B">
        <w:t>Benario</w:t>
      </w:r>
      <w:proofErr w:type="spellEnd"/>
      <w:r>
        <w:t xml:space="preserve"> </w:t>
      </w:r>
      <w:r w:rsidRPr="00A7369B">
        <w:t>J.M</w:t>
      </w:r>
      <w:r w:rsidRPr="00A7369B">
        <w:rPr>
          <w:i/>
          <w:iCs/>
        </w:rPr>
        <w:t>, DIDO AND CLEOPATRA</w:t>
      </w:r>
      <w:r w:rsidRPr="00A7369B">
        <w:t xml:space="preserve">, in </w:t>
      </w:r>
      <w:r w:rsidRPr="00A7369B">
        <w:rPr>
          <w:i/>
          <w:iCs/>
        </w:rPr>
        <w:t>Vergilius (1959</w:t>
      </w:r>
      <w:r w:rsidRPr="00A7369B">
        <w:t xml:space="preserve">-), no. 16 (1970, </w:t>
      </w:r>
      <w:hyperlink r:id="rId11" w:history="1">
        <w:r w:rsidRPr="00A7369B">
          <w:rPr>
            <w:rStyle w:val="Hyperlink"/>
          </w:rPr>
          <w:t>http://www.jstor.org/stable/41591641</w:t>
        </w:r>
      </w:hyperlink>
      <w:r w:rsidRPr="00A7369B">
        <w:t>)</w:t>
      </w:r>
    </w:p>
    <w:p w14:paraId="2D5F1D27" w14:textId="509606DC" w:rsidR="00757B95" w:rsidRPr="000B5977" w:rsidRDefault="00757B95" w:rsidP="000B5977">
      <w:pPr>
        <w:pStyle w:val="FootnoteText"/>
        <w:rPr>
          <w:sz w:val="22"/>
          <w:szCs w:val="22"/>
        </w:rPr>
      </w:pPr>
      <w:r w:rsidRPr="00A7369B">
        <w:rPr>
          <w:sz w:val="22"/>
          <w:szCs w:val="22"/>
        </w:rPr>
        <w:t>Donald</w:t>
      </w:r>
      <w:r>
        <w:rPr>
          <w:sz w:val="22"/>
          <w:szCs w:val="22"/>
        </w:rPr>
        <w:t xml:space="preserve"> G</w:t>
      </w:r>
      <w:r w:rsidRPr="00A7369B">
        <w:rPr>
          <w:sz w:val="22"/>
          <w:szCs w:val="22"/>
        </w:rPr>
        <w:t xml:space="preserve">, </w:t>
      </w:r>
      <w:r w:rsidRPr="00A7369B">
        <w:rPr>
          <w:i/>
          <w:iCs/>
          <w:sz w:val="22"/>
          <w:szCs w:val="22"/>
        </w:rPr>
        <w:t xml:space="preserve">The Mysteries of History </w:t>
      </w:r>
      <w:r w:rsidRPr="00A7369B">
        <w:rPr>
          <w:sz w:val="22"/>
          <w:szCs w:val="22"/>
        </w:rPr>
        <w:t>(Michael O’Mara Books Limited, 2018)</w:t>
      </w:r>
    </w:p>
    <w:p w14:paraId="78ED5DFB" w14:textId="77777777" w:rsidR="00742064" w:rsidRDefault="00742064" w:rsidP="00742064">
      <w:r w:rsidRPr="007538C1">
        <w:t xml:space="preserve">Fleming </w:t>
      </w:r>
      <w:r>
        <w:t>S</w:t>
      </w:r>
      <w:r w:rsidRPr="007538C1">
        <w:t xml:space="preserve">- </w:t>
      </w:r>
      <w:r w:rsidRPr="007538C1">
        <w:rPr>
          <w:i/>
          <w:iCs/>
        </w:rPr>
        <w:t>Science Scope: Life in Ancient Egypt: Harsh Realities, in Archaeology 35, no. 4</w:t>
      </w:r>
      <w:r w:rsidRPr="007538C1">
        <w:t xml:space="preserve"> (1982, Accessed </w:t>
      </w:r>
      <w:hyperlink r:id="rId12" w:history="1">
        <w:r w:rsidRPr="007538C1">
          <w:rPr>
            <w:rStyle w:val="Hyperlink"/>
          </w:rPr>
          <w:t>http://www.jstor.org/stable/41727429</w:t>
        </w:r>
      </w:hyperlink>
    </w:p>
    <w:p w14:paraId="3F37EFB1" w14:textId="6ADD16AA" w:rsidR="00742064" w:rsidRPr="00A7369B" w:rsidRDefault="00742064" w:rsidP="00742064">
      <w:pPr>
        <w:pStyle w:val="FootnoteText"/>
        <w:rPr>
          <w:sz w:val="22"/>
          <w:szCs w:val="22"/>
        </w:rPr>
      </w:pPr>
      <w:r w:rsidRPr="00A7369B">
        <w:rPr>
          <w:sz w:val="22"/>
          <w:szCs w:val="22"/>
        </w:rPr>
        <w:t>Güven</w:t>
      </w:r>
      <w:r w:rsidR="002D55CC">
        <w:rPr>
          <w:sz w:val="22"/>
          <w:szCs w:val="22"/>
        </w:rPr>
        <w:t xml:space="preserve"> S</w:t>
      </w:r>
      <w:r w:rsidRPr="00A7369B">
        <w:rPr>
          <w:sz w:val="22"/>
          <w:szCs w:val="22"/>
        </w:rPr>
        <w:t xml:space="preserve">, </w:t>
      </w:r>
      <w:r w:rsidRPr="00A7369B">
        <w:rPr>
          <w:i/>
          <w:iCs/>
          <w:sz w:val="22"/>
          <w:szCs w:val="22"/>
        </w:rPr>
        <w:t xml:space="preserve">Displaying the Res Gestae of Augustus: A Monument of Imperial Image for All, </w:t>
      </w:r>
      <w:r w:rsidRPr="00A7369B">
        <w:rPr>
          <w:sz w:val="22"/>
          <w:szCs w:val="22"/>
        </w:rPr>
        <w:t xml:space="preserve">in </w:t>
      </w:r>
      <w:r w:rsidRPr="00A7369B">
        <w:rPr>
          <w:i/>
          <w:iCs/>
          <w:sz w:val="22"/>
          <w:szCs w:val="22"/>
        </w:rPr>
        <w:t xml:space="preserve">Journal of the Society of Architectural Historians 57, no. 1 </w:t>
      </w:r>
      <w:r w:rsidRPr="00A7369B">
        <w:rPr>
          <w:sz w:val="22"/>
          <w:szCs w:val="22"/>
        </w:rPr>
        <w:t xml:space="preserve">(1998, </w:t>
      </w:r>
      <w:r w:rsidRPr="00A7369B">
        <w:rPr>
          <w:i/>
          <w:iCs/>
          <w:sz w:val="22"/>
          <w:szCs w:val="22"/>
        </w:rPr>
        <w:t>JSTOR</w:t>
      </w:r>
      <w:r w:rsidRPr="00A7369B">
        <w:rPr>
          <w:sz w:val="22"/>
          <w:szCs w:val="22"/>
        </w:rPr>
        <w:t xml:space="preserve">, </w:t>
      </w:r>
      <w:hyperlink r:id="rId13" w:history="1">
        <w:r w:rsidRPr="00A7369B">
          <w:rPr>
            <w:rStyle w:val="Hyperlink"/>
            <w:sz w:val="22"/>
            <w:szCs w:val="22"/>
          </w:rPr>
          <w:t>https://doi.org/10.2307/991403. Accessed 24 Mar. 2023</w:t>
        </w:r>
      </w:hyperlink>
      <w:r w:rsidRPr="00A7369B">
        <w:rPr>
          <w:sz w:val="22"/>
          <w:szCs w:val="22"/>
        </w:rPr>
        <w:t>)</w:t>
      </w:r>
    </w:p>
    <w:p w14:paraId="1C3D1481" w14:textId="766C21F1" w:rsidR="00C17302" w:rsidRDefault="00F95281" w:rsidP="00F95281">
      <w:r>
        <w:t>Ed. Grant</w:t>
      </w:r>
      <w:r w:rsidR="00FC3B05">
        <w:t xml:space="preserve"> R.G -  </w:t>
      </w:r>
      <w:r w:rsidRPr="007B3C57">
        <w:rPr>
          <w:i/>
          <w:iCs/>
        </w:rPr>
        <w:t xml:space="preserve">1001 </w:t>
      </w:r>
      <w:r w:rsidR="00FC3B05" w:rsidRPr="007B3C57">
        <w:rPr>
          <w:i/>
          <w:iCs/>
        </w:rPr>
        <w:t>battles</w:t>
      </w:r>
      <w:r w:rsidRPr="007B3C57">
        <w:rPr>
          <w:i/>
          <w:iCs/>
        </w:rPr>
        <w:t xml:space="preserve"> that changed the course of history</w:t>
      </w:r>
      <w:r>
        <w:t xml:space="preserve"> (Cassel Illustrated, 2017) </w:t>
      </w:r>
    </w:p>
    <w:p w14:paraId="5BBFCFB0" w14:textId="77777777" w:rsidR="003B15C7" w:rsidRDefault="00742064" w:rsidP="00742064">
      <w:pPr>
        <w:pStyle w:val="FootnoteText"/>
      </w:pPr>
      <w:r w:rsidRPr="00A7369B">
        <w:rPr>
          <w:sz w:val="22"/>
          <w:szCs w:val="22"/>
        </w:rPr>
        <w:t>Johnson</w:t>
      </w:r>
      <w:r>
        <w:rPr>
          <w:sz w:val="22"/>
          <w:szCs w:val="22"/>
        </w:rPr>
        <w:t xml:space="preserve"> </w:t>
      </w:r>
      <w:r w:rsidRPr="00A7369B">
        <w:rPr>
          <w:sz w:val="22"/>
          <w:szCs w:val="22"/>
        </w:rPr>
        <w:t xml:space="preserve">J. R., </w:t>
      </w:r>
      <w:r w:rsidRPr="00A7369B">
        <w:rPr>
          <w:i/>
          <w:iCs/>
          <w:sz w:val="22"/>
          <w:szCs w:val="22"/>
        </w:rPr>
        <w:t>The Authenticity and Validity of Antony's Will</w:t>
      </w:r>
      <w:r w:rsidRPr="00A7369B">
        <w:rPr>
          <w:sz w:val="22"/>
          <w:szCs w:val="22"/>
        </w:rPr>
        <w:t xml:space="preserve"> in </w:t>
      </w:r>
      <w:proofErr w:type="spellStart"/>
      <w:r w:rsidRPr="00A7369B">
        <w:rPr>
          <w:rStyle w:val="Emphasis"/>
          <w:sz w:val="22"/>
          <w:szCs w:val="22"/>
        </w:rPr>
        <w:t>L'antiquité</w:t>
      </w:r>
      <w:proofErr w:type="spellEnd"/>
      <w:r w:rsidRPr="00A7369B">
        <w:rPr>
          <w:rStyle w:val="Emphasis"/>
          <w:sz w:val="22"/>
          <w:szCs w:val="22"/>
        </w:rPr>
        <w:t xml:space="preserve"> </w:t>
      </w:r>
      <w:proofErr w:type="spellStart"/>
      <w:r w:rsidRPr="00A7369B">
        <w:rPr>
          <w:rStyle w:val="Emphasis"/>
          <w:sz w:val="22"/>
          <w:szCs w:val="22"/>
        </w:rPr>
        <w:t>classique</w:t>
      </w:r>
      <w:proofErr w:type="spellEnd"/>
      <w:r w:rsidRPr="00A7369B">
        <w:rPr>
          <w:sz w:val="22"/>
          <w:szCs w:val="22"/>
        </w:rPr>
        <w:t>, Volume 47,  (1978) pp. 494-503</w:t>
      </w:r>
      <w:r w:rsidR="003B15C7" w:rsidRPr="003B15C7">
        <w:t xml:space="preserve"> </w:t>
      </w:r>
    </w:p>
    <w:p w14:paraId="5F4A2382" w14:textId="5C058B59" w:rsidR="00742064" w:rsidRPr="003B15C7" w:rsidRDefault="003B15C7" w:rsidP="00742064">
      <w:pPr>
        <w:pStyle w:val="FootnoteText"/>
        <w:rPr>
          <w:sz w:val="24"/>
          <w:szCs w:val="24"/>
        </w:rPr>
      </w:pPr>
      <w:proofErr w:type="spellStart"/>
      <w:r w:rsidRPr="003B15C7">
        <w:rPr>
          <w:sz w:val="22"/>
          <w:szCs w:val="22"/>
        </w:rPr>
        <w:t>Kibin</w:t>
      </w:r>
      <w:proofErr w:type="spellEnd"/>
      <w:r w:rsidRPr="003B15C7">
        <w:rPr>
          <w:sz w:val="22"/>
          <w:szCs w:val="22"/>
        </w:rPr>
        <w:t xml:space="preserve">. </w:t>
      </w:r>
      <w:r w:rsidRPr="003B15C7">
        <w:rPr>
          <w:rStyle w:val="Emphasis"/>
          <w:sz w:val="22"/>
          <w:szCs w:val="22"/>
        </w:rPr>
        <w:t xml:space="preserve">The bias of </w:t>
      </w:r>
      <w:proofErr w:type="spellStart"/>
      <w:r w:rsidRPr="003B15C7">
        <w:rPr>
          <w:rStyle w:val="Emphasis"/>
          <w:sz w:val="22"/>
          <w:szCs w:val="22"/>
        </w:rPr>
        <w:t>plutarch</w:t>
      </w:r>
      <w:proofErr w:type="spellEnd"/>
      <w:r w:rsidRPr="003B15C7">
        <w:rPr>
          <w:rStyle w:val="Emphasis"/>
          <w:sz w:val="22"/>
          <w:szCs w:val="22"/>
        </w:rPr>
        <w:t xml:space="preserve"> in his appraisal of </w:t>
      </w:r>
      <w:proofErr w:type="spellStart"/>
      <w:r w:rsidRPr="003B15C7">
        <w:rPr>
          <w:rStyle w:val="Emphasis"/>
          <w:sz w:val="22"/>
          <w:szCs w:val="22"/>
        </w:rPr>
        <w:t>caesar</w:t>
      </w:r>
      <w:proofErr w:type="spellEnd"/>
      <w:r w:rsidRPr="003B15C7">
        <w:rPr>
          <w:rStyle w:val="Emphasis"/>
          <w:sz w:val="22"/>
          <w:szCs w:val="22"/>
        </w:rPr>
        <w:t xml:space="preserve"> as the model roman citizen and ruler</w:t>
      </w:r>
      <w:r w:rsidRPr="003B15C7">
        <w:rPr>
          <w:sz w:val="22"/>
          <w:szCs w:val="22"/>
        </w:rPr>
        <w:t xml:space="preserve">. (2023, </w:t>
      </w:r>
      <w:hyperlink r:id="rId14" w:history="1">
        <w:r w:rsidRPr="003B15C7">
          <w:rPr>
            <w:rStyle w:val="Hyperlink"/>
            <w:sz w:val="22"/>
            <w:szCs w:val="22"/>
          </w:rPr>
          <w:t>http://www.kibin.com/essay-examples/the-bias-of-plutarch-in-his-appraisal-of-caesar-as-the-model-roman-citizen-and-ruler-htltrILt</w:t>
        </w:r>
      </w:hyperlink>
      <w:r w:rsidRPr="003B15C7">
        <w:rPr>
          <w:sz w:val="22"/>
          <w:szCs w:val="22"/>
        </w:rPr>
        <w:t>, Accessed 25/3/2023)</w:t>
      </w:r>
    </w:p>
    <w:p w14:paraId="3E489AB4" w14:textId="77777777" w:rsidR="002D69F7" w:rsidRPr="002D69F7" w:rsidRDefault="002D69F7" w:rsidP="002D69F7">
      <w:pPr>
        <w:pStyle w:val="FootnoteText"/>
        <w:rPr>
          <w:sz w:val="22"/>
          <w:szCs w:val="22"/>
        </w:rPr>
      </w:pPr>
      <w:r w:rsidRPr="002D69F7">
        <w:rPr>
          <w:sz w:val="22"/>
          <w:szCs w:val="22"/>
        </w:rPr>
        <w:t xml:space="preserve">Manning J. G. et al, </w:t>
      </w:r>
      <w:r w:rsidRPr="002D69F7">
        <w:rPr>
          <w:i/>
          <w:iCs/>
          <w:sz w:val="22"/>
          <w:szCs w:val="22"/>
        </w:rPr>
        <w:t xml:space="preserve">Volcanic suppression of Nile summer flooding triggers revolt and constrains interstate conflict in ancient Egypt, </w:t>
      </w:r>
      <w:r w:rsidRPr="002D69F7">
        <w:rPr>
          <w:sz w:val="22"/>
          <w:szCs w:val="22"/>
        </w:rPr>
        <w:t xml:space="preserve">in </w:t>
      </w:r>
      <w:r w:rsidRPr="002D69F7">
        <w:rPr>
          <w:i/>
          <w:iCs/>
          <w:sz w:val="22"/>
          <w:szCs w:val="22"/>
        </w:rPr>
        <w:t xml:space="preserve">Nature Communications 8 </w:t>
      </w:r>
      <w:r w:rsidRPr="002D69F7">
        <w:rPr>
          <w:sz w:val="22"/>
          <w:szCs w:val="22"/>
        </w:rPr>
        <w:t xml:space="preserve">(Nature Communications, 2017, </w:t>
      </w:r>
      <w:hyperlink r:id="rId15" w:history="1">
        <w:r w:rsidRPr="002D69F7">
          <w:rPr>
            <w:rStyle w:val="Hyperlink"/>
            <w:sz w:val="22"/>
            <w:szCs w:val="22"/>
          </w:rPr>
          <w:t>https://doi.org/10.1038/s41467-017-00957-y</w:t>
        </w:r>
      </w:hyperlink>
      <w:r w:rsidRPr="002D69F7">
        <w:rPr>
          <w:sz w:val="22"/>
          <w:szCs w:val="22"/>
        </w:rPr>
        <w:t xml:space="preserve">) </w:t>
      </w:r>
    </w:p>
    <w:p w14:paraId="34887E9B" w14:textId="357D8826" w:rsidR="00757B95" w:rsidRDefault="00757B95" w:rsidP="00757B95">
      <w:pPr>
        <w:pStyle w:val="FootnoteText"/>
        <w:rPr>
          <w:sz w:val="22"/>
          <w:szCs w:val="22"/>
        </w:rPr>
      </w:pPr>
      <w:r w:rsidRPr="00A7369B">
        <w:rPr>
          <w:sz w:val="22"/>
          <w:szCs w:val="22"/>
        </w:rPr>
        <w:t>Matthews</w:t>
      </w:r>
      <w:r>
        <w:rPr>
          <w:sz w:val="22"/>
          <w:szCs w:val="22"/>
        </w:rPr>
        <w:t xml:space="preserve"> R</w:t>
      </w:r>
      <w:r w:rsidRPr="00A7369B">
        <w:rPr>
          <w:sz w:val="22"/>
          <w:szCs w:val="22"/>
        </w:rPr>
        <w:t xml:space="preserve">, </w:t>
      </w:r>
      <w:r w:rsidRPr="00A7369B">
        <w:rPr>
          <w:i/>
          <w:iCs/>
          <w:sz w:val="22"/>
          <w:szCs w:val="22"/>
        </w:rPr>
        <w:t>Actium</w:t>
      </w:r>
      <w:r w:rsidRPr="00A7369B">
        <w:rPr>
          <w:sz w:val="22"/>
          <w:szCs w:val="22"/>
        </w:rPr>
        <w:t xml:space="preserve"> in </w:t>
      </w:r>
      <w:r w:rsidRPr="00A7369B">
        <w:rPr>
          <w:i/>
          <w:iCs/>
          <w:sz w:val="22"/>
          <w:szCs w:val="22"/>
        </w:rPr>
        <w:t>1001 battles that changed the course of history,</w:t>
      </w:r>
      <w:r w:rsidRPr="00A7369B">
        <w:rPr>
          <w:sz w:val="22"/>
          <w:szCs w:val="22"/>
        </w:rPr>
        <w:t xml:space="preserve"> ed. R.G. Grant (Cassel Illustrated, 2017) pp. 80-81</w:t>
      </w:r>
    </w:p>
    <w:p w14:paraId="718F97DA" w14:textId="6AFB1132" w:rsidR="0022396E" w:rsidRPr="00A7369B" w:rsidRDefault="0022396E" w:rsidP="0022396E">
      <w:pPr>
        <w:pStyle w:val="FootnoteText"/>
        <w:rPr>
          <w:sz w:val="22"/>
          <w:szCs w:val="22"/>
        </w:rPr>
      </w:pPr>
      <w:r w:rsidRPr="00A7369B">
        <w:rPr>
          <w:sz w:val="22"/>
          <w:szCs w:val="22"/>
        </w:rPr>
        <w:t>Naunton</w:t>
      </w:r>
      <w:r w:rsidR="005D01F3">
        <w:rPr>
          <w:sz w:val="22"/>
          <w:szCs w:val="22"/>
        </w:rPr>
        <w:t xml:space="preserve"> C</w:t>
      </w:r>
      <w:r w:rsidRPr="00A7369B">
        <w:rPr>
          <w:sz w:val="22"/>
          <w:szCs w:val="22"/>
        </w:rPr>
        <w:t xml:space="preserve">, </w:t>
      </w:r>
      <w:r w:rsidRPr="00A7369B">
        <w:rPr>
          <w:i/>
          <w:iCs/>
          <w:sz w:val="22"/>
          <w:szCs w:val="22"/>
        </w:rPr>
        <w:t xml:space="preserve">Lost tombs of Egypt, </w:t>
      </w:r>
      <w:r w:rsidRPr="00A7369B">
        <w:rPr>
          <w:sz w:val="22"/>
          <w:szCs w:val="22"/>
        </w:rPr>
        <w:t xml:space="preserve">(Thames and Hudson </w:t>
      </w:r>
      <w:proofErr w:type="spellStart"/>
      <w:r w:rsidRPr="00A7369B">
        <w:rPr>
          <w:sz w:val="22"/>
          <w:szCs w:val="22"/>
        </w:rPr>
        <w:t>LtD</w:t>
      </w:r>
      <w:proofErr w:type="spellEnd"/>
      <w:r w:rsidRPr="00A7369B">
        <w:rPr>
          <w:sz w:val="22"/>
          <w:szCs w:val="22"/>
        </w:rPr>
        <w:t>, 2018) pp.227 – 248</w:t>
      </w:r>
    </w:p>
    <w:p w14:paraId="794E5FB9" w14:textId="006A9FF0" w:rsidR="005D01F3" w:rsidRDefault="005D01F3" w:rsidP="005D01F3">
      <w:r>
        <w:t>Southern</w:t>
      </w:r>
      <w:r>
        <w:t xml:space="preserve"> P</w:t>
      </w:r>
      <w:r>
        <w:t xml:space="preserve"> -  </w:t>
      </w:r>
      <w:r>
        <w:rPr>
          <w:i/>
          <w:iCs/>
        </w:rPr>
        <w:t>Cleopatra</w:t>
      </w:r>
      <w:r>
        <w:t xml:space="preserve"> (Tempus Publishing </w:t>
      </w:r>
      <w:proofErr w:type="spellStart"/>
      <w:r>
        <w:t>LtD</w:t>
      </w:r>
      <w:proofErr w:type="spellEnd"/>
      <w:r>
        <w:t xml:space="preserve">, 2007) </w:t>
      </w:r>
    </w:p>
    <w:p w14:paraId="6BA4F0D2" w14:textId="1E2A046F" w:rsidR="00F36985" w:rsidRPr="00F36985" w:rsidRDefault="00F36985" w:rsidP="00F36985">
      <w:pPr>
        <w:pStyle w:val="FootnoteText"/>
        <w:rPr>
          <w:sz w:val="22"/>
          <w:szCs w:val="22"/>
        </w:rPr>
      </w:pPr>
      <w:r w:rsidRPr="002D69F7">
        <w:rPr>
          <w:sz w:val="22"/>
          <w:szCs w:val="22"/>
        </w:rPr>
        <w:t>Sullivan</w:t>
      </w:r>
      <w:r>
        <w:rPr>
          <w:sz w:val="22"/>
          <w:szCs w:val="22"/>
        </w:rPr>
        <w:t xml:space="preserve"> </w:t>
      </w:r>
      <w:r w:rsidRPr="002D69F7">
        <w:rPr>
          <w:sz w:val="22"/>
          <w:szCs w:val="22"/>
        </w:rPr>
        <w:t xml:space="preserve">R. D., </w:t>
      </w:r>
      <w:r w:rsidRPr="002D69F7">
        <w:rPr>
          <w:i/>
          <w:iCs/>
          <w:sz w:val="22"/>
          <w:szCs w:val="22"/>
        </w:rPr>
        <w:t>Near Eastern royalty and Rome, 100-30 BC</w:t>
      </w:r>
      <w:r w:rsidRPr="002D69F7">
        <w:rPr>
          <w:sz w:val="22"/>
          <w:szCs w:val="22"/>
        </w:rPr>
        <w:t xml:space="preserve">. (University of Toronto Press, 1990. </w:t>
      </w:r>
      <w:proofErr w:type="spellStart"/>
      <w:r w:rsidRPr="002D69F7">
        <w:rPr>
          <w:sz w:val="22"/>
          <w:szCs w:val="22"/>
        </w:rPr>
        <w:t>doi</w:t>
      </w:r>
      <w:proofErr w:type="spellEnd"/>
      <w:r w:rsidRPr="002D69F7">
        <w:rPr>
          <w:sz w:val="22"/>
          <w:szCs w:val="22"/>
        </w:rPr>
        <w:t xml:space="preserve">: 10.3138/9781442677593) </w:t>
      </w:r>
    </w:p>
    <w:p w14:paraId="771B6F54" w14:textId="56808013" w:rsidR="00D120D1" w:rsidRDefault="00D120D1" w:rsidP="005D01F3">
      <w:r w:rsidRPr="00A7369B">
        <w:t>Tennant</w:t>
      </w:r>
      <w:r>
        <w:t xml:space="preserve"> </w:t>
      </w:r>
      <w:r w:rsidRPr="00A7369B">
        <w:t xml:space="preserve">P.M.W, </w:t>
      </w:r>
      <w:r w:rsidRPr="00A7369B">
        <w:rPr>
          <w:i/>
          <w:iCs/>
        </w:rPr>
        <w:t>POLITICAL OR PERSONAL PROPAGANDA? HORACE, ‘SERMONES’ 1.5 IN PERSPECTIVE</w:t>
      </w:r>
      <w:r w:rsidRPr="00A7369B">
        <w:t xml:space="preserve"> in </w:t>
      </w:r>
      <w:r w:rsidRPr="00A7369B">
        <w:rPr>
          <w:i/>
          <w:iCs/>
        </w:rPr>
        <w:t>Acta Classica</w:t>
      </w:r>
      <w:r w:rsidRPr="00A7369B">
        <w:t xml:space="preserve"> 34 (1991 </w:t>
      </w:r>
      <w:hyperlink r:id="rId16" w:history="1">
        <w:r w:rsidRPr="00A7369B">
          <w:rPr>
            <w:rStyle w:val="Hyperlink"/>
          </w:rPr>
          <w:t>http://www.jstor.org/stable/24591932</w:t>
        </w:r>
      </w:hyperlink>
      <w:r w:rsidRPr="00A7369B">
        <w:t>)</w:t>
      </w:r>
    </w:p>
    <w:p w14:paraId="4F7580B6" w14:textId="25353E99" w:rsidR="00EB6095" w:rsidRPr="00A7369B" w:rsidRDefault="00EB6095" w:rsidP="00EB6095">
      <w:pPr>
        <w:pStyle w:val="FootnoteText"/>
        <w:rPr>
          <w:sz w:val="22"/>
          <w:szCs w:val="22"/>
        </w:rPr>
      </w:pPr>
      <w:r w:rsidRPr="002D69F7">
        <w:rPr>
          <w:sz w:val="22"/>
          <w:szCs w:val="22"/>
        </w:rPr>
        <w:lastRenderedPageBreak/>
        <w:t>Townsend</w:t>
      </w:r>
      <w:r>
        <w:rPr>
          <w:sz w:val="22"/>
          <w:szCs w:val="22"/>
        </w:rPr>
        <w:t xml:space="preserve"> </w:t>
      </w:r>
      <w:r w:rsidRPr="002D69F7">
        <w:rPr>
          <w:sz w:val="22"/>
          <w:szCs w:val="22"/>
        </w:rPr>
        <w:t xml:space="preserve">E. D., et al, </w:t>
      </w:r>
      <w:r w:rsidRPr="002D69F7">
        <w:rPr>
          <w:i/>
          <w:iCs/>
          <w:sz w:val="22"/>
          <w:szCs w:val="22"/>
        </w:rPr>
        <w:t>ancient Rome</w:t>
      </w:r>
      <w:r w:rsidRPr="002D69F7">
        <w:rPr>
          <w:sz w:val="22"/>
          <w:szCs w:val="22"/>
        </w:rPr>
        <w:t xml:space="preserve">, </w:t>
      </w:r>
      <w:proofErr w:type="spellStart"/>
      <w:r w:rsidRPr="002D69F7">
        <w:rPr>
          <w:sz w:val="22"/>
          <w:szCs w:val="22"/>
        </w:rPr>
        <w:t>Encyclopedia</w:t>
      </w:r>
      <w:proofErr w:type="spellEnd"/>
      <w:r w:rsidRPr="002D69F7">
        <w:rPr>
          <w:sz w:val="22"/>
          <w:szCs w:val="22"/>
        </w:rPr>
        <w:t xml:space="preserve"> Britannica, (https://www.britannica.com/place/ancient-Rome. 24/3/2023)</w:t>
      </w:r>
    </w:p>
    <w:p w14:paraId="5302D807" w14:textId="77777777" w:rsidR="002D69F7" w:rsidRPr="002D69F7" w:rsidRDefault="002D69F7" w:rsidP="002D69F7">
      <w:pPr>
        <w:pStyle w:val="FootnoteText"/>
        <w:rPr>
          <w:sz w:val="22"/>
          <w:szCs w:val="22"/>
        </w:rPr>
      </w:pPr>
      <w:r w:rsidRPr="002D69F7">
        <w:rPr>
          <w:sz w:val="22"/>
          <w:szCs w:val="22"/>
        </w:rPr>
        <w:t>Welch</w:t>
      </w:r>
      <w:r>
        <w:rPr>
          <w:sz w:val="22"/>
          <w:szCs w:val="22"/>
        </w:rPr>
        <w:t xml:space="preserve"> C</w:t>
      </w:r>
      <w:r w:rsidRPr="002D69F7">
        <w:rPr>
          <w:sz w:val="22"/>
          <w:szCs w:val="22"/>
        </w:rPr>
        <w:t xml:space="preserve">, </w:t>
      </w:r>
      <w:r w:rsidRPr="002D69F7">
        <w:rPr>
          <w:i/>
          <w:iCs/>
          <w:sz w:val="22"/>
          <w:szCs w:val="22"/>
        </w:rPr>
        <w:t xml:space="preserve">How Volcanoes Caused Violent Uprisings in Cleopatra's Egypt, </w:t>
      </w:r>
      <w:r w:rsidRPr="002D69F7">
        <w:rPr>
          <w:sz w:val="22"/>
          <w:szCs w:val="22"/>
        </w:rPr>
        <w:t>(</w:t>
      </w:r>
      <w:hyperlink r:id="rId17" w:history="1">
        <w:r w:rsidRPr="002D69F7">
          <w:rPr>
            <w:rStyle w:val="Hyperlink"/>
            <w:sz w:val="22"/>
            <w:szCs w:val="22"/>
          </w:rPr>
          <w:t>https://www.nationalgeographic.com/science/article/volcanoes-Nile-flood-climate-Egypt</w:t>
        </w:r>
      </w:hyperlink>
      <w:r w:rsidRPr="002D69F7">
        <w:rPr>
          <w:sz w:val="22"/>
          <w:szCs w:val="22"/>
        </w:rPr>
        <w:t xml:space="preserve">) </w:t>
      </w:r>
    </w:p>
    <w:p w14:paraId="1563FD86" w14:textId="032B116B" w:rsidR="002749BC" w:rsidRPr="007538C1" w:rsidRDefault="002749BC" w:rsidP="002749BC">
      <w:pPr>
        <w:pStyle w:val="FootnoteText"/>
        <w:rPr>
          <w:sz w:val="22"/>
          <w:szCs w:val="22"/>
        </w:rPr>
      </w:pPr>
      <w:r w:rsidRPr="007538C1">
        <w:rPr>
          <w:sz w:val="22"/>
          <w:szCs w:val="22"/>
        </w:rPr>
        <w:t>Zinn</w:t>
      </w:r>
      <w:r w:rsidR="005D01F3">
        <w:rPr>
          <w:sz w:val="22"/>
          <w:szCs w:val="22"/>
        </w:rPr>
        <w:t xml:space="preserve"> K</w:t>
      </w:r>
      <w:r w:rsidRPr="007538C1">
        <w:rPr>
          <w:sz w:val="22"/>
          <w:szCs w:val="22"/>
        </w:rPr>
        <w:t xml:space="preserve"> - </w:t>
      </w:r>
      <w:r w:rsidRPr="007538C1">
        <w:rPr>
          <w:i/>
          <w:iCs/>
          <w:sz w:val="22"/>
          <w:szCs w:val="22"/>
        </w:rPr>
        <w:t xml:space="preserve">Literacy, Pharaonic Egypt, </w:t>
      </w:r>
      <w:r w:rsidRPr="007538C1">
        <w:rPr>
          <w:sz w:val="22"/>
          <w:szCs w:val="22"/>
        </w:rPr>
        <w:t>(University of Wales Trinity Saint David, 2012)</w:t>
      </w:r>
    </w:p>
    <w:p w14:paraId="604CB5E8" w14:textId="7D144DF5" w:rsidR="002D69F7" w:rsidRDefault="002D69F7" w:rsidP="002D69F7">
      <w:r>
        <w:t>A Wallace-</w:t>
      </w:r>
      <w:proofErr w:type="spellStart"/>
      <w:r>
        <w:t>Hadrill</w:t>
      </w:r>
      <w:proofErr w:type="spellEnd"/>
      <w:r>
        <w:t xml:space="preserve">, </w:t>
      </w:r>
      <w:r>
        <w:rPr>
          <w:i/>
          <w:iCs/>
        </w:rPr>
        <w:t xml:space="preserve">Augustan Rome, </w:t>
      </w:r>
      <w:r>
        <w:t>(Bloomsbury Publishing Plc, 1993, 2018)</w:t>
      </w:r>
    </w:p>
    <w:p w14:paraId="31746316" w14:textId="77777777" w:rsidR="009555F8" w:rsidRDefault="009555F8" w:rsidP="007538C1"/>
    <w:p w14:paraId="73FB294E" w14:textId="77777777" w:rsidR="009555F8" w:rsidRDefault="009555F8" w:rsidP="007538C1"/>
    <w:p w14:paraId="32DC936E" w14:textId="45750468" w:rsidR="009555F8" w:rsidRDefault="003B15C7" w:rsidP="007538C1">
      <w:r>
        <w:t xml:space="preserve">Websites - </w:t>
      </w:r>
    </w:p>
    <w:p w14:paraId="3EABC367" w14:textId="3BFCE6F1" w:rsidR="009555F8" w:rsidRPr="00A7369B" w:rsidRDefault="009555F8" w:rsidP="009555F8">
      <w:pPr>
        <w:pStyle w:val="FootnoteText"/>
        <w:rPr>
          <w:sz w:val="22"/>
          <w:szCs w:val="22"/>
        </w:rPr>
      </w:pPr>
      <w:r w:rsidRPr="00A7369B">
        <w:rPr>
          <w:sz w:val="22"/>
          <w:szCs w:val="22"/>
        </w:rPr>
        <w:t xml:space="preserve">Britannica, The Editors of Encyclopaedia, </w:t>
      </w:r>
      <w:r w:rsidRPr="00A7369B">
        <w:rPr>
          <w:i/>
          <w:iCs/>
          <w:sz w:val="22"/>
          <w:szCs w:val="22"/>
        </w:rPr>
        <w:t>Battle of Actium</w:t>
      </w:r>
      <w:r w:rsidRPr="00A7369B">
        <w:rPr>
          <w:sz w:val="22"/>
          <w:szCs w:val="22"/>
        </w:rPr>
        <w:t>, (</w:t>
      </w:r>
      <w:proofErr w:type="spellStart"/>
      <w:r w:rsidRPr="00A7369B">
        <w:rPr>
          <w:sz w:val="22"/>
          <w:szCs w:val="22"/>
        </w:rPr>
        <w:t>Encyclopedia</w:t>
      </w:r>
      <w:proofErr w:type="spellEnd"/>
      <w:r w:rsidRPr="00A7369B">
        <w:rPr>
          <w:sz w:val="22"/>
          <w:szCs w:val="22"/>
        </w:rPr>
        <w:t xml:space="preserve"> Britannica, </w:t>
      </w:r>
      <w:hyperlink r:id="rId18" w:history="1">
        <w:r w:rsidRPr="00A7369B">
          <w:rPr>
            <w:rStyle w:val="Hyperlink"/>
            <w:sz w:val="22"/>
            <w:szCs w:val="22"/>
          </w:rPr>
          <w:t>https://www.britannica.com/event/Battle-of-Actium-ancient-Roman-history</w:t>
        </w:r>
      </w:hyperlink>
      <w:r w:rsidRPr="00A7369B">
        <w:rPr>
          <w:sz w:val="22"/>
          <w:szCs w:val="22"/>
        </w:rPr>
        <w:t xml:space="preserve">  Accessed 24/3/2023)</w:t>
      </w:r>
    </w:p>
    <w:p w14:paraId="24E4C3D9" w14:textId="10B24687" w:rsidR="00DB3827" w:rsidRDefault="00DB3827" w:rsidP="009555F8">
      <w:pPr>
        <w:pStyle w:val="FootnoteText"/>
        <w:rPr>
          <w:sz w:val="22"/>
          <w:szCs w:val="22"/>
        </w:rPr>
      </w:pPr>
      <w:r w:rsidRPr="00A7369B">
        <w:rPr>
          <w:sz w:val="22"/>
          <w:szCs w:val="22"/>
        </w:rPr>
        <w:t>Carpenter</w:t>
      </w:r>
      <w:r>
        <w:rPr>
          <w:sz w:val="22"/>
          <w:szCs w:val="22"/>
        </w:rPr>
        <w:t xml:space="preserve"> J</w:t>
      </w:r>
      <w:r w:rsidRPr="00A7369B">
        <w:rPr>
          <w:sz w:val="22"/>
          <w:szCs w:val="22"/>
        </w:rPr>
        <w:t xml:space="preserve">, </w:t>
      </w:r>
      <w:r w:rsidRPr="00A7369B">
        <w:rPr>
          <w:i/>
          <w:iCs/>
          <w:sz w:val="22"/>
          <w:szCs w:val="22"/>
        </w:rPr>
        <w:t xml:space="preserve">The Real Antony and Cleopatra </w:t>
      </w:r>
      <w:r w:rsidRPr="00A7369B">
        <w:rPr>
          <w:sz w:val="22"/>
          <w:szCs w:val="22"/>
        </w:rPr>
        <w:t xml:space="preserve">(The Express, 2010,   </w:t>
      </w:r>
      <w:hyperlink r:id="rId19" w:history="1">
        <w:r w:rsidRPr="00A7369B">
          <w:rPr>
            <w:rStyle w:val="Hyperlink"/>
            <w:sz w:val="22"/>
            <w:szCs w:val="22"/>
          </w:rPr>
          <w:t>https://www.express.co.uk/expressyourself/191756/The-Real-Antony-and-Cleopatra</w:t>
        </w:r>
      </w:hyperlink>
      <w:r w:rsidRPr="00A7369B">
        <w:rPr>
          <w:sz w:val="22"/>
          <w:szCs w:val="22"/>
        </w:rPr>
        <w:t>, Accessed 24/3/2023)</w:t>
      </w:r>
    </w:p>
    <w:p w14:paraId="5948481C" w14:textId="4A1864ED" w:rsidR="009555F8" w:rsidRPr="0022396E" w:rsidRDefault="009555F8" w:rsidP="009555F8">
      <w:pPr>
        <w:pStyle w:val="FootnoteText"/>
        <w:rPr>
          <w:i/>
          <w:iCs/>
          <w:sz w:val="22"/>
          <w:szCs w:val="22"/>
        </w:rPr>
      </w:pPr>
      <w:r w:rsidRPr="00A7369B">
        <w:rPr>
          <w:sz w:val="22"/>
          <w:szCs w:val="22"/>
        </w:rPr>
        <w:t xml:space="preserve">Editors, History.com, </w:t>
      </w:r>
      <w:r w:rsidRPr="00A7369B">
        <w:rPr>
          <w:i/>
          <w:iCs/>
          <w:sz w:val="22"/>
          <w:szCs w:val="22"/>
        </w:rPr>
        <w:t xml:space="preserve">The Battle of Actium </w:t>
      </w:r>
      <w:r w:rsidRPr="00A7369B">
        <w:rPr>
          <w:sz w:val="22"/>
          <w:szCs w:val="22"/>
        </w:rPr>
        <w:t xml:space="preserve">(A&amp;E Television works, updated 31/8/2020, Accessed 24/3/2023, </w:t>
      </w:r>
      <w:hyperlink r:id="rId20" w:history="1">
        <w:r w:rsidRPr="00A7369B">
          <w:rPr>
            <w:rStyle w:val="Hyperlink"/>
            <w:sz w:val="22"/>
            <w:szCs w:val="22"/>
          </w:rPr>
          <w:t>https://www.history.com/this-day-in-history/the-battle-of-actium</w:t>
        </w:r>
      </w:hyperlink>
      <w:r w:rsidRPr="00A7369B">
        <w:rPr>
          <w:sz w:val="22"/>
          <w:szCs w:val="22"/>
        </w:rPr>
        <w:t>)</w:t>
      </w:r>
      <w:r w:rsidRPr="00A7369B">
        <w:rPr>
          <w:i/>
          <w:iCs/>
          <w:sz w:val="22"/>
          <w:szCs w:val="22"/>
        </w:rPr>
        <w:t xml:space="preserve"> </w:t>
      </w:r>
    </w:p>
    <w:p w14:paraId="6517704C" w14:textId="3721CDC0" w:rsidR="009555F8" w:rsidRPr="00A7369B" w:rsidRDefault="002D69F7" w:rsidP="009555F8">
      <w:pPr>
        <w:pStyle w:val="FootnoteText"/>
        <w:rPr>
          <w:sz w:val="22"/>
          <w:szCs w:val="22"/>
        </w:rPr>
      </w:pPr>
      <w:r w:rsidRPr="00A7369B">
        <w:rPr>
          <w:sz w:val="22"/>
          <w:szCs w:val="22"/>
        </w:rPr>
        <w:t>Fowler</w:t>
      </w:r>
      <w:r>
        <w:rPr>
          <w:sz w:val="22"/>
          <w:szCs w:val="22"/>
        </w:rPr>
        <w:t xml:space="preserve"> </w:t>
      </w:r>
      <w:r w:rsidRPr="00A7369B">
        <w:rPr>
          <w:sz w:val="22"/>
          <w:szCs w:val="22"/>
        </w:rPr>
        <w:t xml:space="preserve">D.P et al, </w:t>
      </w:r>
      <w:r w:rsidRPr="00A7369B">
        <w:rPr>
          <w:i/>
          <w:iCs/>
          <w:sz w:val="22"/>
          <w:szCs w:val="22"/>
        </w:rPr>
        <w:t xml:space="preserve">Virgil </w:t>
      </w:r>
      <w:r w:rsidRPr="00A7369B">
        <w:rPr>
          <w:sz w:val="22"/>
          <w:szCs w:val="22"/>
        </w:rPr>
        <w:t xml:space="preserve">(Oxford Classical Dictionary, 2022, </w:t>
      </w:r>
      <w:hyperlink r:id="rId21" w:history="1">
        <w:r w:rsidRPr="00A7369B">
          <w:rPr>
            <w:rStyle w:val="Hyperlink"/>
            <w:sz w:val="22"/>
            <w:szCs w:val="22"/>
          </w:rPr>
          <w:t>https://doi.org/10.1093/acrefore/9780199381135.013.6829</w:t>
        </w:r>
      </w:hyperlink>
      <w:r w:rsidRPr="00A7369B">
        <w:rPr>
          <w:sz w:val="22"/>
          <w:szCs w:val="22"/>
        </w:rPr>
        <w:t>, Accessed 24/3/2023)</w:t>
      </w:r>
    </w:p>
    <w:p w14:paraId="4424F646" w14:textId="442E30DD" w:rsidR="009555F8" w:rsidRPr="00A7369B" w:rsidRDefault="009555F8" w:rsidP="009555F8">
      <w:pPr>
        <w:rPr>
          <w:rStyle w:val="citation-widgetcitation"/>
        </w:rPr>
      </w:pPr>
      <w:r w:rsidRPr="00A7369B">
        <w:t>Kennedy</w:t>
      </w:r>
      <w:r w:rsidR="00DB3827">
        <w:t xml:space="preserve"> H</w:t>
      </w:r>
      <w:r w:rsidRPr="00A7369B">
        <w:t xml:space="preserve">, </w:t>
      </w:r>
      <w:r w:rsidRPr="00A7369B">
        <w:rPr>
          <w:rStyle w:val="citation-widgetcitation"/>
          <w:i/>
          <w:iCs/>
        </w:rPr>
        <w:t xml:space="preserve">From Republic to Empire: the Roman Battle of Actium, </w:t>
      </w:r>
      <w:r w:rsidRPr="00A7369B">
        <w:rPr>
          <w:rStyle w:val="citation-widgetcitation"/>
        </w:rPr>
        <w:t xml:space="preserve">(ThoughtCo., </w:t>
      </w:r>
      <w:hyperlink r:id="rId22" w:history="1">
        <w:r w:rsidRPr="00A7369B">
          <w:rPr>
            <w:rStyle w:val="Hyperlink"/>
          </w:rPr>
          <w:t>https://www.thoughtco.com/roman-civil-wars-battle-of-actium-2361202</w:t>
        </w:r>
      </w:hyperlink>
      <w:r w:rsidRPr="00A7369B">
        <w:rPr>
          <w:rStyle w:val="citation-widgetcitation"/>
        </w:rPr>
        <w:t>, accessed March 24, 2023)</w:t>
      </w:r>
    </w:p>
    <w:p w14:paraId="567F6AEC" w14:textId="77777777" w:rsidR="00A0755A" w:rsidRPr="00A7369B" w:rsidRDefault="00A0755A" w:rsidP="00A0755A">
      <w:r w:rsidRPr="00A7369B">
        <w:t xml:space="preserve">The Trustees of the British Museum, Coin, </w:t>
      </w:r>
      <w:hyperlink r:id="rId23" w:history="1">
        <w:r w:rsidRPr="00A7369B">
          <w:rPr>
            <w:rStyle w:val="Hyperlink"/>
          </w:rPr>
          <w:t>https://www.britishmuseum.org/collection/object/C_1866-1201-4189</w:t>
        </w:r>
      </w:hyperlink>
    </w:p>
    <w:p w14:paraId="1ACDB2A3" w14:textId="791AFB1C" w:rsidR="00A0755A" w:rsidRPr="00A7369B" w:rsidRDefault="00A0755A" w:rsidP="009555F8">
      <w:r w:rsidRPr="00A7369B">
        <w:t>Williams</w:t>
      </w:r>
      <w:r w:rsidR="00DB3827">
        <w:t xml:space="preserve"> </w:t>
      </w:r>
      <w:r w:rsidR="00DB3827" w:rsidRPr="00A7369B">
        <w:t xml:space="preserve">R. D. </w:t>
      </w:r>
      <w:r w:rsidR="00DB3827">
        <w:t>,</w:t>
      </w:r>
      <w:r w:rsidRPr="00A7369B">
        <w:t xml:space="preserve"> </w:t>
      </w:r>
      <w:r w:rsidRPr="00A7369B">
        <w:rPr>
          <w:i/>
          <w:iCs/>
        </w:rPr>
        <w:t>Virgil</w:t>
      </w:r>
      <w:r w:rsidRPr="00A7369B">
        <w:t xml:space="preserve">, </w:t>
      </w:r>
      <w:proofErr w:type="spellStart"/>
      <w:r w:rsidRPr="00A7369B">
        <w:rPr>
          <w:rStyle w:val="Emphasis"/>
        </w:rPr>
        <w:t>Encyclopedia</w:t>
      </w:r>
      <w:proofErr w:type="spellEnd"/>
      <w:r w:rsidRPr="00A7369B">
        <w:rPr>
          <w:rStyle w:val="Emphasis"/>
        </w:rPr>
        <w:t xml:space="preserve"> Britannica</w:t>
      </w:r>
      <w:r w:rsidRPr="00A7369B">
        <w:t>, (https://www.britannica.com/biography/Virgil. Accessed 24/3/2023)</w:t>
      </w:r>
    </w:p>
    <w:sectPr w:rsidR="00A0755A" w:rsidRPr="00A7369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01FCF" w14:textId="77777777" w:rsidR="00045559" w:rsidRDefault="00045559" w:rsidP="00E526FC">
      <w:pPr>
        <w:spacing w:after="0" w:line="240" w:lineRule="auto"/>
      </w:pPr>
      <w:r>
        <w:separator/>
      </w:r>
    </w:p>
  </w:endnote>
  <w:endnote w:type="continuationSeparator" w:id="0">
    <w:p w14:paraId="386F3557" w14:textId="77777777" w:rsidR="00045559" w:rsidRDefault="00045559" w:rsidP="00E526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50E43" w14:textId="77777777" w:rsidR="00045559" w:rsidRDefault="00045559" w:rsidP="00E526FC">
      <w:pPr>
        <w:spacing w:after="0" w:line="240" w:lineRule="auto"/>
      </w:pPr>
      <w:r>
        <w:separator/>
      </w:r>
    </w:p>
  </w:footnote>
  <w:footnote w:type="continuationSeparator" w:id="0">
    <w:p w14:paraId="01095FDF" w14:textId="77777777" w:rsidR="00045559" w:rsidRDefault="00045559" w:rsidP="00E526FC">
      <w:pPr>
        <w:spacing w:after="0" w:line="240" w:lineRule="auto"/>
      </w:pPr>
      <w:r>
        <w:continuationSeparator/>
      </w:r>
    </w:p>
  </w:footnote>
  <w:footnote w:id="1">
    <w:p w14:paraId="4358493F" w14:textId="7212B8F8" w:rsidR="00E526FC" w:rsidRDefault="00E526FC">
      <w:pPr>
        <w:pStyle w:val="FootnoteText"/>
      </w:pPr>
      <w:r>
        <w:rPr>
          <w:rStyle w:val="FootnoteReference"/>
        </w:rPr>
        <w:footnoteRef/>
      </w:r>
      <w:r>
        <w:t xml:space="preserve"> </w:t>
      </w:r>
      <w:r w:rsidR="00680EB8">
        <w:t>R Matthews</w:t>
      </w:r>
      <w:r w:rsidR="007B3C57">
        <w:t>,</w:t>
      </w:r>
      <w:r w:rsidR="00EE1289">
        <w:t xml:space="preserve"> </w:t>
      </w:r>
      <w:r w:rsidR="00EE1289" w:rsidRPr="00DF78DA">
        <w:rPr>
          <w:i/>
          <w:iCs/>
        </w:rPr>
        <w:t>Actium</w:t>
      </w:r>
      <w:r w:rsidR="00EE1289">
        <w:t xml:space="preserve"> in </w:t>
      </w:r>
      <w:r w:rsidR="00EE1289" w:rsidRPr="007B3C57">
        <w:rPr>
          <w:i/>
          <w:iCs/>
        </w:rPr>
        <w:t xml:space="preserve">1001 </w:t>
      </w:r>
      <w:r w:rsidR="00C0033E" w:rsidRPr="007B3C57">
        <w:rPr>
          <w:i/>
          <w:iCs/>
        </w:rPr>
        <w:t>battles</w:t>
      </w:r>
      <w:r w:rsidR="00EE1289" w:rsidRPr="007B3C57">
        <w:rPr>
          <w:i/>
          <w:iCs/>
        </w:rPr>
        <w:t xml:space="preserve"> that changed the course of history</w:t>
      </w:r>
      <w:r w:rsidR="00E003A1">
        <w:rPr>
          <w:i/>
          <w:iCs/>
        </w:rPr>
        <w:t>,</w:t>
      </w:r>
      <w:r w:rsidR="00EE1289">
        <w:t xml:space="preserve"> ed. R.G. Grant (</w:t>
      </w:r>
      <w:r w:rsidR="00330130">
        <w:t>Cassel Illustrated, 2017) pp</w:t>
      </w:r>
      <w:r w:rsidR="00DF78DA">
        <w:t>.</w:t>
      </w:r>
      <w:r w:rsidR="00330130">
        <w:t xml:space="preserve"> </w:t>
      </w:r>
      <w:r w:rsidR="00DF78DA">
        <w:t>80-81, p.80</w:t>
      </w:r>
    </w:p>
  </w:footnote>
  <w:footnote w:id="2">
    <w:p w14:paraId="01B5FF30" w14:textId="159FBC9B" w:rsidR="00C930AE" w:rsidRDefault="00C930AE">
      <w:pPr>
        <w:pStyle w:val="FootnoteText"/>
      </w:pPr>
      <w:r>
        <w:rPr>
          <w:rStyle w:val="FootnoteReference"/>
        </w:rPr>
        <w:footnoteRef/>
      </w:r>
      <w:r>
        <w:t xml:space="preserve"> </w:t>
      </w:r>
      <w:r w:rsidR="00DB4675" w:rsidRPr="00DB4675">
        <w:t>Britannica, The Editors of Encyclopaedi</w:t>
      </w:r>
      <w:r w:rsidR="00DB4675">
        <w:t>a,</w:t>
      </w:r>
      <w:r w:rsidR="00DB4675" w:rsidRPr="00DB4675">
        <w:t xml:space="preserve"> </w:t>
      </w:r>
      <w:r w:rsidR="00DB4675" w:rsidRPr="00DB4675">
        <w:rPr>
          <w:i/>
          <w:iCs/>
        </w:rPr>
        <w:t>Battle of Actium</w:t>
      </w:r>
      <w:r w:rsidR="00DB4675">
        <w:t>,</w:t>
      </w:r>
      <w:r w:rsidR="00DB4675" w:rsidRPr="00DB4675">
        <w:t xml:space="preserve"> </w:t>
      </w:r>
      <w:r w:rsidR="00DB4675">
        <w:t>(</w:t>
      </w:r>
      <w:proofErr w:type="spellStart"/>
      <w:r w:rsidR="00DB4675" w:rsidRPr="00DB4675">
        <w:t>Encyclopedia</w:t>
      </w:r>
      <w:proofErr w:type="spellEnd"/>
      <w:r w:rsidR="00DB4675" w:rsidRPr="00DB4675">
        <w:t xml:space="preserve"> Britannica, </w:t>
      </w:r>
      <w:hyperlink r:id="rId1" w:history="1">
        <w:r w:rsidR="00DB4675" w:rsidRPr="00417CFB">
          <w:rPr>
            <w:rStyle w:val="Hyperlink"/>
          </w:rPr>
          <w:t>h</w:t>
        </w:r>
        <w:r w:rsidR="00DB4675" w:rsidRPr="00417CFB">
          <w:rPr>
            <w:rStyle w:val="Hyperlink"/>
          </w:rPr>
          <w:t>ttps://www.britannica.com/event/Battle-of-Actium-ancient-Roman-history</w:t>
        </w:r>
      </w:hyperlink>
      <w:r w:rsidR="00DB4675">
        <w:t xml:space="preserve"> </w:t>
      </w:r>
      <w:r w:rsidR="00DB4675" w:rsidRPr="00DB4675">
        <w:t xml:space="preserve"> Accessed 24</w:t>
      </w:r>
      <w:r w:rsidR="00DB4675">
        <w:t>/3/2023)</w:t>
      </w:r>
    </w:p>
  </w:footnote>
  <w:footnote w:id="3">
    <w:p w14:paraId="1E8314C3" w14:textId="22124033" w:rsidR="00C930AE" w:rsidRPr="00872232" w:rsidRDefault="00C930AE">
      <w:pPr>
        <w:pStyle w:val="FootnoteText"/>
        <w:rPr>
          <w:i/>
          <w:iCs/>
        </w:rPr>
      </w:pPr>
      <w:r>
        <w:rPr>
          <w:rStyle w:val="FootnoteReference"/>
        </w:rPr>
        <w:footnoteRef/>
      </w:r>
      <w:r w:rsidR="00F4018A">
        <w:t>Editors</w:t>
      </w:r>
      <w:r w:rsidR="00E62ED3">
        <w:t>,</w:t>
      </w:r>
      <w:r w:rsidR="00F4018A">
        <w:t xml:space="preserve"> History.com, </w:t>
      </w:r>
      <w:r w:rsidR="00872232">
        <w:rPr>
          <w:i/>
          <w:iCs/>
        </w:rPr>
        <w:t xml:space="preserve">The Battle of Actium </w:t>
      </w:r>
      <w:r w:rsidR="00872232">
        <w:t xml:space="preserve">(A&amp;E Television works, </w:t>
      </w:r>
      <w:r w:rsidR="006055E2">
        <w:t>updated 31/8/2020, Accessed 24/3/2023</w:t>
      </w:r>
      <w:r w:rsidR="00E62ED3">
        <w:t xml:space="preserve">, </w:t>
      </w:r>
      <w:hyperlink r:id="rId2" w:history="1">
        <w:r w:rsidR="00E62ED3">
          <w:rPr>
            <w:rStyle w:val="Hyperlink"/>
          </w:rPr>
          <w:t>https://www.history.com/this-day-in-history/the-battle-of-actium</w:t>
        </w:r>
      </w:hyperlink>
      <w:r w:rsidR="00E62ED3">
        <w:t>)</w:t>
      </w:r>
      <w:r w:rsidR="00872232">
        <w:rPr>
          <w:i/>
          <w:iCs/>
        </w:rPr>
        <w:t xml:space="preserve"> </w:t>
      </w:r>
    </w:p>
  </w:footnote>
  <w:footnote w:id="4">
    <w:p w14:paraId="3CCA7379" w14:textId="2DDDC30A" w:rsidR="004B1D76" w:rsidRDefault="004B1D76">
      <w:pPr>
        <w:pStyle w:val="FootnoteText"/>
      </w:pPr>
      <w:r>
        <w:rPr>
          <w:rStyle w:val="FootnoteReference"/>
        </w:rPr>
        <w:footnoteRef/>
      </w:r>
      <w:r>
        <w:t xml:space="preserve"> </w:t>
      </w:r>
      <w:r w:rsidR="007239CE">
        <w:t xml:space="preserve">He achieved the title of Augustus as a reward for his actions </w:t>
      </w:r>
      <w:r w:rsidR="00165880">
        <w:t xml:space="preserve">in Actium, after his triple triumph. </w:t>
      </w:r>
    </w:p>
  </w:footnote>
  <w:footnote w:id="5">
    <w:p w14:paraId="62711201" w14:textId="56BB729F" w:rsidR="004B1D76" w:rsidRDefault="004B1D76">
      <w:pPr>
        <w:pStyle w:val="FootnoteText"/>
      </w:pPr>
      <w:r>
        <w:rPr>
          <w:rStyle w:val="FootnoteReference"/>
        </w:rPr>
        <w:footnoteRef/>
      </w:r>
      <w:r>
        <w:t xml:space="preserve"> </w:t>
      </w:r>
      <w:r w:rsidR="00165880">
        <w:t>Aug</w:t>
      </w:r>
      <w:r w:rsidR="00E003A1">
        <w:t xml:space="preserve">, </w:t>
      </w:r>
      <w:r w:rsidR="00E003A1" w:rsidRPr="00E003A1">
        <w:rPr>
          <w:i/>
          <w:iCs/>
        </w:rPr>
        <w:t>Res Gestae Divi Augustus</w:t>
      </w:r>
      <w:r w:rsidR="00E003A1">
        <w:t xml:space="preserve">, </w:t>
      </w:r>
      <w:r w:rsidR="009E27B8">
        <w:t>part 7</w:t>
      </w:r>
      <w:r w:rsidR="00F37E61">
        <w:t xml:space="preserve"> and 27</w:t>
      </w:r>
    </w:p>
  </w:footnote>
  <w:footnote w:id="6">
    <w:p w14:paraId="418D4EA2" w14:textId="5AC7D2AA" w:rsidR="004B1D76" w:rsidRPr="00F37E61" w:rsidRDefault="004B1D76">
      <w:pPr>
        <w:pStyle w:val="FootnoteText"/>
      </w:pPr>
      <w:r>
        <w:rPr>
          <w:rStyle w:val="FootnoteReference"/>
        </w:rPr>
        <w:footnoteRef/>
      </w:r>
      <w:r>
        <w:t xml:space="preserve"> </w:t>
      </w:r>
      <w:r w:rsidR="00F37E61">
        <w:t xml:space="preserve">Aug, </w:t>
      </w:r>
      <w:r w:rsidR="00F37E61">
        <w:rPr>
          <w:i/>
          <w:iCs/>
        </w:rPr>
        <w:t xml:space="preserve">Res Gestae Divi Augustus, </w:t>
      </w:r>
      <w:r w:rsidR="00F37E61">
        <w:t>Part 7</w:t>
      </w:r>
    </w:p>
  </w:footnote>
  <w:footnote w:id="7">
    <w:p w14:paraId="6AA74B91" w14:textId="2D999F50" w:rsidR="00AB03E0" w:rsidRPr="006379FB" w:rsidRDefault="00AB03E0">
      <w:pPr>
        <w:pStyle w:val="FootnoteText"/>
      </w:pPr>
      <w:r>
        <w:rPr>
          <w:rStyle w:val="FootnoteReference"/>
        </w:rPr>
        <w:footnoteRef/>
      </w:r>
      <w:r>
        <w:t xml:space="preserve"> </w:t>
      </w:r>
      <w:r w:rsidR="000E123E">
        <w:t xml:space="preserve">S </w:t>
      </w:r>
      <w:r w:rsidR="003136B5">
        <w:t>Güven</w:t>
      </w:r>
      <w:r w:rsidR="003136B5">
        <w:t xml:space="preserve">, </w:t>
      </w:r>
      <w:r w:rsidR="003136B5" w:rsidRPr="003136B5">
        <w:rPr>
          <w:i/>
          <w:iCs/>
        </w:rPr>
        <w:t>Displaying the Res Gestae of Augustus: A Monument of Imperial Image for All</w:t>
      </w:r>
      <w:r w:rsidR="003136B5">
        <w:rPr>
          <w:i/>
          <w:iCs/>
        </w:rPr>
        <w:t xml:space="preserve">, </w:t>
      </w:r>
      <w:r w:rsidR="006379FB">
        <w:t>in</w:t>
      </w:r>
      <w:r w:rsidR="003136B5">
        <w:t xml:space="preserve"> </w:t>
      </w:r>
      <w:r w:rsidR="003136B5">
        <w:rPr>
          <w:i/>
          <w:iCs/>
        </w:rPr>
        <w:t xml:space="preserve">Journal of the Society of Architectural </w:t>
      </w:r>
      <w:r w:rsidR="003136B5" w:rsidRPr="006379FB">
        <w:rPr>
          <w:i/>
          <w:iCs/>
        </w:rPr>
        <w:t>Historians 57, no. 1</w:t>
      </w:r>
      <w:r w:rsidR="006379FB">
        <w:rPr>
          <w:i/>
          <w:iCs/>
        </w:rPr>
        <w:t xml:space="preserve"> </w:t>
      </w:r>
      <w:r w:rsidR="006379FB">
        <w:t>(</w:t>
      </w:r>
      <w:r w:rsidR="00BC3D20">
        <w:t>1998</w:t>
      </w:r>
      <w:r w:rsidR="00BC3D20">
        <w:t>,</w:t>
      </w:r>
      <w:r w:rsidR="00BC3D20">
        <w:t xml:space="preserve"> </w:t>
      </w:r>
      <w:r w:rsidR="00BC3D20">
        <w:rPr>
          <w:i/>
          <w:iCs/>
        </w:rPr>
        <w:t>JSTOR</w:t>
      </w:r>
      <w:r w:rsidR="00BC3D20">
        <w:t xml:space="preserve">, </w:t>
      </w:r>
      <w:hyperlink r:id="rId3" w:history="1">
        <w:r w:rsidR="00BC3D20" w:rsidRPr="00417CFB">
          <w:rPr>
            <w:rStyle w:val="Hyperlink"/>
          </w:rPr>
          <w:t>https://doi.org/10.2307/991403. Accessed 24 Mar. 2023</w:t>
        </w:r>
      </w:hyperlink>
      <w:r w:rsidR="00BC3D20">
        <w:t>) p</w:t>
      </w:r>
      <w:r w:rsidR="0046789D">
        <w:t>31</w:t>
      </w:r>
    </w:p>
  </w:footnote>
  <w:footnote w:id="8">
    <w:p w14:paraId="79628BEC" w14:textId="0DE08627" w:rsidR="00AB03E0" w:rsidRDefault="00AB03E0">
      <w:pPr>
        <w:pStyle w:val="FootnoteText"/>
      </w:pPr>
      <w:r>
        <w:rPr>
          <w:rStyle w:val="FootnoteReference"/>
        </w:rPr>
        <w:footnoteRef/>
      </w:r>
      <w:r>
        <w:t xml:space="preserve"> </w:t>
      </w:r>
      <w:r w:rsidR="003A6810">
        <w:t xml:space="preserve">C Naunton, </w:t>
      </w:r>
      <w:r w:rsidR="003A6810">
        <w:rPr>
          <w:i/>
          <w:iCs/>
        </w:rPr>
        <w:t xml:space="preserve">Lost tombs of Egypt, </w:t>
      </w:r>
      <w:r w:rsidR="003A6810">
        <w:t xml:space="preserve">(Thames and Hudson </w:t>
      </w:r>
      <w:proofErr w:type="spellStart"/>
      <w:r w:rsidR="003A6810">
        <w:t>LtD</w:t>
      </w:r>
      <w:proofErr w:type="spellEnd"/>
      <w:r w:rsidR="003A6810">
        <w:t>, 2018) pp.227 – 248, p.248</w:t>
      </w:r>
    </w:p>
  </w:footnote>
  <w:footnote w:id="9">
    <w:p w14:paraId="4E54B054" w14:textId="42E5F87E" w:rsidR="00AB03E0" w:rsidRPr="007E26A2" w:rsidRDefault="00AB03E0">
      <w:pPr>
        <w:pStyle w:val="FootnoteText"/>
      </w:pPr>
      <w:r>
        <w:rPr>
          <w:rStyle w:val="FootnoteReference"/>
        </w:rPr>
        <w:footnoteRef/>
      </w:r>
      <w:r>
        <w:t xml:space="preserve"> </w:t>
      </w:r>
      <w:r w:rsidR="00797967">
        <w:t xml:space="preserve">Plu. </w:t>
      </w:r>
      <w:r w:rsidR="00797967">
        <w:rPr>
          <w:i/>
          <w:iCs/>
        </w:rPr>
        <w:t>The Parallel Lives</w:t>
      </w:r>
      <w:r w:rsidR="007E26A2">
        <w:rPr>
          <w:i/>
          <w:iCs/>
        </w:rPr>
        <w:t xml:space="preserve">, </w:t>
      </w:r>
      <w:r w:rsidR="007E26A2">
        <w:t>86,4</w:t>
      </w:r>
      <w:r w:rsidR="0083723D">
        <w:t xml:space="preserve"> and </w:t>
      </w:r>
      <w:r w:rsidR="0083723D" w:rsidRPr="0083723D">
        <w:t>Suet. Aug. 17</w:t>
      </w:r>
    </w:p>
  </w:footnote>
  <w:footnote w:id="10">
    <w:p w14:paraId="13F684C1" w14:textId="645C3751" w:rsidR="00AB03E0" w:rsidRPr="006F67B4" w:rsidRDefault="00AB03E0">
      <w:pPr>
        <w:pStyle w:val="FootnoteText"/>
      </w:pPr>
      <w:r>
        <w:rPr>
          <w:rStyle w:val="FootnoteReference"/>
        </w:rPr>
        <w:footnoteRef/>
      </w:r>
      <w:r>
        <w:t xml:space="preserve"> </w:t>
      </w:r>
      <w:r w:rsidR="006F67B4">
        <w:t xml:space="preserve">P Southern, </w:t>
      </w:r>
      <w:r w:rsidR="006F67B4">
        <w:rPr>
          <w:i/>
          <w:iCs/>
        </w:rPr>
        <w:t>Cleopatra</w:t>
      </w:r>
      <w:r w:rsidR="006F67B4">
        <w:t xml:space="preserve"> </w:t>
      </w:r>
      <w:r w:rsidR="00F22A3F">
        <w:t xml:space="preserve">(Tempus Publishing </w:t>
      </w:r>
      <w:proofErr w:type="spellStart"/>
      <w:r w:rsidR="00F22A3F">
        <w:t>LtD</w:t>
      </w:r>
      <w:proofErr w:type="spellEnd"/>
      <w:r w:rsidR="00F22A3F">
        <w:t xml:space="preserve">, </w:t>
      </w:r>
      <w:r w:rsidR="00F8159A">
        <w:t>2007) p187</w:t>
      </w:r>
    </w:p>
  </w:footnote>
  <w:footnote w:id="11">
    <w:p w14:paraId="108E2654" w14:textId="27C85EF3" w:rsidR="00AB03E0" w:rsidRPr="00670718" w:rsidRDefault="00AB03E0">
      <w:pPr>
        <w:pStyle w:val="FootnoteText"/>
      </w:pPr>
      <w:r>
        <w:rPr>
          <w:rStyle w:val="FootnoteReference"/>
        </w:rPr>
        <w:footnoteRef/>
      </w:r>
      <w:r>
        <w:t xml:space="preserve"> </w:t>
      </w:r>
      <w:r w:rsidR="003D6F42">
        <w:t>H Kennedy,</w:t>
      </w:r>
      <w:r w:rsidR="00670718">
        <w:t xml:space="preserve"> </w:t>
      </w:r>
      <w:r w:rsidR="00670718" w:rsidRPr="00670718">
        <w:rPr>
          <w:rStyle w:val="citation-widgetcitation"/>
          <w:i/>
          <w:iCs/>
        </w:rPr>
        <w:t>From Republic to Empire: the Roman Battle of Actium</w:t>
      </w:r>
      <w:r w:rsidR="00670718">
        <w:rPr>
          <w:rStyle w:val="citation-widgetcitation"/>
          <w:i/>
          <w:iCs/>
        </w:rPr>
        <w:t xml:space="preserve">, </w:t>
      </w:r>
      <w:r w:rsidR="006450E6">
        <w:rPr>
          <w:rStyle w:val="citation-widgetcitation"/>
        </w:rPr>
        <w:t>(</w:t>
      </w:r>
      <w:r w:rsidR="006450E6">
        <w:rPr>
          <w:rStyle w:val="citation-widgetcitation"/>
        </w:rPr>
        <w:t>ThoughtCo</w:t>
      </w:r>
      <w:r w:rsidR="006450E6">
        <w:rPr>
          <w:rStyle w:val="citation-widgetcitation"/>
        </w:rPr>
        <w:t>.,</w:t>
      </w:r>
      <w:r w:rsidR="006450E6">
        <w:rPr>
          <w:rStyle w:val="citation-widgetcitation"/>
        </w:rPr>
        <w:t xml:space="preserve"> </w:t>
      </w:r>
      <w:hyperlink r:id="rId4" w:history="1">
        <w:r w:rsidR="006450E6" w:rsidRPr="00417CFB">
          <w:rPr>
            <w:rStyle w:val="Hyperlink"/>
          </w:rPr>
          <w:t>https://www.thoughtco.com/roman-civil-wars-battle-of-actium-2361202</w:t>
        </w:r>
      </w:hyperlink>
      <w:r w:rsidR="006450E6">
        <w:rPr>
          <w:rStyle w:val="citation-widgetcitation"/>
        </w:rPr>
        <w:t xml:space="preserve">, </w:t>
      </w:r>
      <w:r w:rsidR="006450E6">
        <w:rPr>
          <w:rStyle w:val="citation-widgetcitation"/>
        </w:rPr>
        <w:t>accessed March 24, 2023)</w:t>
      </w:r>
    </w:p>
  </w:footnote>
  <w:footnote w:id="12">
    <w:p w14:paraId="4EF987E6" w14:textId="5E0C17C1" w:rsidR="00771B0E" w:rsidRPr="00232FCF" w:rsidRDefault="00771B0E">
      <w:pPr>
        <w:pStyle w:val="FootnoteText"/>
      </w:pPr>
      <w:r>
        <w:rPr>
          <w:rStyle w:val="FootnoteReference"/>
        </w:rPr>
        <w:footnoteRef/>
      </w:r>
      <w:r>
        <w:t xml:space="preserve"> </w:t>
      </w:r>
      <w:r w:rsidR="0043046F">
        <w:t xml:space="preserve">G Donald, </w:t>
      </w:r>
      <w:r w:rsidR="0043046F">
        <w:rPr>
          <w:i/>
          <w:iCs/>
        </w:rPr>
        <w:t>The Mysteries of History</w:t>
      </w:r>
      <w:r w:rsidR="00232FCF">
        <w:rPr>
          <w:i/>
          <w:iCs/>
        </w:rPr>
        <w:t xml:space="preserve"> </w:t>
      </w:r>
      <w:r w:rsidR="00232FCF">
        <w:t>(</w:t>
      </w:r>
      <w:r w:rsidR="00D12DD3">
        <w:t xml:space="preserve">Michael O’Mara Books </w:t>
      </w:r>
      <w:r w:rsidR="00644886">
        <w:t xml:space="preserve">Limited, 2018) </w:t>
      </w:r>
      <w:r w:rsidR="00244891">
        <w:t>p119</w:t>
      </w:r>
    </w:p>
  </w:footnote>
  <w:footnote w:id="13">
    <w:p w14:paraId="3052469B" w14:textId="62D37767" w:rsidR="00771B0E" w:rsidRPr="00791FBC" w:rsidRDefault="00771B0E">
      <w:pPr>
        <w:pStyle w:val="FootnoteText"/>
      </w:pPr>
      <w:r>
        <w:rPr>
          <w:rStyle w:val="FootnoteReference"/>
        </w:rPr>
        <w:footnoteRef/>
      </w:r>
      <w:r>
        <w:t xml:space="preserve"> </w:t>
      </w:r>
      <w:r w:rsidR="00D82654">
        <w:rPr>
          <w:i/>
          <w:iCs/>
        </w:rPr>
        <w:t>Ibid</w:t>
      </w:r>
      <w:r w:rsidR="00791FBC">
        <w:rPr>
          <w:i/>
          <w:iCs/>
        </w:rPr>
        <w:t xml:space="preserve">. </w:t>
      </w:r>
      <w:r w:rsidR="00791FBC">
        <w:t>119</w:t>
      </w:r>
    </w:p>
  </w:footnote>
  <w:footnote w:id="14">
    <w:p w14:paraId="332115EB" w14:textId="7BEC3CF0" w:rsidR="00771B0E" w:rsidRPr="003E2389" w:rsidRDefault="00771B0E">
      <w:pPr>
        <w:pStyle w:val="FootnoteText"/>
      </w:pPr>
      <w:r>
        <w:rPr>
          <w:rStyle w:val="FootnoteReference"/>
        </w:rPr>
        <w:footnoteRef/>
      </w:r>
      <w:r>
        <w:t xml:space="preserve"> </w:t>
      </w:r>
      <w:r w:rsidR="003E2389">
        <w:rPr>
          <w:i/>
          <w:iCs/>
        </w:rPr>
        <w:t xml:space="preserve">Ibid. </w:t>
      </w:r>
      <w:r w:rsidR="003E2389">
        <w:t>120</w:t>
      </w:r>
    </w:p>
  </w:footnote>
  <w:footnote w:id="15">
    <w:p w14:paraId="43F5DDC0" w14:textId="42BE6BFA" w:rsidR="00771B0E" w:rsidRPr="00565732" w:rsidRDefault="00771B0E">
      <w:pPr>
        <w:pStyle w:val="FootnoteText"/>
      </w:pPr>
      <w:r>
        <w:rPr>
          <w:rStyle w:val="FootnoteReference"/>
        </w:rPr>
        <w:footnoteRef/>
      </w:r>
      <w:r>
        <w:t xml:space="preserve"> </w:t>
      </w:r>
      <w:r w:rsidR="00821247">
        <w:t>Having attempted to dissolve a pearl in vinegar, it had not reacted after ten minutes left submerged – while the action is possible with some white wine vinegars, (</w:t>
      </w:r>
      <w:r w:rsidR="00C91F7D">
        <w:t>R Lo</w:t>
      </w:r>
      <w:r w:rsidR="00565732">
        <w:t xml:space="preserve">renzi, </w:t>
      </w:r>
      <w:r w:rsidR="00565732" w:rsidRPr="00565732">
        <w:rPr>
          <w:i/>
          <w:iCs/>
        </w:rPr>
        <w:t>Cleopatra pearl cocktail proven possible</w:t>
      </w:r>
      <w:r w:rsidR="00565732">
        <w:t xml:space="preserve">, </w:t>
      </w:r>
      <w:r w:rsidR="00D1407F">
        <w:t xml:space="preserve">(NBC News, 2010, </w:t>
      </w:r>
      <w:hyperlink r:id="rId5" w:history="1">
        <w:r w:rsidR="0097143C" w:rsidRPr="00417CFB">
          <w:rPr>
            <w:rStyle w:val="Hyperlink"/>
          </w:rPr>
          <w:t>https://www.nbcnews.com/id/wbna38536846</w:t>
        </w:r>
      </w:hyperlink>
      <w:r w:rsidR="0097143C">
        <w:t xml:space="preserve">, Accessed 24/3/2023)) it takes much longer then the time frame given in </w:t>
      </w:r>
      <w:r w:rsidR="002A1E0A">
        <w:t>sources (</w:t>
      </w:r>
      <w:proofErr w:type="spellStart"/>
      <w:r w:rsidR="002A1E0A">
        <w:t>Plin</w:t>
      </w:r>
      <w:proofErr w:type="spellEnd"/>
      <w:r w:rsidR="002A1E0A">
        <w:t xml:space="preserve">, </w:t>
      </w:r>
      <w:r w:rsidR="002A1E0A" w:rsidRPr="002A1E0A">
        <w:rPr>
          <w:i/>
          <w:iCs/>
        </w:rPr>
        <w:t>Nat</w:t>
      </w:r>
      <w:r w:rsidR="00175C38">
        <w:rPr>
          <w:i/>
          <w:iCs/>
        </w:rPr>
        <w:t xml:space="preserve">. </w:t>
      </w:r>
      <w:r w:rsidR="00175C38">
        <w:t>9.58)</w:t>
      </w:r>
      <w:r w:rsidR="00020D84">
        <w:t xml:space="preserve"> </w:t>
      </w:r>
      <w:r w:rsidR="0097143C">
        <w:t xml:space="preserve"> </w:t>
      </w:r>
    </w:p>
  </w:footnote>
  <w:footnote w:id="16">
    <w:p w14:paraId="4CDC1A25" w14:textId="646FFF1A" w:rsidR="00771B0E" w:rsidRPr="00DE3F2A" w:rsidRDefault="00771B0E">
      <w:pPr>
        <w:pStyle w:val="FootnoteText"/>
      </w:pPr>
      <w:r>
        <w:rPr>
          <w:rStyle w:val="FootnoteReference"/>
        </w:rPr>
        <w:footnoteRef/>
      </w:r>
      <w:r>
        <w:t xml:space="preserve"> </w:t>
      </w:r>
      <w:r w:rsidR="00B72D6C">
        <w:t xml:space="preserve">J Carpenter, </w:t>
      </w:r>
      <w:r w:rsidR="00DE3F2A">
        <w:rPr>
          <w:i/>
          <w:iCs/>
        </w:rPr>
        <w:t xml:space="preserve">The Real Antony and Cleopatra </w:t>
      </w:r>
      <w:r w:rsidR="00DE3F2A">
        <w:t xml:space="preserve">(The </w:t>
      </w:r>
      <w:r w:rsidR="00181D12">
        <w:t xml:space="preserve">Express, 2010,   </w:t>
      </w:r>
      <w:hyperlink r:id="rId6" w:history="1">
        <w:r w:rsidR="001A3901" w:rsidRPr="00417CFB">
          <w:rPr>
            <w:rStyle w:val="Hyperlink"/>
          </w:rPr>
          <w:t>https://www.express.co.uk/expressyourself/191756/The-Real-Antony-and-Cleopatra</w:t>
        </w:r>
      </w:hyperlink>
      <w:r w:rsidR="001A3901">
        <w:t xml:space="preserve">, </w:t>
      </w:r>
      <w:r w:rsidR="00181D12">
        <w:t>Accessed 24/3/2023)</w:t>
      </w:r>
    </w:p>
  </w:footnote>
  <w:footnote w:id="17">
    <w:p w14:paraId="765C1542" w14:textId="1132FE45" w:rsidR="00771B0E" w:rsidRDefault="00771B0E">
      <w:pPr>
        <w:pStyle w:val="FootnoteText"/>
      </w:pPr>
      <w:r>
        <w:rPr>
          <w:rStyle w:val="FootnoteReference"/>
        </w:rPr>
        <w:footnoteRef/>
      </w:r>
      <w:r>
        <w:t xml:space="preserve"> </w:t>
      </w:r>
      <w:r w:rsidR="00793F8A" w:rsidRPr="00793F8A">
        <w:t xml:space="preserve">Plut. </w:t>
      </w:r>
      <w:proofErr w:type="spellStart"/>
      <w:r w:rsidR="00793F8A" w:rsidRPr="00325E1D">
        <w:rPr>
          <w:i/>
          <w:iCs/>
        </w:rPr>
        <w:t>Caes</w:t>
      </w:r>
      <w:proofErr w:type="spellEnd"/>
      <w:r w:rsidR="00793F8A" w:rsidRPr="00793F8A">
        <w:t>. 49</w:t>
      </w:r>
      <w:r w:rsidR="00793F8A">
        <w:t xml:space="preserve"> </w:t>
      </w:r>
    </w:p>
  </w:footnote>
  <w:footnote w:id="18">
    <w:p w14:paraId="545E152B" w14:textId="7F002239" w:rsidR="00771B0E" w:rsidRPr="000A231C" w:rsidRDefault="00771B0E">
      <w:pPr>
        <w:pStyle w:val="FootnoteText"/>
        <w:rPr>
          <w:i/>
          <w:iCs/>
        </w:rPr>
      </w:pPr>
      <w:r>
        <w:rPr>
          <w:rStyle w:val="FootnoteReference"/>
        </w:rPr>
        <w:footnoteRef/>
      </w:r>
      <w:r>
        <w:t xml:space="preserve"> </w:t>
      </w:r>
      <w:r w:rsidR="000A231C">
        <w:t xml:space="preserve">Cas. </w:t>
      </w:r>
      <w:r w:rsidR="000A231C" w:rsidRPr="00F866A9">
        <w:rPr>
          <w:i/>
          <w:iCs/>
        </w:rPr>
        <w:t>His</w:t>
      </w:r>
      <w:r w:rsidR="000A231C">
        <w:rPr>
          <w:i/>
          <w:iCs/>
        </w:rPr>
        <w:t xml:space="preserve">. </w:t>
      </w:r>
      <w:r w:rsidR="00145108" w:rsidRPr="00F866A9">
        <w:t>50</w:t>
      </w:r>
    </w:p>
  </w:footnote>
  <w:footnote w:id="19">
    <w:p w14:paraId="5FA3C068" w14:textId="27CE1810" w:rsidR="00083391" w:rsidRPr="00325E1D" w:rsidRDefault="00083391">
      <w:pPr>
        <w:pStyle w:val="FootnoteText"/>
      </w:pPr>
      <w:r>
        <w:rPr>
          <w:rStyle w:val="FootnoteReference"/>
        </w:rPr>
        <w:footnoteRef/>
      </w:r>
      <w:r>
        <w:t xml:space="preserve"> </w:t>
      </w:r>
      <w:r w:rsidR="00F40447">
        <w:t>Cas</w:t>
      </w:r>
      <w:r w:rsidR="00325E1D">
        <w:t xml:space="preserve">. </w:t>
      </w:r>
      <w:r w:rsidR="00325E1D">
        <w:rPr>
          <w:i/>
          <w:iCs/>
        </w:rPr>
        <w:t xml:space="preserve">His. </w:t>
      </w:r>
      <w:r w:rsidR="00325E1D">
        <w:t>50.3</w:t>
      </w:r>
      <w:r w:rsidR="002512EA">
        <w:t>.4</w:t>
      </w:r>
    </w:p>
  </w:footnote>
  <w:footnote w:id="20">
    <w:p w14:paraId="037963E8" w14:textId="1D00FC8E" w:rsidR="00083391" w:rsidRPr="009A0524" w:rsidRDefault="00083391">
      <w:pPr>
        <w:pStyle w:val="FootnoteText"/>
      </w:pPr>
      <w:r>
        <w:rPr>
          <w:rStyle w:val="FootnoteReference"/>
        </w:rPr>
        <w:footnoteRef/>
      </w:r>
      <w:r>
        <w:t xml:space="preserve"> </w:t>
      </w:r>
      <w:r w:rsidR="00C11BC1">
        <w:t xml:space="preserve">Southern, </w:t>
      </w:r>
      <w:r w:rsidR="00C11BC1">
        <w:rPr>
          <w:i/>
          <w:iCs/>
        </w:rPr>
        <w:t>Cleopatra</w:t>
      </w:r>
      <w:r w:rsidR="009A0524">
        <w:rPr>
          <w:i/>
          <w:iCs/>
        </w:rPr>
        <w:t xml:space="preserve">, </w:t>
      </w:r>
      <w:r w:rsidR="009A0524">
        <w:t>p186</w:t>
      </w:r>
    </w:p>
  </w:footnote>
  <w:footnote w:id="21">
    <w:p w14:paraId="6600CF49" w14:textId="25126563" w:rsidR="00083391" w:rsidRDefault="00083391">
      <w:pPr>
        <w:pStyle w:val="FootnoteText"/>
      </w:pPr>
      <w:r>
        <w:rPr>
          <w:rStyle w:val="FootnoteReference"/>
        </w:rPr>
        <w:footnoteRef/>
      </w:r>
      <w:r>
        <w:t xml:space="preserve"> </w:t>
      </w:r>
      <w:r w:rsidR="004F2EAA">
        <w:t xml:space="preserve">J. R. Johnson, </w:t>
      </w:r>
      <w:r w:rsidR="004F2EAA" w:rsidRPr="00C75403">
        <w:rPr>
          <w:i/>
          <w:iCs/>
        </w:rPr>
        <w:t>The Authenticity and Validity of Antony's Will</w:t>
      </w:r>
      <w:r w:rsidR="004F2EAA">
        <w:t xml:space="preserve"> in </w:t>
      </w:r>
      <w:proofErr w:type="spellStart"/>
      <w:r w:rsidR="004F2EAA">
        <w:rPr>
          <w:rStyle w:val="Emphasis"/>
        </w:rPr>
        <w:t>L'antiquité</w:t>
      </w:r>
      <w:proofErr w:type="spellEnd"/>
      <w:r w:rsidR="004F2EAA">
        <w:rPr>
          <w:rStyle w:val="Emphasis"/>
        </w:rPr>
        <w:t xml:space="preserve"> </w:t>
      </w:r>
      <w:proofErr w:type="spellStart"/>
      <w:r w:rsidR="004F2EAA">
        <w:rPr>
          <w:rStyle w:val="Emphasis"/>
        </w:rPr>
        <w:t>classique</w:t>
      </w:r>
      <w:proofErr w:type="spellEnd"/>
      <w:r w:rsidR="004F2EAA">
        <w:t>, Volume 47,  (1978) pp. 494-503</w:t>
      </w:r>
      <w:r w:rsidR="004F2EAA">
        <w:t xml:space="preserve"> p. </w:t>
      </w:r>
      <w:r w:rsidR="00F96301">
        <w:t>494</w:t>
      </w:r>
    </w:p>
  </w:footnote>
  <w:footnote w:id="22">
    <w:p w14:paraId="3DFC80B4" w14:textId="525BCC32" w:rsidR="00083391" w:rsidRPr="008D4E59" w:rsidRDefault="00083391">
      <w:pPr>
        <w:pStyle w:val="FootnoteText"/>
      </w:pPr>
      <w:r>
        <w:rPr>
          <w:rStyle w:val="FootnoteReference"/>
        </w:rPr>
        <w:footnoteRef/>
      </w:r>
      <w:r>
        <w:t xml:space="preserve"> </w:t>
      </w:r>
      <w:r w:rsidR="00707B6E">
        <w:rPr>
          <w:i/>
          <w:iCs/>
        </w:rPr>
        <w:t xml:space="preserve">Ibid. </w:t>
      </w:r>
      <w:r w:rsidR="008D4E59">
        <w:t>494-503</w:t>
      </w:r>
    </w:p>
  </w:footnote>
  <w:footnote w:id="23">
    <w:p w14:paraId="01863BD0" w14:textId="516F4785" w:rsidR="00083391" w:rsidRPr="009C3F90" w:rsidRDefault="00083391">
      <w:pPr>
        <w:pStyle w:val="FootnoteText"/>
      </w:pPr>
      <w:r>
        <w:rPr>
          <w:rStyle w:val="FootnoteReference"/>
        </w:rPr>
        <w:footnoteRef/>
      </w:r>
      <w:r>
        <w:t xml:space="preserve"> </w:t>
      </w:r>
      <w:r w:rsidR="009C3F90">
        <w:rPr>
          <w:i/>
          <w:iCs/>
        </w:rPr>
        <w:t xml:space="preserve">Ibid. </w:t>
      </w:r>
      <w:r w:rsidR="00334B1D">
        <w:t>497</w:t>
      </w:r>
    </w:p>
  </w:footnote>
  <w:footnote w:id="24">
    <w:p w14:paraId="2B60EF33" w14:textId="5898C8C8" w:rsidR="00083391" w:rsidRDefault="00083391">
      <w:pPr>
        <w:pStyle w:val="FootnoteText"/>
      </w:pPr>
      <w:r>
        <w:rPr>
          <w:rStyle w:val="FootnoteReference"/>
        </w:rPr>
        <w:footnoteRef/>
      </w:r>
      <w:r w:rsidR="00334B1D">
        <w:rPr>
          <w:i/>
          <w:iCs/>
        </w:rPr>
        <w:t xml:space="preserve"> Ibid. </w:t>
      </w:r>
      <w:r w:rsidR="004C249F">
        <w:t>496</w:t>
      </w:r>
      <w:r>
        <w:t xml:space="preserve"> </w:t>
      </w:r>
    </w:p>
  </w:footnote>
  <w:footnote w:id="25">
    <w:p w14:paraId="38A5B0C9" w14:textId="4094BF35" w:rsidR="00083391" w:rsidRPr="00DE05D9" w:rsidRDefault="00083391">
      <w:pPr>
        <w:pStyle w:val="FootnoteText"/>
      </w:pPr>
      <w:r>
        <w:rPr>
          <w:rStyle w:val="FootnoteReference"/>
        </w:rPr>
        <w:footnoteRef/>
      </w:r>
      <w:r>
        <w:t xml:space="preserve"> </w:t>
      </w:r>
      <w:r w:rsidR="004C249F">
        <w:rPr>
          <w:i/>
          <w:iCs/>
        </w:rPr>
        <w:t xml:space="preserve">Ibid. </w:t>
      </w:r>
      <w:r w:rsidR="00DE05D9">
        <w:t>497</w:t>
      </w:r>
    </w:p>
  </w:footnote>
  <w:footnote w:id="26">
    <w:p w14:paraId="01617D25" w14:textId="095D6130" w:rsidR="00D05AAD" w:rsidRDefault="00D05AAD">
      <w:pPr>
        <w:pStyle w:val="FootnoteText"/>
      </w:pPr>
      <w:r>
        <w:rPr>
          <w:rStyle w:val="FootnoteReference"/>
        </w:rPr>
        <w:footnoteRef/>
      </w:r>
      <w:r w:rsidR="00861369">
        <w:t xml:space="preserve"> Horace, </w:t>
      </w:r>
      <w:r w:rsidR="00861369">
        <w:rPr>
          <w:i/>
          <w:iCs/>
        </w:rPr>
        <w:t xml:space="preserve">Odes, </w:t>
      </w:r>
      <w:r w:rsidR="00861369">
        <w:t xml:space="preserve">1.37, </w:t>
      </w:r>
      <w:r w:rsidR="00DC0A4E">
        <w:rPr>
          <w:i/>
          <w:iCs/>
        </w:rPr>
        <w:t xml:space="preserve">Epode, </w:t>
      </w:r>
      <w:r w:rsidR="00DC0A4E">
        <w:t>9</w:t>
      </w:r>
      <w:r w:rsidR="00EF3F41">
        <w:t>.</w:t>
      </w:r>
      <w:r w:rsidR="00861369">
        <w:t xml:space="preserve">  </w:t>
      </w:r>
    </w:p>
  </w:footnote>
  <w:footnote w:id="27">
    <w:p w14:paraId="31F1B7E8" w14:textId="1907DA23" w:rsidR="003E746E" w:rsidRDefault="003E746E">
      <w:pPr>
        <w:pStyle w:val="FootnoteText"/>
      </w:pPr>
      <w:r>
        <w:rPr>
          <w:rStyle w:val="FootnoteReference"/>
        </w:rPr>
        <w:footnoteRef/>
      </w:r>
      <w:r>
        <w:t xml:space="preserve"> </w:t>
      </w:r>
      <w:r w:rsidR="00327F28">
        <w:t xml:space="preserve">Mark Antony is not mentioned in the poem, </w:t>
      </w:r>
      <w:r w:rsidR="00190D5A">
        <w:t>the only enemy for Rome is Cleopatra</w:t>
      </w:r>
    </w:p>
  </w:footnote>
  <w:footnote w:id="28">
    <w:p w14:paraId="77990CBE" w14:textId="69B71B1E" w:rsidR="003E746E" w:rsidRPr="00C92189" w:rsidRDefault="003E746E">
      <w:pPr>
        <w:pStyle w:val="FootnoteText"/>
      </w:pPr>
      <w:r>
        <w:rPr>
          <w:rStyle w:val="FootnoteReference"/>
        </w:rPr>
        <w:footnoteRef/>
      </w:r>
      <w:r>
        <w:t xml:space="preserve"> </w:t>
      </w:r>
      <w:r w:rsidR="004E4C0B">
        <w:t xml:space="preserve">Horace, </w:t>
      </w:r>
      <w:r w:rsidR="00C92189">
        <w:rPr>
          <w:i/>
          <w:iCs/>
        </w:rPr>
        <w:t xml:space="preserve">Odes, </w:t>
      </w:r>
      <w:r w:rsidR="00C92189">
        <w:t xml:space="preserve">1.37 – line </w:t>
      </w:r>
      <w:r w:rsidR="00A93C84">
        <w:t>7</w:t>
      </w:r>
    </w:p>
  </w:footnote>
  <w:footnote w:id="29">
    <w:p w14:paraId="427D5B88" w14:textId="5718F473" w:rsidR="003E746E" w:rsidRPr="007869BC" w:rsidRDefault="003E746E">
      <w:pPr>
        <w:pStyle w:val="FootnoteText"/>
      </w:pPr>
      <w:r>
        <w:rPr>
          <w:rStyle w:val="FootnoteReference"/>
        </w:rPr>
        <w:footnoteRef/>
      </w:r>
      <w:r>
        <w:t xml:space="preserve"> </w:t>
      </w:r>
      <w:r w:rsidR="00A93C84">
        <w:rPr>
          <w:i/>
          <w:iCs/>
        </w:rPr>
        <w:t xml:space="preserve">Ibid. </w:t>
      </w:r>
      <w:r w:rsidR="007869BC">
        <w:t>Line 9</w:t>
      </w:r>
    </w:p>
  </w:footnote>
  <w:footnote w:id="30">
    <w:p w14:paraId="288AAAF2" w14:textId="6A05B24F" w:rsidR="00486684" w:rsidRDefault="00486684">
      <w:pPr>
        <w:pStyle w:val="FootnoteText"/>
      </w:pPr>
      <w:r>
        <w:rPr>
          <w:rStyle w:val="FootnoteReference"/>
        </w:rPr>
        <w:footnoteRef/>
      </w:r>
      <w:r>
        <w:t xml:space="preserve"> </w:t>
      </w:r>
      <w:r w:rsidR="00573C00">
        <w:t xml:space="preserve">P.M.W </w:t>
      </w:r>
      <w:r w:rsidR="00573C00">
        <w:t>Tennant</w:t>
      </w:r>
      <w:r w:rsidR="00573C00">
        <w:t xml:space="preserve">, </w:t>
      </w:r>
      <w:r w:rsidR="00573C00" w:rsidRPr="00573C00">
        <w:rPr>
          <w:i/>
          <w:iCs/>
        </w:rPr>
        <w:t>POLITICAL OR PERSONAL PROPAGANDA? HORACE, ‘SERMONES’ 1.5 IN PERSPECTIVE</w:t>
      </w:r>
      <w:r w:rsidR="00573C00">
        <w:t xml:space="preserve"> in</w:t>
      </w:r>
      <w:r w:rsidR="00573C00">
        <w:t xml:space="preserve"> </w:t>
      </w:r>
      <w:r w:rsidR="00573C00">
        <w:rPr>
          <w:i/>
          <w:iCs/>
        </w:rPr>
        <w:t>Acta Classica</w:t>
      </w:r>
      <w:r w:rsidR="00573C00">
        <w:t xml:space="preserve"> 34 (1991 </w:t>
      </w:r>
      <w:hyperlink r:id="rId7" w:history="1">
        <w:r w:rsidR="00096419" w:rsidRPr="00417CFB">
          <w:rPr>
            <w:rStyle w:val="Hyperlink"/>
          </w:rPr>
          <w:t>http://www.jstor.org/stable/24591932</w:t>
        </w:r>
      </w:hyperlink>
      <w:r w:rsidR="00096419">
        <w:t>) pp 51-64</w:t>
      </w:r>
    </w:p>
  </w:footnote>
  <w:footnote w:id="31">
    <w:p w14:paraId="1CDF7B99" w14:textId="571AFD48" w:rsidR="00486684" w:rsidRDefault="00486684">
      <w:pPr>
        <w:pStyle w:val="FootnoteText"/>
      </w:pPr>
      <w:r>
        <w:rPr>
          <w:rStyle w:val="FootnoteReference"/>
        </w:rPr>
        <w:footnoteRef/>
      </w:r>
      <w:r>
        <w:t xml:space="preserve"> </w:t>
      </w:r>
      <w:r w:rsidR="00BD1F29" w:rsidRPr="00BD1F29">
        <w:t xml:space="preserve">Quoted by N. Rudd from </w:t>
      </w:r>
      <w:r w:rsidR="00BD1F29" w:rsidRPr="006B246B">
        <w:rPr>
          <w:i/>
          <w:iCs/>
        </w:rPr>
        <w:t>John Dryden's Discourse Concerning the Original and Progress of Satire</w:t>
      </w:r>
      <w:r w:rsidR="00BD1F29" w:rsidRPr="00BD1F29">
        <w:t xml:space="preserve">, excerpted from </w:t>
      </w:r>
      <w:proofErr w:type="spellStart"/>
      <w:r w:rsidR="00BD1F29" w:rsidRPr="00BD1F29">
        <w:t>W.P.Ker's</w:t>
      </w:r>
      <w:proofErr w:type="spellEnd"/>
      <w:r w:rsidR="00BD1F29" w:rsidRPr="00BD1F29">
        <w:t xml:space="preserve"> edition of Dryden's essays, </w:t>
      </w:r>
      <w:r w:rsidR="006B246B">
        <w:t>(</w:t>
      </w:r>
      <w:r w:rsidR="00BD1F29" w:rsidRPr="00BD1F29">
        <w:t>Oxford 1926, vol. 2, pp. 86–87</w:t>
      </w:r>
      <w:r w:rsidR="006B246B">
        <w:t>)</w:t>
      </w:r>
    </w:p>
  </w:footnote>
  <w:footnote w:id="32">
    <w:p w14:paraId="7CE45BA1" w14:textId="0EB647ED" w:rsidR="00DA7690" w:rsidRPr="00AD7D74" w:rsidRDefault="00DA7690">
      <w:pPr>
        <w:pStyle w:val="FootnoteText"/>
      </w:pPr>
      <w:r>
        <w:rPr>
          <w:rStyle w:val="FootnoteReference"/>
        </w:rPr>
        <w:footnoteRef/>
      </w:r>
      <w:r>
        <w:t xml:space="preserve"> </w:t>
      </w:r>
      <w:r w:rsidR="006B246B">
        <w:t xml:space="preserve">Horace, </w:t>
      </w:r>
      <w:r w:rsidR="006B246B">
        <w:rPr>
          <w:i/>
          <w:iCs/>
        </w:rPr>
        <w:t xml:space="preserve">Odes, </w:t>
      </w:r>
      <w:r w:rsidR="00AD7D74">
        <w:t xml:space="preserve">1.37 – Line </w:t>
      </w:r>
      <w:r w:rsidR="00174BF2">
        <w:t>27</w:t>
      </w:r>
    </w:p>
  </w:footnote>
  <w:footnote w:id="33">
    <w:p w14:paraId="614FC1BA" w14:textId="305E8DF9" w:rsidR="00DA7690" w:rsidRDefault="00DA7690">
      <w:pPr>
        <w:pStyle w:val="FootnoteText"/>
      </w:pPr>
      <w:r>
        <w:rPr>
          <w:rStyle w:val="FootnoteReference"/>
        </w:rPr>
        <w:footnoteRef/>
      </w:r>
      <w:r>
        <w:t xml:space="preserve"> </w:t>
      </w:r>
      <w:r w:rsidR="004813FE">
        <w:t>The Trustee</w:t>
      </w:r>
      <w:r w:rsidR="002D5185">
        <w:t xml:space="preserve">s of the British Museum, Coin, </w:t>
      </w:r>
      <w:hyperlink r:id="rId8" w:history="1">
        <w:r w:rsidR="002D5185" w:rsidRPr="00417CFB">
          <w:rPr>
            <w:rStyle w:val="Hyperlink"/>
          </w:rPr>
          <w:t>https://www.britishmuseum.org/collection/object/C_1866-1201-4189</w:t>
        </w:r>
      </w:hyperlink>
      <w:r w:rsidR="002D5185">
        <w:t xml:space="preserve"> </w:t>
      </w:r>
    </w:p>
  </w:footnote>
  <w:footnote w:id="34">
    <w:p w14:paraId="766B9319" w14:textId="6E5DD62E" w:rsidR="007B0B41" w:rsidRDefault="007B0B41">
      <w:pPr>
        <w:pStyle w:val="FootnoteText"/>
      </w:pPr>
      <w:r>
        <w:rPr>
          <w:rStyle w:val="FootnoteReference"/>
        </w:rPr>
        <w:footnoteRef/>
      </w:r>
      <w:r>
        <w:t xml:space="preserve"> </w:t>
      </w:r>
      <w:r w:rsidR="00054D11">
        <w:t xml:space="preserve">J.M </w:t>
      </w:r>
      <w:proofErr w:type="spellStart"/>
      <w:r w:rsidR="00054D11">
        <w:t>Benario</w:t>
      </w:r>
      <w:proofErr w:type="spellEnd"/>
      <w:r w:rsidR="00054D11" w:rsidRPr="00054D11">
        <w:rPr>
          <w:i/>
          <w:iCs/>
        </w:rPr>
        <w:t>,  DIDO AND CLEOPATRA</w:t>
      </w:r>
      <w:r w:rsidR="00054D11">
        <w:t>, in</w:t>
      </w:r>
      <w:r w:rsidR="00054D11">
        <w:t xml:space="preserve"> </w:t>
      </w:r>
      <w:r w:rsidR="00054D11">
        <w:rPr>
          <w:i/>
          <w:iCs/>
        </w:rPr>
        <w:t>Vergilius (1959</w:t>
      </w:r>
      <w:r w:rsidR="00054D11" w:rsidRPr="00054D11">
        <w:t>-), no. 16</w:t>
      </w:r>
      <w:r w:rsidR="00054D11">
        <w:t xml:space="preserve"> (1970</w:t>
      </w:r>
      <w:r w:rsidR="00054D11">
        <w:t>,</w:t>
      </w:r>
      <w:r w:rsidR="00054D11">
        <w:t xml:space="preserve"> </w:t>
      </w:r>
      <w:hyperlink r:id="rId9" w:history="1">
        <w:r w:rsidR="00054D11" w:rsidRPr="00417CFB">
          <w:rPr>
            <w:rStyle w:val="Hyperlink"/>
          </w:rPr>
          <w:t>http://www.js</w:t>
        </w:r>
        <w:r w:rsidR="00054D11" w:rsidRPr="00417CFB">
          <w:rPr>
            <w:rStyle w:val="Hyperlink"/>
          </w:rPr>
          <w:t>t</w:t>
        </w:r>
        <w:r w:rsidR="00054D11" w:rsidRPr="00417CFB">
          <w:rPr>
            <w:rStyle w:val="Hyperlink"/>
          </w:rPr>
          <w:t>or.org/stable/41591641</w:t>
        </w:r>
      </w:hyperlink>
      <w:r w:rsidR="00054D11">
        <w:t>) pp. 2-6</w:t>
      </w:r>
    </w:p>
  </w:footnote>
  <w:footnote w:id="35">
    <w:p w14:paraId="1F6F79E6" w14:textId="5E9B4DE7" w:rsidR="007B0B41" w:rsidRPr="0029152E" w:rsidRDefault="007B0B41">
      <w:pPr>
        <w:pStyle w:val="FootnoteText"/>
      </w:pPr>
      <w:r>
        <w:rPr>
          <w:rStyle w:val="FootnoteReference"/>
        </w:rPr>
        <w:footnoteRef/>
      </w:r>
      <w:r>
        <w:t xml:space="preserve"> </w:t>
      </w:r>
      <w:r w:rsidR="00D60B2D">
        <w:rPr>
          <w:i/>
          <w:iCs/>
        </w:rPr>
        <w:t>I</w:t>
      </w:r>
      <w:r w:rsidR="0029152E">
        <w:rPr>
          <w:i/>
          <w:iCs/>
        </w:rPr>
        <w:t xml:space="preserve">bid. </w:t>
      </w:r>
      <w:r w:rsidR="0029152E">
        <w:t>4</w:t>
      </w:r>
    </w:p>
  </w:footnote>
  <w:footnote w:id="36">
    <w:p w14:paraId="23C2FA8F" w14:textId="21DF4ED8" w:rsidR="007B0B41" w:rsidRDefault="007B0B41">
      <w:pPr>
        <w:pStyle w:val="FootnoteText"/>
      </w:pPr>
      <w:r>
        <w:rPr>
          <w:rStyle w:val="FootnoteReference"/>
        </w:rPr>
        <w:footnoteRef/>
      </w:r>
      <w:r>
        <w:t xml:space="preserve"> </w:t>
      </w:r>
      <w:r w:rsidR="00BE1DAA">
        <w:t xml:space="preserve">R. D. Williams </w:t>
      </w:r>
      <w:r w:rsidR="00BE1DAA" w:rsidRPr="00BE1DAA">
        <w:rPr>
          <w:i/>
          <w:iCs/>
        </w:rPr>
        <w:t>Virgil</w:t>
      </w:r>
      <w:r w:rsidR="00BE1DAA">
        <w:t xml:space="preserve">, </w:t>
      </w:r>
      <w:proofErr w:type="spellStart"/>
      <w:r w:rsidR="00BE1DAA">
        <w:rPr>
          <w:rStyle w:val="Emphasis"/>
        </w:rPr>
        <w:t>Encyclopedia</w:t>
      </w:r>
      <w:proofErr w:type="spellEnd"/>
      <w:r w:rsidR="00BE1DAA">
        <w:rPr>
          <w:rStyle w:val="Emphasis"/>
        </w:rPr>
        <w:t xml:space="preserve"> Britannica</w:t>
      </w:r>
      <w:r w:rsidR="00BE1DAA">
        <w:t>, (https://www.britannica.com/biography/Virgil. Accessed 24/3/2023)</w:t>
      </w:r>
    </w:p>
  </w:footnote>
  <w:footnote w:id="37">
    <w:p w14:paraId="256178F6" w14:textId="3089343A" w:rsidR="00B72A50" w:rsidRPr="004B6770" w:rsidRDefault="00B72A50">
      <w:pPr>
        <w:pStyle w:val="FootnoteText"/>
      </w:pPr>
      <w:r>
        <w:rPr>
          <w:rStyle w:val="FootnoteReference"/>
        </w:rPr>
        <w:footnoteRef/>
      </w:r>
      <w:r>
        <w:t xml:space="preserve"> </w:t>
      </w:r>
      <w:r w:rsidR="00CB7F3B">
        <w:t xml:space="preserve"> D.P Fowler</w:t>
      </w:r>
      <w:r w:rsidR="004B6770">
        <w:t xml:space="preserve"> et al, </w:t>
      </w:r>
      <w:r w:rsidR="004B6770" w:rsidRPr="004B6770">
        <w:rPr>
          <w:i/>
          <w:iCs/>
        </w:rPr>
        <w:t>Virgil</w:t>
      </w:r>
      <w:r w:rsidR="004B6770">
        <w:rPr>
          <w:i/>
          <w:iCs/>
        </w:rPr>
        <w:t xml:space="preserve"> </w:t>
      </w:r>
      <w:r w:rsidR="004B6770">
        <w:t xml:space="preserve">(Oxford </w:t>
      </w:r>
      <w:r w:rsidR="00873048">
        <w:t xml:space="preserve">Classical Dictionary, </w:t>
      </w:r>
      <w:r w:rsidR="00873048">
        <w:t>202</w:t>
      </w:r>
      <w:r w:rsidR="00873048">
        <w:t xml:space="preserve">2, </w:t>
      </w:r>
      <w:hyperlink r:id="rId10" w:history="1">
        <w:r w:rsidR="000441F0">
          <w:rPr>
            <w:rStyle w:val="Hyperlink"/>
          </w:rPr>
          <w:t>https://doi.org/10.1093/acrefore/9780199381135.013.6829</w:t>
        </w:r>
      </w:hyperlink>
      <w:r w:rsidR="000441F0">
        <w:t>, Accessed 24/3/2023)</w:t>
      </w:r>
    </w:p>
  </w:footnote>
  <w:footnote w:id="38">
    <w:p w14:paraId="06FDA935" w14:textId="637A7BD8" w:rsidR="00B72A50" w:rsidRPr="00F800DA" w:rsidRDefault="00B72A50">
      <w:pPr>
        <w:pStyle w:val="FootnoteText"/>
      </w:pPr>
      <w:r>
        <w:rPr>
          <w:rStyle w:val="FootnoteReference"/>
        </w:rPr>
        <w:footnoteRef/>
      </w:r>
      <w:r>
        <w:t xml:space="preserve"> </w:t>
      </w:r>
      <w:r w:rsidR="00F800DA">
        <w:t xml:space="preserve">Vir, </w:t>
      </w:r>
      <w:r w:rsidR="00F800DA">
        <w:rPr>
          <w:i/>
          <w:iCs/>
        </w:rPr>
        <w:t xml:space="preserve">The Aeneid, </w:t>
      </w:r>
      <w:r w:rsidR="00B74923">
        <w:t xml:space="preserve">8.677 - </w:t>
      </w:r>
      <w:r w:rsidR="0060116C">
        <w:t>715</w:t>
      </w:r>
    </w:p>
  </w:footnote>
  <w:footnote w:id="39">
    <w:p w14:paraId="13E60E06" w14:textId="6535227E" w:rsidR="00B72A50" w:rsidRPr="00743901" w:rsidRDefault="00B72A50">
      <w:pPr>
        <w:pStyle w:val="FootnoteText"/>
      </w:pPr>
      <w:r>
        <w:rPr>
          <w:rStyle w:val="FootnoteReference"/>
        </w:rPr>
        <w:footnoteRef/>
      </w:r>
      <w:r>
        <w:t xml:space="preserve"> </w:t>
      </w:r>
      <w:r w:rsidR="00F65AFA">
        <w:t xml:space="preserve">Vir, </w:t>
      </w:r>
      <w:r w:rsidR="00743901">
        <w:rPr>
          <w:i/>
          <w:iCs/>
        </w:rPr>
        <w:t xml:space="preserve">The Aeneid, </w:t>
      </w:r>
      <w:r w:rsidR="008138B5">
        <w:rPr>
          <w:i/>
          <w:iCs/>
        </w:rPr>
        <w:t>8.635-</w:t>
      </w:r>
      <w:r w:rsidR="0012286B">
        <w:rPr>
          <w:i/>
          <w:iCs/>
        </w:rPr>
        <w:t>642</w:t>
      </w:r>
    </w:p>
  </w:footnote>
  <w:footnote w:id="40">
    <w:p w14:paraId="6392DE44" w14:textId="6CED92A8" w:rsidR="00A52CF8" w:rsidRDefault="00A52CF8">
      <w:pPr>
        <w:pStyle w:val="FootnoteText"/>
      </w:pPr>
      <w:r>
        <w:rPr>
          <w:rStyle w:val="FootnoteReference"/>
        </w:rPr>
        <w:footnoteRef/>
      </w:r>
      <w:r>
        <w:t xml:space="preserve"> </w:t>
      </w:r>
      <w:r w:rsidR="0012286B">
        <w:t xml:space="preserve">Vir, </w:t>
      </w:r>
      <w:r w:rsidR="0012286B">
        <w:rPr>
          <w:i/>
          <w:iCs/>
        </w:rPr>
        <w:t>The Aeneid, 8</w:t>
      </w:r>
      <w:r w:rsidR="0012286B">
        <w:rPr>
          <w:i/>
          <w:iCs/>
        </w:rPr>
        <w:t xml:space="preserve">. </w:t>
      </w:r>
      <w:r w:rsidR="00E16E28">
        <w:rPr>
          <w:i/>
          <w:iCs/>
        </w:rPr>
        <w:t>681-68</w:t>
      </w:r>
      <w:r w:rsidR="002F5033">
        <w:rPr>
          <w:i/>
          <w:iCs/>
        </w:rPr>
        <w:t>3</w:t>
      </w:r>
    </w:p>
  </w:footnote>
  <w:footnote w:id="41">
    <w:p w14:paraId="29CBAC79" w14:textId="6286FD84" w:rsidR="00A52CF8" w:rsidRDefault="00A52CF8">
      <w:pPr>
        <w:pStyle w:val="FootnoteText"/>
      </w:pPr>
      <w:r>
        <w:rPr>
          <w:rStyle w:val="FootnoteReference"/>
        </w:rPr>
        <w:footnoteRef/>
      </w:r>
      <w:r>
        <w:t xml:space="preserve"> </w:t>
      </w:r>
      <w:r w:rsidR="002F5033">
        <w:t xml:space="preserve">Vir, </w:t>
      </w:r>
      <w:r w:rsidR="002F5033">
        <w:rPr>
          <w:i/>
          <w:iCs/>
        </w:rPr>
        <w:t>The Aeneid, 8</w:t>
      </w:r>
      <w:r w:rsidR="002F5033">
        <w:rPr>
          <w:i/>
          <w:iCs/>
        </w:rPr>
        <w:t>.688-689</w:t>
      </w:r>
    </w:p>
  </w:footnote>
  <w:footnote w:id="42">
    <w:p w14:paraId="63724533" w14:textId="079A0564" w:rsidR="00A52CF8" w:rsidRPr="00F92E34" w:rsidRDefault="00A52CF8">
      <w:pPr>
        <w:pStyle w:val="FootnoteText"/>
      </w:pPr>
      <w:r>
        <w:rPr>
          <w:rStyle w:val="FootnoteReference"/>
        </w:rPr>
        <w:footnoteRef/>
      </w:r>
      <w:r>
        <w:t xml:space="preserve"> </w:t>
      </w:r>
      <w:r w:rsidR="008D5871">
        <w:t>A Wallace-</w:t>
      </w:r>
      <w:proofErr w:type="spellStart"/>
      <w:r w:rsidR="008D5871">
        <w:t>Had</w:t>
      </w:r>
      <w:r w:rsidR="00F92E34">
        <w:t>rill</w:t>
      </w:r>
      <w:proofErr w:type="spellEnd"/>
      <w:r w:rsidR="00F92E34">
        <w:t xml:space="preserve">, </w:t>
      </w:r>
      <w:r w:rsidR="00F92E34">
        <w:rPr>
          <w:i/>
          <w:iCs/>
        </w:rPr>
        <w:t xml:space="preserve">Augustan Rome, </w:t>
      </w:r>
      <w:r w:rsidR="00F92E34">
        <w:t>(</w:t>
      </w:r>
      <w:r w:rsidR="0040081F">
        <w:t xml:space="preserve">Bloomsbury Publishing Plc, </w:t>
      </w:r>
      <w:r w:rsidR="00E34278">
        <w:t xml:space="preserve">1993, 2018) p. </w:t>
      </w:r>
      <w:r w:rsidR="007B66D8">
        <w:t>11</w:t>
      </w:r>
    </w:p>
  </w:footnote>
  <w:footnote w:id="43">
    <w:p w14:paraId="4DD1EC3B" w14:textId="262207DB" w:rsidR="00B00391" w:rsidRPr="00332858" w:rsidRDefault="00B00391">
      <w:pPr>
        <w:pStyle w:val="FootnoteText"/>
      </w:pPr>
      <w:r>
        <w:rPr>
          <w:rStyle w:val="FootnoteReference"/>
        </w:rPr>
        <w:footnoteRef/>
      </w:r>
      <w:r>
        <w:t xml:space="preserve"> </w:t>
      </w:r>
      <w:r w:rsidR="00332858">
        <w:rPr>
          <w:i/>
          <w:iCs/>
        </w:rPr>
        <w:t xml:space="preserve">Ibid. </w:t>
      </w:r>
      <w:r w:rsidR="00332858">
        <w:t>11</w:t>
      </w:r>
    </w:p>
  </w:footnote>
  <w:footnote w:id="44">
    <w:p w14:paraId="6F92E8C4" w14:textId="161EBA24" w:rsidR="00B00391" w:rsidRPr="00332858" w:rsidRDefault="00B00391">
      <w:pPr>
        <w:pStyle w:val="FootnoteText"/>
        <w:rPr>
          <w:i/>
          <w:iCs/>
        </w:rPr>
      </w:pPr>
      <w:r>
        <w:rPr>
          <w:rStyle w:val="FootnoteReference"/>
        </w:rPr>
        <w:footnoteRef/>
      </w:r>
      <w:r>
        <w:t xml:space="preserve"> </w:t>
      </w:r>
      <w:r w:rsidR="00332858">
        <w:rPr>
          <w:i/>
          <w:iCs/>
        </w:rPr>
        <w:t xml:space="preserve">Ibid. </w:t>
      </w:r>
      <w:r w:rsidR="00D126DC">
        <w:rPr>
          <w:i/>
          <w:iCs/>
        </w:rPr>
        <w:t>11</w:t>
      </w:r>
    </w:p>
  </w:footnote>
  <w:footnote w:id="45">
    <w:p w14:paraId="5778E8E8" w14:textId="43C173EB" w:rsidR="00B00391" w:rsidRPr="00EF2041" w:rsidRDefault="00B00391">
      <w:pPr>
        <w:pStyle w:val="FootnoteText"/>
      </w:pPr>
      <w:r>
        <w:rPr>
          <w:rStyle w:val="FootnoteReference"/>
        </w:rPr>
        <w:footnoteRef/>
      </w:r>
      <w:r>
        <w:t xml:space="preserve"> </w:t>
      </w:r>
      <w:r w:rsidR="00D610B1">
        <w:t xml:space="preserve">Southern, </w:t>
      </w:r>
      <w:r w:rsidR="00EF2041">
        <w:rPr>
          <w:i/>
          <w:iCs/>
        </w:rPr>
        <w:t xml:space="preserve">Cleopatra, </w:t>
      </w:r>
      <w:r w:rsidR="00EF2041">
        <w:t>p8</w:t>
      </w:r>
      <w:r w:rsidR="00B21B4D">
        <w:t>3</w:t>
      </w:r>
    </w:p>
  </w:footnote>
  <w:footnote w:id="46">
    <w:p w14:paraId="494EB091" w14:textId="4C8DE492" w:rsidR="00B00391" w:rsidRPr="00B21B4D" w:rsidRDefault="00B00391">
      <w:pPr>
        <w:pStyle w:val="FootnoteText"/>
      </w:pPr>
      <w:r>
        <w:rPr>
          <w:rStyle w:val="FootnoteReference"/>
        </w:rPr>
        <w:footnoteRef/>
      </w:r>
      <w:r>
        <w:t xml:space="preserve"> </w:t>
      </w:r>
      <w:r w:rsidR="00B21B4D">
        <w:rPr>
          <w:i/>
          <w:iCs/>
        </w:rPr>
        <w:t xml:space="preserve">Ibid. </w:t>
      </w:r>
      <w:r w:rsidR="00B21B4D">
        <w:t>84</w:t>
      </w:r>
    </w:p>
  </w:footnote>
  <w:footnote w:id="47">
    <w:p w14:paraId="7950698C" w14:textId="3322FF9D" w:rsidR="00C211E1" w:rsidRDefault="00C211E1">
      <w:pPr>
        <w:pStyle w:val="FootnoteText"/>
      </w:pPr>
      <w:r>
        <w:rPr>
          <w:rStyle w:val="FootnoteReference"/>
        </w:rPr>
        <w:footnoteRef/>
      </w:r>
      <w:r>
        <w:t xml:space="preserve"> </w:t>
      </w:r>
      <w:r w:rsidR="00A62F8A">
        <w:t xml:space="preserve">R. D. Sullivan, </w:t>
      </w:r>
      <w:r w:rsidR="00A62F8A">
        <w:rPr>
          <w:i/>
          <w:iCs/>
        </w:rPr>
        <w:t>Near Eastern royalty and Rome, 100-30 BC</w:t>
      </w:r>
      <w:r w:rsidR="00A62F8A">
        <w:t xml:space="preserve">. </w:t>
      </w:r>
      <w:r w:rsidR="00A62F8A">
        <w:t>(</w:t>
      </w:r>
      <w:r w:rsidR="00A62F8A">
        <w:t xml:space="preserve">University of Toronto Press, 1990. </w:t>
      </w:r>
      <w:proofErr w:type="spellStart"/>
      <w:r w:rsidR="00A62F8A">
        <w:t>doi</w:t>
      </w:r>
      <w:proofErr w:type="spellEnd"/>
      <w:r w:rsidR="00A62F8A">
        <w:t>: 10.3138/9781442677593</w:t>
      </w:r>
      <w:r w:rsidR="00A62F8A">
        <w:t>) p</w:t>
      </w:r>
      <w:r w:rsidR="00C76F7E">
        <w:t>268</w:t>
      </w:r>
    </w:p>
  </w:footnote>
  <w:footnote w:id="48">
    <w:p w14:paraId="5FDAE621" w14:textId="7318A316" w:rsidR="00C211E1" w:rsidRPr="00C76F7E" w:rsidRDefault="00C211E1">
      <w:pPr>
        <w:pStyle w:val="FootnoteText"/>
      </w:pPr>
      <w:r>
        <w:rPr>
          <w:rStyle w:val="FootnoteReference"/>
        </w:rPr>
        <w:footnoteRef/>
      </w:r>
      <w:r>
        <w:t xml:space="preserve"> </w:t>
      </w:r>
      <w:r w:rsidR="00C76F7E">
        <w:rPr>
          <w:i/>
          <w:iCs/>
        </w:rPr>
        <w:t xml:space="preserve">Ibid. </w:t>
      </w:r>
      <w:r w:rsidR="00C76F7E">
        <w:t>268</w:t>
      </w:r>
    </w:p>
  </w:footnote>
  <w:footnote w:id="49">
    <w:p w14:paraId="6B00EE53" w14:textId="14146683" w:rsidR="00C211E1" w:rsidRPr="00C76F7E" w:rsidRDefault="00C211E1">
      <w:pPr>
        <w:pStyle w:val="FootnoteText"/>
      </w:pPr>
      <w:r>
        <w:rPr>
          <w:rStyle w:val="FootnoteReference"/>
        </w:rPr>
        <w:footnoteRef/>
      </w:r>
      <w:r>
        <w:t xml:space="preserve"> </w:t>
      </w:r>
      <w:r w:rsidR="00C76F7E">
        <w:rPr>
          <w:i/>
          <w:iCs/>
        </w:rPr>
        <w:t xml:space="preserve">Ibid. </w:t>
      </w:r>
      <w:r w:rsidR="00C76F7E">
        <w:t>268</w:t>
      </w:r>
    </w:p>
  </w:footnote>
  <w:footnote w:id="50">
    <w:p w14:paraId="543780AF" w14:textId="5EBBC075" w:rsidR="00C211E1" w:rsidRDefault="00C211E1">
      <w:pPr>
        <w:pStyle w:val="FootnoteText"/>
      </w:pPr>
      <w:r>
        <w:rPr>
          <w:rStyle w:val="FootnoteReference"/>
        </w:rPr>
        <w:footnoteRef/>
      </w:r>
      <w:r w:rsidR="0092479B">
        <w:t xml:space="preserve">E. </w:t>
      </w:r>
      <w:r w:rsidR="0092479B">
        <w:t>D. Townsend</w:t>
      </w:r>
      <w:r w:rsidR="009411BC" w:rsidRPr="009411BC">
        <w:t xml:space="preserve">, </w:t>
      </w:r>
      <w:r w:rsidR="009411BC">
        <w:t>et al</w:t>
      </w:r>
      <w:r w:rsidR="0092479B">
        <w:t xml:space="preserve">, </w:t>
      </w:r>
      <w:r w:rsidR="009411BC" w:rsidRPr="0092479B">
        <w:rPr>
          <w:i/>
          <w:iCs/>
        </w:rPr>
        <w:t xml:space="preserve">ancient </w:t>
      </w:r>
      <w:r w:rsidR="00C94098" w:rsidRPr="0092479B">
        <w:rPr>
          <w:i/>
          <w:iCs/>
        </w:rPr>
        <w:t>Rome</w:t>
      </w:r>
      <w:r w:rsidR="00C94098">
        <w:t>,</w:t>
      </w:r>
      <w:r w:rsidR="009411BC" w:rsidRPr="009411BC">
        <w:t xml:space="preserve"> </w:t>
      </w:r>
      <w:proofErr w:type="spellStart"/>
      <w:r w:rsidR="009411BC" w:rsidRPr="009411BC">
        <w:t>Encyclopedia</w:t>
      </w:r>
      <w:proofErr w:type="spellEnd"/>
      <w:r w:rsidR="009411BC" w:rsidRPr="009411BC">
        <w:t xml:space="preserve"> Britannica, </w:t>
      </w:r>
      <w:r w:rsidR="0092479B">
        <w:t>(</w:t>
      </w:r>
      <w:r w:rsidR="009411BC" w:rsidRPr="009411BC">
        <w:t xml:space="preserve">https://www.britannica.com/place/ancient-Rome. </w:t>
      </w:r>
      <w:r w:rsidR="0092479B">
        <w:t>24/</w:t>
      </w:r>
      <w:r w:rsidR="00C94098">
        <w:t>3/2023)</w:t>
      </w:r>
    </w:p>
  </w:footnote>
  <w:footnote w:id="51">
    <w:p w14:paraId="4C0A4909" w14:textId="33C92AB7" w:rsidR="00027A2F" w:rsidRPr="004963E0" w:rsidRDefault="00027A2F">
      <w:pPr>
        <w:pStyle w:val="FootnoteText"/>
      </w:pPr>
      <w:r>
        <w:rPr>
          <w:rStyle w:val="FootnoteReference"/>
        </w:rPr>
        <w:footnoteRef/>
      </w:r>
      <w:r>
        <w:t xml:space="preserve"> </w:t>
      </w:r>
      <w:r w:rsidR="007838F1">
        <w:t xml:space="preserve">Southern, </w:t>
      </w:r>
      <w:r w:rsidR="007838F1">
        <w:rPr>
          <w:i/>
          <w:iCs/>
        </w:rPr>
        <w:t xml:space="preserve">Cleopatra, </w:t>
      </w:r>
      <w:r w:rsidR="004963E0">
        <w:t>p30</w:t>
      </w:r>
    </w:p>
  </w:footnote>
  <w:footnote w:id="52">
    <w:p w14:paraId="4307E3FB" w14:textId="100EE6D4" w:rsidR="00027A2F" w:rsidRPr="00DA5E66" w:rsidRDefault="00027A2F">
      <w:pPr>
        <w:pStyle w:val="FootnoteText"/>
      </w:pPr>
      <w:r>
        <w:rPr>
          <w:rStyle w:val="FootnoteReference"/>
        </w:rPr>
        <w:footnoteRef/>
      </w:r>
      <w:r>
        <w:t xml:space="preserve"> </w:t>
      </w:r>
      <w:r w:rsidR="004963E0">
        <w:rPr>
          <w:i/>
          <w:iCs/>
        </w:rPr>
        <w:t xml:space="preserve">Ibid. </w:t>
      </w:r>
      <w:r w:rsidR="00DA5E66">
        <w:t>31</w:t>
      </w:r>
    </w:p>
  </w:footnote>
  <w:footnote w:id="53">
    <w:p w14:paraId="678CF8A1" w14:textId="02752D01" w:rsidR="00027A2F" w:rsidRDefault="00027A2F">
      <w:pPr>
        <w:pStyle w:val="FootnoteText"/>
      </w:pPr>
      <w:r>
        <w:rPr>
          <w:rStyle w:val="FootnoteReference"/>
        </w:rPr>
        <w:footnoteRef/>
      </w:r>
      <w:r>
        <w:t xml:space="preserve"> </w:t>
      </w:r>
      <w:r w:rsidR="00DA5E66">
        <w:rPr>
          <w:i/>
          <w:iCs/>
        </w:rPr>
        <w:t xml:space="preserve">Ibid. </w:t>
      </w:r>
      <w:r w:rsidR="00DA5E66">
        <w:t>31</w:t>
      </w:r>
    </w:p>
  </w:footnote>
  <w:footnote w:id="54">
    <w:p w14:paraId="69B31C4E" w14:textId="644C3FE0" w:rsidR="00057E31" w:rsidRDefault="00057E31">
      <w:pPr>
        <w:pStyle w:val="FootnoteText"/>
      </w:pPr>
      <w:r>
        <w:rPr>
          <w:rStyle w:val="FootnoteReference"/>
        </w:rPr>
        <w:footnoteRef/>
      </w:r>
      <w:r>
        <w:t xml:space="preserve"> </w:t>
      </w:r>
      <w:r w:rsidR="00DA5E66">
        <w:rPr>
          <w:i/>
          <w:iCs/>
        </w:rPr>
        <w:t xml:space="preserve">Ibid. </w:t>
      </w:r>
      <w:r w:rsidR="00DA5E66">
        <w:t>31</w:t>
      </w:r>
    </w:p>
  </w:footnote>
  <w:footnote w:id="55">
    <w:p w14:paraId="71E8CACC" w14:textId="6A861411" w:rsidR="00325547" w:rsidRDefault="00325547">
      <w:pPr>
        <w:pStyle w:val="FootnoteText"/>
      </w:pPr>
      <w:r>
        <w:rPr>
          <w:rStyle w:val="FootnoteReference"/>
        </w:rPr>
        <w:footnoteRef/>
      </w:r>
      <w:r>
        <w:t xml:space="preserve"> </w:t>
      </w:r>
      <w:r w:rsidR="00DA5E66" w:rsidRPr="00562A3D">
        <w:rPr>
          <w:i/>
          <w:iCs/>
        </w:rPr>
        <w:t>Ibid</w:t>
      </w:r>
      <w:r w:rsidR="00DA5E66">
        <w:t xml:space="preserve">. </w:t>
      </w:r>
      <w:r w:rsidR="00562A3D">
        <w:t>11-38</w:t>
      </w:r>
    </w:p>
  </w:footnote>
  <w:footnote w:id="56">
    <w:p w14:paraId="369532B2" w14:textId="7A64CA14" w:rsidR="00325547" w:rsidRPr="00A15D17" w:rsidRDefault="00325547">
      <w:pPr>
        <w:pStyle w:val="FootnoteText"/>
      </w:pPr>
      <w:r>
        <w:rPr>
          <w:rStyle w:val="FootnoteReference"/>
        </w:rPr>
        <w:footnoteRef/>
      </w:r>
      <w:r>
        <w:t xml:space="preserve"> </w:t>
      </w:r>
      <w:r w:rsidR="001C005F" w:rsidRPr="001C005F">
        <w:rPr>
          <w:i/>
          <w:iCs/>
        </w:rPr>
        <w:t xml:space="preserve">Ibid. </w:t>
      </w:r>
      <w:r w:rsidR="00A15D17">
        <w:t>24</w:t>
      </w:r>
    </w:p>
  </w:footnote>
  <w:footnote w:id="57">
    <w:p w14:paraId="0D839752" w14:textId="202DEFC7" w:rsidR="00325547" w:rsidRPr="00A15D17" w:rsidRDefault="00325547">
      <w:pPr>
        <w:pStyle w:val="FootnoteText"/>
      </w:pPr>
      <w:r w:rsidRPr="001C005F">
        <w:rPr>
          <w:rStyle w:val="FootnoteReference"/>
          <w:i/>
          <w:iCs/>
        </w:rPr>
        <w:footnoteRef/>
      </w:r>
      <w:r w:rsidRPr="001C005F">
        <w:rPr>
          <w:i/>
          <w:iCs/>
        </w:rPr>
        <w:t xml:space="preserve"> </w:t>
      </w:r>
      <w:r w:rsidR="001C005F" w:rsidRPr="001C005F">
        <w:rPr>
          <w:i/>
          <w:iCs/>
        </w:rPr>
        <w:t>Ibid.</w:t>
      </w:r>
      <w:r w:rsidR="00A15D17">
        <w:t xml:space="preserve"> 24</w:t>
      </w:r>
    </w:p>
  </w:footnote>
  <w:footnote w:id="58">
    <w:p w14:paraId="695DBF4B" w14:textId="40E6CD92" w:rsidR="00587E52" w:rsidRPr="001C005F" w:rsidRDefault="00587E52">
      <w:pPr>
        <w:pStyle w:val="FootnoteText"/>
        <w:rPr>
          <w:i/>
          <w:iCs/>
        </w:rPr>
      </w:pPr>
      <w:r w:rsidRPr="001C005F">
        <w:rPr>
          <w:rStyle w:val="FootnoteReference"/>
          <w:i/>
          <w:iCs/>
        </w:rPr>
        <w:footnoteRef/>
      </w:r>
      <w:r w:rsidRPr="001C005F">
        <w:rPr>
          <w:i/>
          <w:iCs/>
        </w:rPr>
        <w:t xml:space="preserve"> </w:t>
      </w:r>
      <w:r w:rsidR="001C005F" w:rsidRPr="001C005F">
        <w:rPr>
          <w:i/>
          <w:iCs/>
        </w:rPr>
        <w:t>Ibid.</w:t>
      </w:r>
      <w:r w:rsidR="004342E5" w:rsidRPr="00543B9E">
        <w:t>36</w:t>
      </w:r>
    </w:p>
  </w:footnote>
  <w:footnote w:id="59">
    <w:p w14:paraId="54034C8E" w14:textId="1F95EF9B" w:rsidR="00587E52" w:rsidRPr="001C005F" w:rsidRDefault="00587E52">
      <w:pPr>
        <w:pStyle w:val="FootnoteText"/>
        <w:rPr>
          <w:i/>
          <w:iCs/>
        </w:rPr>
      </w:pPr>
      <w:r w:rsidRPr="001C005F">
        <w:rPr>
          <w:rStyle w:val="FootnoteReference"/>
          <w:i/>
          <w:iCs/>
        </w:rPr>
        <w:footnoteRef/>
      </w:r>
      <w:r w:rsidRPr="001C005F">
        <w:rPr>
          <w:i/>
          <w:iCs/>
        </w:rPr>
        <w:t xml:space="preserve"> </w:t>
      </w:r>
      <w:r w:rsidR="001C005F" w:rsidRPr="001C005F">
        <w:rPr>
          <w:i/>
          <w:iCs/>
        </w:rPr>
        <w:t>Ibid.</w:t>
      </w:r>
      <w:r w:rsidR="00CB0F00">
        <w:rPr>
          <w:i/>
          <w:iCs/>
        </w:rPr>
        <w:t xml:space="preserve"> </w:t>
      </w:r>
      <w:r w:rsidR="00CB0F00" w:rsidRPr="00543B9E">
        <w:t>37</w:t>
      </w:r>
    </w:p>
  </w:footnote>
  <w:footnote w:id="60">
    <w:p w14:paraId="4C4881EA" w14:textId="0D49E3EF" w:rsidR="001F4ED3" w:rsidRDefault="001F4ED3">
      <w:pPr>
        <w:pStyle w:val="FootnoteText"/>
      </w:pPr>
      <w:r w:rsidRPr="001C005F">
        <w:rPr>
          <w:rStyle w:val="FootnoteReference"/>
          <w:i/>
          <w:iCs/>
        </w:rPr>
        <w:footnoteRef/>
      </w:r>
      <w:r w:rsidRPr="001C005F">
        <w:rPr>
          <w:i/>
          <w:iCs/>
        </w:rPr>
        <w:t xml:space="preserve"> </w:t>
      </w:r>
      <w:r w:rsidR="001C005F" w:rsidRPr="001C005F">
        <w:rPr>
          <w:i/>
          <w:iCs/>
        </w:rPr>
        <w:t>Ibid.</w:t>
      </w:r>
      <w:r w:rsidR="00543B9E">
        <w:rPr>
          <w:i/>
          <w:iCs/>
        </w:rPr>
        <w:t xml:space="preserve"> </w:t>
      </w:r>
      <w:r w:rsidR="00543B9E" w:rsidRPr="00543B9E">
        <w:t>38</w:t>
      </w:r>
    </w:p>
  </w:footnote>
  <w:footnote w:id="61">
    <w:p w14:paraId="38B79D08" w14:textId="7B5AFFD9" w:rsidR="001F4ED3" w:rsidRPr="00320121" w:rsidRDefault="001F4ED3">
      <w:pPr>
        <w:pStyle w:val="FootnoteText"/>
      </w:pPr>
      <w:r>
        <w:rPr>
          <w:rStyle w:val="FootnoteReference"/>
        </w:rPr>
        <w:footnoteRef/>
      </w:r>
      <w:r>
        <w:t xml:space="preserve"> </w:t>
      </w:r>
      <w:r w:rsidR="00320121">
        <w:t xml:space="preserve">Southern, </w:t>
      </w:r>
      <w:r w:rsidR="00320121">
        <w:rPr>
          <w:i/>
          <w:iCs/>
        </w:rPr>
        <w:t xml:space="preserve">Cleopatra, </w:t>
      </w:r>
      <w:r w:rsidR="00320121">
        <w:t>p</w:t>
      </w:r>
      <w:r w:rsidR="003F18B6">
        <w:t>23</w:t>
      </w:r>
    </w:p>
  </w:footnote>
  <w:footnote w:id="62">
    <w:p w14:paraId="714B1D61" w14:textId="42A7A0B1" w:rsidR="001F4ED3" w:rsidRPr="00D737B9" w:rsidRDefault="001F4ED3" w:rsidP="00C21658">
      <w:pPr>
        <w:pStyle w:val="FootnoteText"/>
      </w:pPr>
      <w:r>
        <w:rPr>
          <w:rStyle w:val="FootnoteReference"/>
        </w:rPr>
        <w:footnoteRef/>
      </w:r>
      <w:r>
        <w:t xml:space="preserve"> </w:t>
      </w:r>
      <w:r w:rsidR="00967F09">
        <w:t xml:space="preserve">J. G. Manning et al, </w:t>
      </w:r>
      <w:r w:rsidR="00C21658" w:rsidRPr="00C21658">
        <w:rPr>
          <w:i/>
          <w:iCs/>
        </w:rPr>
        <w:t>Volcanic suppression of Nile summer flooding</w:t>
      </w:r>
      <w:r w:rsidR="00C21658" w:rsidRPr="00C21658">
        <w:rPr>
          <w:i/>
          <w:iCs/>
        </w:rPr>
        <w:t xml:space="preserve"> </w:t>
      </w:r>
      <w:r w:rsidR="00C21658" w:rsidRPr="00C21658">
        <w:rPr>
          <w:i/>
          <w:iCs/>
        </w:rPr>
        <w:t>triggers revolt and constrains interstate conflict in</w:t>
      </w:r>
      <w:r w:rsidR="00C21658" w:rsidRPr="00C21658">
        <w:rPr>
          <w:i/>
          <w:iCs/>
        </w:rPr>
        <w:t xml:space="preserve"> </w:t>
      </w:r>
      <w:r w:rsidR="00C21658" w:rsidRPr="00C21658">
        <w:rPr>
          <w:i/>
          <w:iCs/>
        </w:rPr>
        <w:t>ancient Egypt</w:t>
      </w:r>
      <w:r w:rsidR="00C21658">
        <w:rPr>
          <w:i/>
          <w:iCs/>
        </w:rPr>
        <w:t xml:space="preserve">, </w:t>
      </w:r>
      <w:r w:rsidR="00C21658">
        <w:t xml:space="preserve">in </w:t>
      </w:r>
      <w:r w:rsidR="00D737B9">
        <w:rPr>
          <w:i/>
          <w:iCs/>
        </w:rPr>
        <w:t xml:space="preserve">Nature Communications 8 </w:t>
      </w:r>
      <w:r w:rsidR="00D737B9">
        <w:t>(</w:t>
      </w:r>
      <w:r w:rsidR="00711764">
        <w:t xml:space="preserve">Nature Communications, 2017, </w:t>
      </w:r>
      <w:hyperlink r:id="rId11" w:history="1">
        <w:r w:rsidR="0070579B" w:rsidRPr="00417CFB">
          <w:rPr>
            <w:rStyle w:val="Hyperlink"/>
          </w:rPr>
          <w:t>https://doi.org/10.1038/s41467-017-00957-y</w:t>
        </w:r>
      </w:hyperlink>
      <w:r w:rsidR="0070579B">
        <w:t xml:space="preserve">) </w:t>
      </w:r>
    </w:p>
  </w:footnote>
  <w:footnote w:id="63">
    <w:p w14:paraId="511F7BDF" w14:textId="61A175FF" w:rsidR="001F4ED3" w:rsidRPr="00AF62B9" w:rsidRDefault="001F4ED3">
      <w:pPr>
        <w:pStyle w:val="FootnoteText"/>
      </w:pPr>
      <w:r>
        <w:rPr>
          <w:rStyle w:val="FootnoteReference"/>
        </w:rPr>
        <w:footnoteRef/>
      </w:r>
      <w:r>
        <w:t xml:space="preserve"> </w:t>
      </w:r>
      <w:r w:rsidR="00AD075E">
        <w:t xml:space="preserve">C Welch, </w:t>
      </w:r>
      <w:r w:rsidR="00AF62B9" w:rsidRPr="00AF62B9">
        <w:rPr>
          <w:i/>
          <w:iCs/>
        </w:rPr>
        <w:t>How Volcanoes Caused Violent Uprisings in Cleopatra's Egypt</w:t>
      </w:r>
      <w:r w:rsidR="00AF62B9">
        <w:rPr>
          <w:i/>
          <w:iCs/>
        </w:rPr>
        <w:t xml:space="preserve">, </w:t>
      </w:r>
      <w:r w:rsidR="00AF62B9">
        <w:t>(</w:t>
      </w:r>
      <w:hyperlink r:id="rId12" w:history="1">
        <w:r w:rsidR="00AF62B9" w:rsidRPr="00417CFB">
          <w:rPr>
            <w:rStyle w:val="Hyperlink"/>
          </w:rPr>
          <w:t>https://www.nationalgeographic.com/science/article/volcanoes-Nile-flood-climate-Egypt</w:t>
        </w:r>
      </w:hyperlink>
      <w:r w:rsidR="00AF62B9">
        <w:t xml:space="preserve">) </w:t>
      </w:r>
    </w:p>
  </w:footnote>
  <w:footnote w:id="64">
    <w:p w14:paraId="510FA735" w14:textId="40913BE0" w:rsidR="001F4ED3" w:rsidRDefault="001F4ED3">
      <w:pPr>
        <w:pStyle w:val="FootnoteText"/>
      </w:pPr>
      <w:r>
        <w:rPr>
          <w:rStyle w:val="FootnoteReference"/>
        </w:rPr>
        <w:footnoteRef/>
      </w:r>
      <w:r>
        <w:t xml:space="preserve"> </w:t>
      </w:r>
      <w:r w:rsidR="00504E46">
        <w:t xml:space="preserve">Southern, </w:t>
      </w:r>
      <w:r w:rsidR="00504E46">
        <w:rPr>
          <w:i/>
          <w:iCs/>
        </w:rPr>
        <w:t>Cleopatra</w:t>
      </w:r>
      <w:r w:rsidR="001D14B1">
        <w:rPr>
          <w:i/>
          <w:iCs/>
        </w:rPr>
        <w:t>,</w:t>
      </w:r>
      <w:r w:rsidR="006F7720">
        <w:t xml:space="preserve"> </w:t>
      </w:r>
      <w:r w:rsidR="00943A0C">
        <w:t>p. 23</w:t>
      </w:r>
      <w:r w:rsidR="00504E46">
        <w:t xml:space="preserve"> </w:t>
      </w:r>
    </w:p>
  </w:footnote>
  <w:footnote w:id="65">
    <w:p w14:paraId="4E3B5A92" w14:textId="37B0C2B3" w:rsidR="00D91574" w:rsidRPr="0016436E" w:rsidRDefault="00D91574">
      <w:pPr>
        <w:pStyle w:val="FootnoteText"/>
      </w:pPr>
      <w:r>
        <w:rPr>
          <w:rStyle w:val="FootnoteReference"/>
        </w:rPr>
        <w:footnoteRef/>
      </w:r>
      <w:r>
        <w:t xml:space="preserve"> </w:t>
      </w:r>
      <w:r w:rsidR="0016436E">
        <w:rPr>
          <w:i/>
          <w:iCs/>
        </w:rPr>
        <w:t xml:space="preserve">Ibid. </w:t>
      </w:r>
      <w:r w:rsidR="00B00CB0">
        <w:t>p23</w:t>
      </w:r>
    </w:p>
  </w:footnote>
  <w:footnote w:id="66">
    <w:p w14:paraId="4CEEF1F5" w14:textId="1EDEA257" w:rsidR="00D91574" w:rsidRPr="00B00CB0" w:rsidRDefault="00D91574">
      <w:pPr>
        <w:pStyle w:val="FootnoteText"/>
      </w:pPr>
      <w:r>
        <w:rPr>
          <w:rStyle w:val="FootnoteReference"/>
        </w:rPr>
        <w:footnoteRef/>
      </w:r>
      <w:r>
        <w:t xml:space="preserve"> </w:t>
      </w:r>
      <w:r w:rsidR="00B00CB0">
        <w:rPr>
          <w:i/>
          <w:iCs/>
        </w:rPr>
        <w:t xml:space="preserve">Ibid. </w:t>
      </w:r>
      <w:r w:rsidR="00B00CB0">
        <w:t>p23</w:t>
      </w:r>
    </w:p>
  </w:footnote>
  <w:footnote w:id="67">
    <w:p w14:paraId="11E74A14" w14:textId="31B67EB3" w:rsidR="003C23AD" w:rsidRPr="00ED037C" w:rsidRDefault="003C23AD">
      <w:pPr>
        <w:pStyle w:val="FootnoteText"/>
      </w:pPr>
      <w:r>
        <w:rPr>
          <w:rStyle w:val="FootnoteReference"/>
        </w:rPr>
        <w:footnoteRef/>
      </w:r>
      <w:r>
        <w:t xml:space="preserve"> </w:t>
      </w:r>
      <w:r w:rsidR="00895A95">
        <w:t xml:space="preserve">K Zinn, </w:t>
      </w:r>
      <w:r w:rsidR="00ED037C" w:rsidRPr="00ED037C">
        <w:rPr>
          <w:i/>
          <w:iCs/>
        </w:rPr>
        <w:t>Literacy, Pharaonic Egypt</w:t>
      </w:r>
      <w:r w:rsidR="00ED037C">
        <w:rPr>
          <w:i/>
          <w:iCs/>
        </w:rPr>
        <w:t xml:space="preserve">, </w:t>
      </w:r>
      <w:r w:rsidR="00ED037C">
        <w:t>(</w:t>
      </w:r>
      <w:r w:rsidR="009A3FF0">
        <w:t>University of Wales Trinity Saint David, 2012</w:t>
      </w:r>
      <w:r w:rsidR="0028601B">
        <w:t>)</w:t>
      </w:r>
    </w:p>
  </w:footnote>
  <w:footnote w:id="68">
    <w:p w14:paraId="2CB97F77" w14:textId="075F22D3" w:rsidR="003C23AD" w:rsidRPr="0039463F" w:rsidRDefault="003C23AD">
      <w:pPr>
        <w:pStyle w:val="FootnoteText"/>
      </w:pPr>
      <w:r>
        <w:rPr>
          <w:rStyle w:val="FootnoteReference"/>
        </w:rPr>
        <w:footnoteRef/>
      </w:r>
      <w:r>
        <w:t xml:space="preserve"> </w:t>
      </w:r>
      <w:r w:rsidR="00FC0559">
        <w:t xml:space="preserve">S Fleming, </w:t>
      </w:r>
      <w:r w:rsidR="0039463F" w:rsidRPr="0039463F">
        <w:rPr>
          <w:i/>
          <w:iCs/>
        </w:rPr>
        <w:t>Science Scope: Life in Ancient Egypt: Harsh Realities</w:t>
      </w:r>
      <w:r w:rsidR="0039463F">
        <w:rPr>
          <w:i/>
          <w:iCs/>
        </w:rPr>
        <w:t>,</w:t>
      </w:r>
      <w:r w:rsidR="004D2186">
        <w:rPr>
          <w:i/>
          <w:iCs/>
        </w:rPr>
        <w:t xml:space="preserve"> </w:t>
      </w:r>
      <w:r w:rsidR="004D2186" w:rsidRPr="004D2186">
        <w:rPr>
          <w:i/>
          <w:iCs/>
        </w:rPr>
        <w:t xml:space="preserve">in </w:t>
      </w:r>
      <w:r w:rsidR="004D2186" w:rsidRPr="004D2186">
        <w:rPr>
          <w:i/>
          <w:iCs/>
        </w:rPr>
        <w:t>Archaeology 35, no. 4</w:t>
      </w:r>
      <w:r w:rsidR="004D2186" w:rsidRPr="004D2186">
        <w:t xml:space="preserve"> (1982</w:t>
      </w:r>
      <w:r w:rsidR="004D2186">
        <w:t xml:space="preserve">, Accessed </w:t>
      </w:r>
      <w:hyperlink r:id="rId13" w:history="1">
        <w:r w:rsidR="004D2186" w:rsidRPr="00417CFB">
          <w:rPr>
            <w:rStyle w:val="Hyperlink"/>
          </w:rPr>
          <w:t>http://www.jstor.org/stable/41727429</w:t>
        </w:r>
      </w:hyperlink>
      <w:r w:rsidR="004D2186">
        <w:t xml:space="preserve"> ) p.</w:t>
      </w:r>
      <w:r w:rsidR="004D2186" w:rsidRPr="004D2186">
        <w:t xml:space="preserve"> 72 </w:t>
      </w:r>
    </w:p>
  </w:footnote>
  <w:footnote w:id="69">
    <w:p w14:paraId="65E055A7" w14:textId="2E001C10" w:rsidR="003C23AD" w:rsidRPr="00EB0CFA" w:rsidRDefault="003C23AD">
      <w:pPr>
        <w:pStyle w:val="FootnoteText"/>
      </w:pPr>
      <w:r>
        <w:rPr>
          <w:rStyle w:val="FootnoteReference"/>
        </w:rPr>
        <w:footnoteRef/>
      </w:r>
      <w:r>
        <w:t xml:space="preserve"> </w:t>
      </w:r>
      <w:r w:rsidR="00EB0CFA">
        <w:t>Wallace-</w:t>
      </w:r>
      <w:proofErr w:type="spellStart"/>
      <w:r w:rsidR="00EB0CFA">
        <w:t>Hadrill</w:t>
      </w:r>
      <w:proofErr w:type="spellEnd"/>
      <w:r w:rsidR="00EB0CFA">
        <w:t xml:space="preserve"> </w:t>
      </w:r>
      <w:r w:rsidR="00EB0CFA">
        <w:rPr>
          <w:i/>
          <w:iCs/>
        </w:rPr>
        <w:t xml:space="preserve">Augustan Rome, </w:t>
      </w:r>
      <w:r w:rsidR="00EB0CFA">
        <w:t>p</w:t>
      </w:r>
      <w:r w:rsidR="005B2893">
        <w:t>11</w:t>
      </w:r>
    </w:p>
  </w:footnote>
  <w:footnote w:id="70">
    <w:p w14:paraId="250C7956" w14:textId="42447A11" w:rsidR="003C23AD" w:rsidRPr="00850E8E" w:rsidRDefault="003C23AD">
      <w:pPr>
        <w:pStyle w:val="FootnoteText"/>
      </w:pPr>
      <w:r>
        <w:rPr>
          <w:rStyle w:val="FootnoteReference"/>
        </w:rPr>
        <w:footnoteRef/>
      </w:r>
      <w:r>
        <w:t xml:space="preserve"> </w:t>
      </w:r>
      <w:r w:rsidR="00850E8E">
        <w:rPr>
          <w:i/>
          <w:iCs/>
        </w:rPr>
        <w:t xml:space="preserve">Ibid. </w:t>
      </w:r>
      <w:r w:rsidR="00850E8E">
        <w:t>15</w:t>
      </w:r>
    </w:p>
  </w:footnote>
  <w:footnote w:id="71">
    <w:p w14:paraId="04FD9C51" w14:textId="11402C5A" w:rsidR="003C23AD" w:rsidRDefault="003C23AD">
      <w:pPr>
        <w:pStyle w:val="FootnoteText"/>
      </w:pPr>
      <w:r>
        <w:rPr>
          <w:rStyle w:val="FootnoteReference"/>
        </w:rPr>
        <w:footnoteRef/>
      </w:r>
      <w:r>
        <w:t xml:space="preserve"> </w:t>
      </w:r>
      <w:r w:rsidR="00F5379C">
        <w:rPr>
          <w:i/>
          <w:iCs/>
        </w:rPr>
        <w:t xml:space="preserve">Ibid. </w:t>
      </w:r>
      <w:r w:rsidR="00F5379C">
        <w:t>15</w:t>
      </w:r>
    </w:p>
  </w:footnote>
  <w:footnote w:id="72">
    <w:p w14:paraId="11B31FFF" w14:textId="2E4F47D2" w:rsidR="006B0F21" w:rsidRPr="006635CB" w:rsidRDefault="006B0F21">
      <w:pPr>
        <w:pStyle w:val="FootnoteText"/>
      </w:pPr>
      <w:r>
        <w:rPr>
          <w:rStyle w:val="FootnoteReference"/>
        </w:rPr>
        <w:footnoteRef/>
      </w:r>
      <w:r>
        <w:t xml:space="preserve"> </w:t>
      </w:r>
      <w:r w:rsidR="006635CB">
        <w:rPr>
          <w:i/>
          <w:iCs/>
        </w:rPr>
        <w:t xml:space="preserve">Ibid. </w:t>
      </w:r>
      <w:r w:rsidR="006635CB">
        <w:t>15</w:t>
      </w:r>
    </w:p>
  </w:footnote>
  <w:footnote w:id="73">
    <w:p w14:paraId="419DD31A" w14:textId="791EF1F0" w:rsidR="006B0F21" w:rsidRPr="006635CB" w:rsidRDefault="006B0F21">
      <w:pPr>
        <w:pStyle w:val="FootnoteText"/>
      </w:pPr>
      <w:r>
        <w:rPr>
          <w:rStyle w:val="FootnoteReference"/>
        </w:rPr>
        <w:footnoteRef/>
      </w:r>
      <w:r>
        <w:t xml:space="preserve"> </w:t>
      </w:r>
      <w:r w:rsidR="006635CB">
        <w:t xml:space="preserve">Southern, </w:t>
      </w:r>
      <w:r w:rsidR="006635CB">
        <w:rPr>
          <w:i/>
          <w:iCs/>
        </w:rPr>
        <w:t xml:space="preserve">Cleopatra, </w:t>
      </w:r>
      <w:r w:rsidR="008A4648">
        <w:t>p199</w:t>
      </w:r>
    </w:p>
  </w:footnote>
  <w:footnote w:id="74">
    <w:p w14:paraId="07153F71" w14:textId="4B5A204B" w:rsidR="00736DCF" w:rsidRDefault="00736DCF">
      <w:pPr>
        <w:pStyle w:val="FootnoteText"/>
      </w:pPr>
      <w:r>
        <w:rPr>
          <w:rStyle w:val="FootnoteReference"/>
        </w:rPr>
        <w:footnoteRef/>
      </w:r>
      <w:r>
        <w:t xml:space="preserve"> </w:t>
      </w:r>
      <w:r w:rsidR="008A4648">
        <w:t>Wallace-</w:t>
      </w:r>
      <w:proofErr w:type="spellStart"/>
      <w:r w:rsidR="008A4648">
        <w:t>Hadrill</w:t>
      </w:r>
      <w:proofErr w:type="spellEnd"/>
      <w:r w:rsidR="008A4648">
        <w:t xml:space="preserve"> </w:t>
      </w:r>
      <w:r w:rsidR="008A4648">
        <w:rPr>
          <w:i/>
          <w:iCs/>
        </w:rPr>
        <w:t xml:space="preserve">Augustan Rome, </w:t>
      </w:r>
      <w:r w:rsidR="008A4648">
        <w:t>p</w:t>
      </w:r>
      <w:r w:rsidR="00F572CA">
        <w:t>15</w:t>
      </w:r>
    </w:p>
  </w:footnote>
  <w:footnote w:id="75">
    <w:p w14:paraId="1D13D0DD" w14:textId="3577A122" w:rsidR="00736DCF" w:rsidRDefault="00736DCF">
      <w:pPr>
        <w:pStyle w:val="FootnoteText"/>
      </w:pPr>
      <w:r>
        <w:rPr>
          <w:rStyle w:val="FootnoteReference"/>
        </w:rPr>
        <w:footnoteRef/>
      </w:r>
      <w:r w:rsidR="000B4227">
        <w:t xml:space="preserve"> Cas. </w:t>
      </w:r>
      <w:r w:rsidR="000B4227">
        <w:rPr>
          <w:i/>
          <w:iCs/>
        </w:rPr>
        <w:t xml:space="preserve">Roman History, </w:t>
      </w:r>
      <w:r w:rsidR="000B4227">
        <w:t>50.23. 1-3</w:t>
      </w:r>
      <w:r>
        <w:t xml:space="preserve"> </w:t>
      </w:r>
    </w:p>
  </w:footnote>
  <w:footnote w:id="76">
    <w:p w14:paraId="260F0CA6" w14:textId="494E4A85" w:rsidR="00637D5A" w:rsidRDefault="00637D5A">
      <w:pPr>
        <w:pStyle w:val="FootnoteText"/>
      </w:pPr>
      <w:r>
        <w:rPr>
          <w:rStyle w:val="FootnoteReference"/>
        </w:rPr>
        <w:footnoteRef/>
      </w:r>
      <w:r>
        <w:t xml:space="preserve"> </w:t>
      </w:r>
      <w:r w:rsidR="00977B4B">
        <w:t xml:space="preserve">Sen. </w:t>
      </w:r>
      <w:r w:rsidR="002D7503">
        <w:rPr>
          <w:rStyle w:val="reference-text"/>
          <w:i/>
          <w:iCs/>
        </w:rPr>
        <w:t>suasoriae</w:t>
      </w:r>
      <w:r w:rsidR="002D7503">
        <w:rPr>
          <w:rStyle w:val="reference-text"/>
        </w:rPr>
        <w:t xml:space="preserve"> 1.7</w:t>
      </w:r>
    </w:p>
  </w:footnote>
  <w:footnote w:id="77">
    <w:p w14:paraId="662BCFE3" w14:textId="04FF9B7E" w:rsidR="00637D5A" w:rsidRDefault="00637D5A">
      <w:pPr>
        <w:pStyle w:val="FootnoteText"/>
      </w:pPr>
      <w:r>
        <w:rPr>
          <w:rStyle w:val="FootnoteReference"/>
        </w:rPr>
        <w:footnoteRef/>
      </w:r>
      <w:r>
        <w:t xml:space="preserve"> </w:t>
      </w:r>
      <w:r w:rsidR="00C67558">
        <w:rPr>
          <w:rStyle w:val="reference-text"/>
        </w:rPr>
        <w:t xml:space="preserve">Plut. </w:t>
      </w:r>
      <w:r w:rsidR="00C67558">
        <w:rPr>
          <w:rStyle w:val="reference-text"/>
          <w:i/>
          <w:iCs/>
        </w:rPr>
        <w:t>Ant.</w:t>
      </w:r>
      <w:r w:rsidR="00C67558">
        <w:rPr>
          <w:rStyle w:val="reference-text"/>
        </w:rPr>
        <w:t xml:space="preserve"> 59</w:t>
      </w:r>
    </w:p>
  </w:footnote>
  <w:footnote w:id="78">
    <w:p w14:paraId="601BB22E" w14:textId="34B6F749" w:rsidR="00637D5A" w:rsidRDefault="00637D5A">
      <w:pPr>
        <w:pStyle w:val="FootnoteText"/>
      </w:pPr>
      <w:r>
        <w:rPr>
          <w:rStyle w:val="FootnoteReference"/>
        </w:rPr>
        <w:footnoteRef/>
      </w:r>
      <w:r>
        <w:t xml:space="preserve"> </w:t>
      </w:r>
      <w:proofErr w:type="spellStart"/>
      <w:r w:rsidR="00D42728">
        <w:t>Kibin</w:t>
      </w:r>
      <w:proofErr w:type="spellEnd"/>
      <w:r w:rsidR="00D42728">
        <w:t xml:space="preserve">. </w:t>
      </w:r>
      <w:r w:rsidR="00D42728">
        <w:rPr>
          <w:rStyle w:val="Emphasis"/>
        </w:rPr>
        <w:t xml:space="preserve">The bias of </w:t>
      </w:r>
      <w:proofErr w:type="spellStart"/>
      <w:r w:rsidR="00D42728">
        <w:rPr>
          <w:rStyle w:val="Emphasis"/>
        </w:rPr>
        <w:t>plutarch</w:t>
      </w:r>
      <w:proofErr w:type="spellEnd"/>
      <w:r w:rsidR="00D42728">
        <w:rPr>
          <w:rStyle w:val="Emphasis"/>
        </w:rPr>
        <w:t xml:space="preserve"> in his appraisal of </w:t>
      </w:r>
      <w:proofErr w:type="spellStart"/>
      <w:r w:rsidR="00D42728">
        <w:rPr>
          <w:rStyle w:val="Emphasis"/>
        </w:rPr>
        <w:t>caesar</w:t>
      </w:r>
      <w:proofErr w:type="spellEnd"/>
      <w:r w:rsidR="00D42728">
        <w:rPr>
          <w:rStyle w:val="Emphasis"/>
        </w:rPr>
        <w:t xml:space="preserve"> as the model roman citizen and ruler</w:t>
      </w:r>
      <w:r w:rsidR="00D42728">
        <w:t xml:space="preserve">. </w:t>
      </w:r>
      <w:r w:rsidR="00D42728">
        <w:t xml:space="preserve">(2023, </w:t>
      </w:r>
      <w:hyperlink r:id="rId14" w:history="1">
        <w:r w:rsidR="00D42728" w:rsidRPr="00417CFB">
          <w:rPr>
            <w:rStyle w:val="Hyperlink"/>
          </w:rPr>
          <w:t>http://www.kibin.com/essay-examples/the-bias-of-plutarch-in-his-appraisal-of-caesar-as-the-model-roman-citizen-and-ruler-htltrILt</w:t>
        </w:r>
      </w:hyperlink>
      <w:r w:rsidR="00D42728">
        <w:t>, Accessed 25/3/2023)</w:t>
      </w:r>
    </w:p>
  </w:footnote>
  <w:footnote w:id="79">
    <w:p w14:paraId="16A22BCD" w14:textId="34AA9BB1" w:rsidR="00970D69" w:rsidRDefault="00970D69">
      <w:pPr>
        <w:pStyle w:val="FootnoteText"/>
      </w:pPr>
      <w:r>
        <w:rPr>
          <w:rStyle w:val="FootnoteReference"/>
        </w:rPr>
        <w:footnoteRef/>
      </w:r>
      <w:r w:rsidR="0086659D">
        <w:t xml:space="preserve"> </w:t>
      </w:r>
      <w:r w:rsidR="004638F4">
        <w:t xml:space="preserve">Southern, </w:t>
      </w:r>
      <w:r w:rsidR="004638F4">
        <w:rPr>
          <w:i/>
          <w:iCs/>
        </w:rPr>
        <w:t xml:space="preserve">Cleopatra, </w:t>
      </w:r>
      <w:r w:rsidR="004638F4">
        <w:t>p</w:t>
      </w:r>
      <w:r w:rsidR="00556D23">
        <w:t>7</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7C071F"/>
    <w:multiLevelType w:val="hybridMultilevel"/>
    <w:tmpl w:val="D00E6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9181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602"/>
    <w:rsid w:val="00002D67"/>
    <w:rsid w:val="00004123"/>
    <w:rsid w:val="00020D84"/>
    <w:rsid w:val="00027A2F"/>
    <w:rsid w:val="000441F0"/>
    <w:rsid w:val="00045559"/>
    <w:rsid w:val="00054D11"/>
    <w:rsid w:val="00057E31"/>
    <w:rsid w:val="00060BED"/>
    <w:rsid w:val="0007590D"/>
    <w:rsid w:val="00083391"/>
    <w:rsid w:val="00095636"/>
    <w:rsid w:val="00096419"/>
    <w:rsid w:val="000A02C1"/>
    <w:rsid w:val="000A231C"/>
    <w:rsid w:val="000B4227"/>
    <w:rsid w:val="000B5977"/>
    <w:rsid w:val="000E123E"/>
    <w:rsid w:val="0012286B"/>
    <w:rsid w:val="001313F7"/>
    <w:rsid w:val="00141491"/>
    <w:rsid w:val="00145108"/>
    <w:rsid w:val="0016145F"/>
    <w:rsid w:val="0016436E"/>
    <w:rsid w:val="00165880"/>
    <w:rsid w:val="00174BF2"/>
    <w:rsid w:val="00175C38"/>
    <w:rsid w:val="00180324"/>
    <w:rsid w:val="00181D12"/>
    <w:rsid w:val="00190D5A"/>
    <w:rsid w:val="001A3901"/>
    <w:rsid w:val="001C005F"/>
    <w:rsid w:val="001D14B1"/>
    <w:rsid w:val="001F4ED3"/>
    <w:rsid w:val="0022396E"/>
    <w:rsid w:val="002270A6"/>
    <w:rsid w:val="00232FCF"/>
    <w:rsid w:val="00236F83"/>
    <w:rsid w:val="00244891"/>
    <w:rsid w:val="002512EA"/>
    <w:rsid w:val="00254B94"/>
    <w:rsid w:val="002749BC"/>
    <w:rsid w:val="0028601B"/>
    <w:rsid w:val="0029152E"/>
    <w:rsid w:val="002A1E0A"/>
    <w:rsid w:val="002D5185"/>
    <w:rsid w:val="002D55CC"/>
    <w:rsid w:val="002D69F7"/>
    <w:rsid w:val="002D7503"/>
    <w:rsid w:val="002F5033"/>
    <w:rsid w:val="003019E1"/>
    <w:rsid w:val="00301EFD"/>
    <w:rsid w:val="003136B5"/>
    <w:rsid w:val="00320121"/>
    <w:rsid w:val="00325547"/>
    <w:rsid w:val="00325E1D"/>
    <w:rsid w:val="00327F28"/>
    <w:rsid w:val="00330130"/>
    <w:rsid w:val="0033196D"/>
    <w:rsid w:val="00332858"/>
    <w:rsid w:val="00334B1D"/>
    <w:rsid w:val="0039463F"/>
    <w:rsid w:val="00396043"/>
    <w:rsid w:val="003A04A0"/>
    <w:rsid w:val="003A3FB3"/>
    <w:rsid w:val="003A6810"/>
    <w:rsid w:val="003B15C7"/>
    <w:rsid w:val="003C23AD"/>
    <w:rsid w:val="003D6F42"/>
    <w:rsid w:val="003E2389"/>
    <w:rsid w:val="003E4569"/>
    <w:rsid w:val="003E746E"/>
    <w:rsid w:val="003F18B6"/>
    <w:rsid w:val="003F438D"/>
    <w:rsid w:val="0040081F"/>
    <w:rsid w:val="0043046F"/>
    <w:rsid w:val="004342E5"/>
    <w:rsid w:val="0044168A"/>
    <w:rsid w:val="00462971"/>
    <w:rsid w:val="004638F4"/>
    <w:rsid w:val="00466D21"/>
    <w:rsid w:val="0046789D"/>
    <w:rsid w:val="004813FE"/>
    <w:rsid w:val="00481931"/>
    <w:rsid w:val="00486684"/>
    <w:rsid w:val="004963E0"/>
    <w:rsid w:val="004B1D76"/>
    <w:rsid w:val="004B6770"/>
    <w:rsid w:val="004C249F"/>
    <w:rsid w:val="004D2186"/>
    <w:rsid w:val="004D6ACA"/>
    <w:rsid w:val="004E19DD"/>
    <w:rsid w:val="004E4C0B"/>
    <w:rsid w:val="004F2EAA"/>
    <w:rsid w:val="00504E46"/>
    <w:rsid w:val="00543B9E"/>
    <w:rsid w:val="005440BD"/>
    <w:rsid w:val="0055514A"/>
    <w:rsid w:val="00556D23"/>
    <w:rsid w:val="00562A3D"/>
    <w:rsid w:val="00565732"/>
    <w:rsid w:val="00573C00"/>
    <w:rsid w:val="00587E52"/>
    <w:rsid w:val="005B2893"/>
    <w:rsid w:val="005B40ED"/>
    <w:rsid w:val="005D01F3"/>
    <w:rsid w:val="0060116C"/>
    <w:rsid w:val="006055E2"/>
    <w:rsid w:val="006379FB"/>
    <w:rsid w:val="00637D5A"/>
    <w:rsid w:val="00644886"/>
    <w:rsid w:val="006450E6"/>
    <w:rsid w:val="00662337"/>
    <w:rsid w:val="006635CB"/>
    <w:rsid w:val="00670718"/>
    <w:rsid w:val="00680EB8"/>
    <w:rsid w:val="0068183B"/>
    <w:rsid w:val="00691008"/>
    <w:rsid w:val="006B0EBB"/>
    <w:rsid w:val="006B0F21"/>
    <w:rsid w:val="006B246B"/>
    <w:rsid w:val="006E3E60"/>
    <w:rsid w:val="006F67B4"/>
    <w:rsid w:val="006F7720"/>
    <w:rsid w:val="0070579B"/>
    <w:rsid w:val="00707B6E"/>
    <w:rsid w:val="00711764"/>
    <w:rsid w:val="007239CE"/>
    <w:rsid w:val="00736DCF"/>
    <w:rsid w:val="00742064"/>
    <w:rsid w:val="00743901"/>
    <w:rsid w:val="007538C1"/>
    <w:rsid w:val="00757B95"/>
    <w:rsid w:val="00771B0E"/>
    <w:rsid w:val="007838F1"/>
    <w:rsid w:val="007869BC"/>
    <w:rsid w:val="00791FBC"/>
    <w:rsid w:val="00793F8A"/>
    <w:rsid w:val="00797967"/>
    <w:rsid w:val="007A3B9D"/>
    <w:rsid w:val="007B0B41"/>
    <w:rsid w:val="007B3C57"/>
    <w:rsid w:val="007B66D8"/>
    <w:rsid w:val="007B7E0E"/>
    <w:rsid w:val="007C4684"/>
    <w:rsid w:val="007E26A2"/>
    <w:rsid w:val="008029C4"/>
    <w:rsid w:val="008138B5"/>
    <w:rsid w:val="00821247"/>
    <w:rsid w:val="0083723D"/>
    <w:rsid w:val="00850E8E"/>
    <w:rsid w:val="00861369"/>
    <w:rsid w:val="0086659D"/>
    <w:rsid w:val="00872232"/>
    <w:rsid w:val="00873048"/>
    <w:rsid w:val="0087370E"/>
    <w:rsid w:val="00895A95"/>
    <w:rsid w:val="008A0D29"/>
    <w:rsid w:val="008A4648"/>
    <w:rsid w:val="008B4183"/>
    <w:rsid w:val="008D4E59"/>
    <w:rsid w:val="008D5871"/>
    <w:rsid w:val="008D7602"/>
    <w:rsid w:val="009155ED"/>
    <w:rsid w:val="0092479B"/>
    <w:rsid w:val="009411BC"/>
    <w:rsid w:val="009417E6"/>
    <w:rsid w:val="00943A0C"/>
    <w:rsid w:val="009555F8"/>
    <w:rsid w:val="00967F09"/>
    <w:rsid w:val="00970D69"/>
    <w:rsid w:val="0097143C"/>
    <w:rsid w:val="009762D0"/>
    <w:rsid w:val="00977B4B"/>
    <w:rsid w:val="009A0524"/>
    <w:rsid w:val="009A3FF0"/>
    <w:rsid w:val="009B3C59"/>
    <w:rsid w:val="009C3F90"/>
    <w:rsid w:val="009D534B"/>
    <w:rsid w:val="009E27B8"/>
    <w:rsid w:val="00A0755A"/>
    <w:rsid w:val="00A15D17"/>
    <w:rsid w:val="00A24561"/>
    <w:rsid w:val="00A32A20"/>
    <w:rsid w:val="00A52CF8"/>
    <w:rsid w:val="00A5326C"/>
    <w:rsid w:val="00A62F8A"/>
    <w:rsid w:val="00A654F4"/>
    <w:rsid w:val="00A7369B"/>
    <w:rsid w:val="00A73A0D"/>
    <w:rsid w:val="00A84602"/>
    <w:rsid w:val="00A93C84"/>
    <w:rsid w:val="00AA43D2"/>
    <w:rsid w:val="00AB03E0"/>
    <w:rsid w:val="00AD075E"/>
    <w:rsid w:val="00AD606B"/>
    <w:rsid w:val="00AD7D74"/>
    <w:rsid w:val="00AF62B9"/>
    <w:rsid w:val="00B00391"/>
    <w:rsid w:val="00B00CB0"/>
    <w:rsid w:val="00B146A4"/>
    <w:rsid w:val="00B21B4D"/>
    <w:rsid w:val="00B56C2E"/>
    <w:rsid w:val="00B66187"/>
    <w:rsid w:val="00B72A50"/>
    <w:rsid w:val="00B72D6C"/>
    <w:rsid w:val="00B74923"/>
    <w:rsid w:val="00B85D4F"/>
    <w:rsid w:val="00BA3902"/>
    <w:rsid w:val="00BB0B45"/>
    <w:rsid w:val="00BC3D20"/>
    <w:rsid w:val="00BD1F29"/>
    <w:rsid w:val="00BE1DAA"/>
    <w:rsid w:val="00C0033E"/>
    <w:rsid w:val="00C027B8"/>
    <w:rsid w:val="00C11BC1"/>
    <w:rsid w:val="00C13633"/>
    <w:rsid w:val="00C17302"/>
    <w:rsid w:val="00C211E1"/>
    <w:rsid w:val="00C21658"/>
    <w:rsid w:val="00C3360C"/>
    <w:rsid w:val="00C67558"/>
    <w:rsid w:val="00C75403"/>
    <w:rsid w:val="00C76F7E"/>
    <w:rsid w:val="00C91F7D"/>
    <w:rsid w:val="00C92189"/>
    <w:rsid w:val="00C930AE"/>
    <w:rsid w:val="00C94098"/>
    <w:rsid w:val="00CB0F00"/>
    <w:rsid w:val="00CB7F3B"/>
    <w:rsid w:val="00CD5932"/>
    <w:rsid w:val="00D05AAD"/>
    <w:rsid w:val="00D0638E"/>
    <w:rsid w:val="00D120D1"/>
    <w:rsid w:val="00D126DC"/>
    <w:rsid w:val="00D12DD3"/>
    <w:rsid w:val="00D1407F"/>
    <w:rsid w:val="00D2486F"/>
    <w:rsid w:val="00D42728"/>
    <w:rsid w:val="00D539B5"/>
    <w:rsid w:val="00D60B2D"/>
    <w:rsid w:val="00D610B1"/>
    <w:rsid w:val="00D737B9"/>
    <w:rsid w:val="00D82654"/>
    <w:rsid w:val="00D91574"/>
    <w:rsid w:val="00DA5E66"/>
    <w:rsid w:val="00DA7690"/>
    <w:rsid w:val="00DB3827"/>
    <w:rsid w:val="00DB4675"/>
    <w:rsid w:val="00DC0A4E"/>
    <w:rsid w:val="00DE05D9"/>
    <w:rsid w:val="00DE3F2A"/>
    <w:rsid w:val="00DF78DA"/>
    <w:rsid w:val="00E003A1"/>
    <w:rsid w:val="00E16E28"/>
    <w:rsid w:val="00E34278"/>
    <w:rsid w:val="00E4208C"/>
    <w:rsid w:val="00E43646"/>
    <w:rsid w:val="00E526FC"/>
    <w:rsid w:val="00E55A7C"/>
    <w:rsid w:val="00E62ED3"/>
    <w:rsid w:val="00E71B19"/>
    <w:rsid w:val="00EB0CFA"/>
    <w:rsid w:val="00EB4E71"/>
    <w:rsid w:val="00EB5629"/>
    <w:rsid w:val="00EB6095"/>
    <w:rsid w:val="00ED037C"/>
    <w:rsid w:val="00EE1289"/>
    <w:rsid w:val="00EF2041"/>
    <w:rsid w:val="00EF3F41"/>
    <w:rsid w:val="00F13B39"/>
    <w:rsid w:val="00F22A3F"/>
    <w:rsid w:val="00F2785A"/>
    <w:rsid w:val="00F36985"/>
    <w:rsid w:val="00F37021"/>
    <w:rsid w:val="00F37E61"/>
    <w:rsid w:val="00F4018A"/>
    <w:rsid w:val="00F40447"/>
    <w:rsid w:val="00F50C04"/>
    <w:rsid w:val="00F5379C"/>
    <w:rsid w:val="00F572CA"/>
    <w:rsid w:val="00F65AFA"/>
    <w:rsid w:val="00F66E73"/>
    <w:rsid w:val="00F800DA"/>
    <w:rsid w:val="00F813E5"/>
    <w:rsid w:val="00F8159A"/>
    <w:rsid w:val="00F866A9"/>
    <w:rsid w:val="00F92E34"/>
    <w:rsid w:val="00F95281"/>
    <w:rsid w:val="00F96301"/>
    <w:rsid w:val="00FA2DA6"/>
    <w:rsid w:val="00FC0559"/>
    <w:rsid w:val="00FC3B05"/>
    <w:rsid w:val="00FE56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C4165"/>
  <w15:chartTrackingRefBased/>
  <w15:docId w15:val="{E468B454-F688-40E7-B841-28ACB99BC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E526FC"/>
    <w:pPr>
      <w:spacing w:after="0" w:line="240" w:lineRule="auto"/>
    </w:pPr>
    <w:rPr>
      <w:sz w:val="20"/>
      <w:szCs w:val="20"/>
    </w:rPr>
  </w:style>
  <w:style w:type="character" w:customStyle="1" w:styleId="FootnoteTextChar">
    <w:name w:val="Footnote Text Char"/>
    <w:basedOn w:val="DefaultParagraphFont"/>
    <w:link w:val="FootnoteText"/>
    <w:uiPriority w:val="99"/>
    <w:rsid w:val="00E526FC"/>
    <w:rPr>
      <w:sz w:val="20"/>
      <w:szCs w:val="20"/>
    </w:rPr>
  </w:style>
  <w:style w:type="character" w:styleId="FootnoteReference">
    <w:name w:val="footnote reference"/>
    <w:basedOn w:val="DefaultParagraphFont"/>
    <w:uiPriority w:val="99"/>
    <w:semiHidden/>
    <w:unhideWhenUsed/>
    <w:rsid w:val="00E526FC"/>
    <w:rPr>
      <w:vertAlign w:val="superscript"/>
    </w:rPr>
  </w:style>
  <w:style w:type="paragraph" w:styleId="ListParagraph">
    <w:name w:val="List Paragraph"/>
    <w:basedOn w:val="Normal"/>
    <w:uiPriority w:val="34"/>
    <w:qFormat/>
    <w:rsid w:val="003A3FB3"/>
    <w:pPr>
      <w:ind w:left="720"/>
      <w:contextualSpacing/>
    </w:pPr>
  </w:style>
  <w:style w:type="character" w:styleId="Hyperlink">
    <w:name w:val="Hyperlink"/>
    <w:basedOn w:val="DefaultParagraphFont"/>
    <w:uiPriority w:val="99"/>
    <w:unhideWhenUsed/>
    <w:rsid w:val="004D2186"/>
    <w:rPr>
      <w:color w:val="0563C1" w:themeColor="hyperlink"/>
      <w:u w:val="single"/>
    </w:rPr>
  </w:style>
  <w:style w:type="character" w:styleId="UnresolvedMention">
    <w:name w:val="Unresolved Mention"/>
    <w:basedOn w:val="DefaultParagraphFont"/>
    <w:uiPriority w:val="99"/>
    <w:semiHidden/>
    <w:unhideWhenUsed/>
    <w:rsid w:val="004D2186"/>
    <w:rPr>
      <w:color w:val="605E5C"/>
      <w:shd w:val="clear" w:color="auto" w:fill="E1DFDD"/>
    </w:rPr>
  </w:style>
  <w:style w:type="character" w:customStyle="1" w:styleId="citation-widgetcitation">
    <w:name w:val="citation-widget__citation"/>
    <w:basedOn w:val="DefaultParagraphFont"/>
    <w:rsid w:val="00670718"/>
  </w:style>
  <w:style w:type="character" w:styleId="Emphasis">
    <w:name w:val="Emphasis"/>
    <w:basedOn w:val="DefaultParagraphFont"/>
    <w:uiPriority w:val="20"/>
    <w:qFormat/>
    <w:rsid w:val="00C75403"/>
    <w:rPr>
      <w:i/>
      <w:iCs/>
    </w:rPr>
  </w:style>
  <w:style w:type="character" w:styleId="FollowedHyperlink">
    <w:name w:val="FollowedHyperlink"/>
    <w:basedOn w:val="DefaultParagraphFont"/>
    <w:uiPriority w:val="99"/>
    <w:semiHidden/>
    <w:unhideWhenUsed/>
    <w:rsid w:val="00BE1DAA"/>
    <w:rPr>
      <w:color w:val="954F72" w:themeColor="followedHyperlink"/>
      <w:u w:val="single"/>
    </w:rPr>
  </w:style>
  <w:style w:type="character" w:customStyle="1" w:styleId="reference-text">
    <w:name w:val="reference-text"/>
    <w:basedOn w:val="DefaultParagraphFont"/>
    <w:rsid w:val="002D7503"/>
  </w:style>
  <w:style w:type="character" w:customStyle="1" w:styleId="larger">
    <w:name w:val="larger"/>
    <w:basedOn w:val="DefaultParagraphFont"/>
    <w:rsid w:val="000A02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530090">
      <w:bodyDiv w:val="1"/>
      <w:marLeft w:val="0"/>
      <w:marRight w:val="0"/>
      <w:marTop w:val="0"/>
      <w:marBottom w:val="0"/>
      <w:divBdr>
        <w:top w:val="none" w:sz="0" w:space="0" w:color="auto"/>
        <w:left w:val="none" w:sz="0" w:space="0" w:color="auto"/>
        <w:bottom w:val="none" w:sz="0" w:space="0" w:color="auto"/>
        <w:right w:val="none" w:sz="0" w:space="0" w:color="auto"/>
      </w:divBdr>
    </w:div>
    <w:div w:id="628631358">
      <w:bodyDiv w:val="1"/>
      <w:marLeft w:val="0"/>
      <w:marRight w:val="0"/>
      <w:marTop w:val="0"/>
      <w:marBottom w:val="0"/>
      <w:divBdr>
        <w:top w:val="none" w:sz="0" w:space="0" w:color="auto"/>
        <w:left w:val="none" w:sz="0" w:space="0" w:color="auto"/>
        <w:bottom w:val="none" w:sz="0" w:space="0" w:color="auto"/>
        <w:right w:val="none" w:sz="0" w:space="0" w:color="auto"/>
      </w:divBdr>
      <w:divsChild>
        <w:div w:id="141123338">
          <w:marLeft w:val="0"/>
          <w:marRight w:val="0"/>
          <w:marTop w:val="0"/>
          <w:marBottom w:val="0"/>
          <w:divBdr>
            <w:top w:val="none" w:sz="0" w:space="0" w:color="auto"/>
            <w:left w:val="none" w:sz="0" w:space="0" w:color="auto"/>
            <w:bottom w:val="none" w:sz="0" w:space="0" w:color="auto"/>
            <w:right w:val="none" w:sz="0" w:space="0" w:color="auto"/>
          </w:divBdr>
        </w:div>
      </w:divsChild>
    </w:div>
    <w:div w:id="1842892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2307/991403.%20Accessed%2024%20Mar.%202023" TargetMode="External"/><Relationship Id="rId18" Type="http://schemas.openxmlformats.org/officeDocument/2006/relationships/hyperlink" Target="https://www.britannica.com/event/Battle-of-Actium-ancient-Roman-history" TargetMode="External"/><Relationship Id="rId3" Type="http://schemas.openxmlformats.org/officeDocument/2006/relationships/customXml" Target="../customXml/item3.xml"/><Relationship Id="rId21" Type="http://schemas.openxmlformats.org/officeDocument/2006/relationships/hyperlink" Target="https://doi.org/10.1093/acrefore/9780199381135.013.6829" TargetMode="External"/><Relationship Id="rId7" Type="http://schemas.openxmlformats.org/officeDocument/2006/relationships/webSettings" Target="webSettings.xml"/><Relationship Id="rId12" Type="http://schemas.openxmlformats.org/officeDocument/2006/relationships/hyperlink" Target="http://www.jstor.org/stable/41727429" TargetMode="External"/><Relationship Id="rId17" Type="http://schemas.openxmlformats.org/officeDocument/2006/relationships/hyperlink" Target="https://www.nationalgeographic.com/science/article/volcanoes-Nile-flood-climate-Egyp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jstor.org/stable/24591932" TargetMode="External"/><Relationship Id="rId20" Type="http://schemas.openxmlformats.org/officeDocument/2006/relationships/hyperlink" Target="https://www.history.com/this-day-in-history/the-battle-of-actiu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jstor.org/stable/41591641"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doi.org/10.1038/s41467-017-00957-y" TargetMode="External"/><Relationship Id="rId23" Type="http://schemas.openxmlformats.org/officeDocument/2006/relationships/hyperlink" Target="https://www.britishmuseum.org/collection/object/C_1866-1201-4189" TargetMode="External"/><Relationship Id="rId10" Type="http://schemas.openxmlformats.org/officeDocument/2006/relationships/hyperlink" Target="http://www.perseus.tufts.edu/hopper/text?doc=urn:cts:latinLit:phi0978.phi001.perseus-eng1:9.58" TargetMode="External"/><Relationship Id="rId19" Type="http://schemas.openxmlformats.org/officeDocument/2006/relationships/hyperlink" Target="https://www.express.co.uk/expressyourself/191756/The-Real-Antony-and-Cleopatr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kibin.com/essay-examples/the-bias-of-plutarch-in-his-appraisal-of-caesar-as-the-model-roman-citizen-and-ruler-htltrILt" TargetMode="External"/><Relationship Id="rId22" Type="http://schemas.openxmlformats.org/officeDocument/2006/relationships/hyperlink" Target="https://www.thoughtco.com/roman-civil-wars-battle-of-actium-2361202"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britishmuseum.org/collection/object/C_1866-1201-4189" TargetMode="External"/><Relationship Id="rId13" Type="http://schemas.openxmlformats.org/officeDocument/2006/relationships/hyperlink" Target="http://www.jstor.org/stable/41727429" TargetMode="External"/><Relationship Id="rId3" Type="http://schemas.openxmlformats.org/officeDocument/2006/relationships/hyperlink" Target="https://doi.org/10.2307/991403.%20Accessed%2024%20Mar.%202023" TargetMode="External"/><Relationship Id="rId7" Type="http://schemas.openxmlformats.org/officeDocument/2006/relationships/hyperlink" Target="http://www.jstor.org/stable/24591932" TargetMode="External"/><Relationship Id="rId12" Type="http://schemas.openxmlformats.org/officeDocument/2006/relationships/hyperlink" Target="https://www.nationalgeographic.com/science/article/volcanoes-Nile-flood-climate-Egypt" TargetMode="External"/><Relationship Id="rId2" Type="http://schemas.openxmlformats.org/officeDocument/2006/relationships/hyperlink" Target="https://www.history.com/this-day-in-history/the-battle-of-actium" TargetMode="External"/><Relationship Id="rId1" Type="http://schemas.openxmlformats.org/officeDocument/2006/relationships/hyperlink" Target="https://www.britannica.com/event/Battle-of-Actium-ancient-Roman-history" TargetMode="External"/><Relationship Id="rId6" Type="http://schemas.openxmlformats.org/officeDocument/2006/relationships/hyperlink" Target="https://www.express.co.uk/expressyourself/191756/The-Real-Antony-and-Cleopatra" TargetMode="External"/><Relationship Id="rId11" Type="http://schemas.openxmlformats.org/officeDocument/2006/relationships/hyperlink" Target="https://doi.org/10.1038/s41467-017-00957-y" TargetMode="External"/><Relationship Id="rId5" Type="http://schemas.openxmlformats.org/officeDocument/2006/relationships/hyperlink" Target="https://www.nbcnews.com/id/wbna38536846" TargetMode="External"/><Relationship Id="rId10" Type="http://schemas.openxmlformats.org/officeDocument/2006/relationships/hyperlink" Target="https://doi.org/10.1093/acrefore/9780199381135.013.6829" TargetMode="External"/><Relationship Id="rId4" Type="http://schemas.openxmlformats.org/officeDocument/2006/relationships/hyperlink" Target="https://www.thoughtco.com/roman-civil-wars-battle-of-actium-2361202" TargetMode="External"/><Relationship Id="rId9" Type="http://schemas.openxmlformats.org/officeDocument/2006/relationships/hyperlink" Target="http://www.jstor.org/stable/41591641" TargetMode="External"/><Relationship Id="rId14" Type="http://schemas.openxmlformats.org/officeDocument/2006/relationships/hyperlink" Target="http://www.kibin.com/essay-examples/the-bias-of-plutarch-in-his-appraisal-of-caesar-as-the-model-roman-citizen-and-ruler-htltr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9" ma:contentTypeDescription="Create a new document." ma:contentTypeScope="" ma:versionID="bdb09e738f7824e8f86236b42e253dc9">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da3f6df501e1edcb52ee79863b72c043"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5B3C49-A9F5-4784-A96B-F727BD4B10A1}">
  <ds:schemaRefs>
    <ds:schemaRef ds:uri="http://schemas.microsoft.com/sharepoint/v3/contenttype/forms"/>
  </ds:schemaRefs>
</ds:datastoreItem>
</file>

<file path=customXml/itemProps2.xml><?xml version="1.0" encoding="utf-8"?>
<ds:datastoreItem xmlns:ds="http://schemas.openxmlformats.org/officeDocument/2006/customXml" ds:itemID="{C05A0FDF-767F-4F48-BD3D-3C2DFF2F1EE8}">
  <ds:schemaRefs>
    <ds:schemaRef ds:uri="http://purl.org/dc/elements/1.1/"/>
    <ds:schemaRef ds:uri="http://www.w3.org/XML/1998/namespace"/>
    <ds:schemaRef ds:uri="http://schemas.microsoft.com/office/2006/documentManagement/types"/>
    <ds:schemaRef ds:uri="http://schemas.microsoft.com/office/2006/metadata/properties"/>
    <ds:schemaRef ds:uri="http://purl.org/dc/dcmitype/"/>
    <ds:schemaRef ds:uri="95817cb9-f0eb-4f4d-892c-47ab9f8957c0"/>
    <ds:schemaRef ds:uri="http://schemas.openxmlformats.org/package/2006/metadata/core-properties"/>
    <ds:schemaRef ds:uri="http://purl.org/dc/terms/"/>
    <ds:schemaRef ds:uri="http://schemas.microsoft.com/office/infopath/2007/PartnerControls"/>
    <ds:schemaRef ds:uri="9823f8e4-81f3-4a59-a026-c1a9717271fd"/>
  </ds:schemaRefs>
</ds:datastoreItem>
</file>

<file path=customXml/itemProps3.xml><?xml version="1.0" encoding="utf-8"?>
<ds:datastoreItem xmlns:ds="http://schemas.openxmlformats.org/officeDocument/2006/customXml" ds:itemID="{749934DC-83C3-4EFE-85D0-FAF5E51223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8</Pages>
  <Words>3273</Words>
  <Characters>18662</Characters>
  <Application>Microsoft Office Word</Application>
  <DocSecurity>0</DocSecurity>
  <Lines>155</Lines>
  <Paragraphs>43</Paragraphs>
  <ScaleCrop>false</ScaleCrop>
  <Company/>
  <LinksUpToDate>false</LinksUpToDate>
  <CharactersWithSpaces>21892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Bone (2103272)</dc:creator>
  <cp:keywords/>
  <dc:description/>
  <cp:lastModifiedBy>Rachael</cp:lastModifiedBy>
  <cp:revision>289</cp:revision>
  <dcterms:created xsi:type="dcterms:W3CDTF">2023-03-24T17:42:00Z</dcterms:created>
  <dcterms:modified xsi:type="dcterms:W3CDTF">2023-03-25T01:01:00Z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