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EA7497" w14:textId="16F2FE9B" w:rsidR="000C2E39" w:rsidRPr="00121BCB" w:rsidRDefault="000C2E39" w:rsidP="002E545C">
      <w:r w:rsidRPr="00121BCB">
        <w:t>Stephen Hadley</w:t>
      </w:r>
      <w:r w:rsidR="00121BCB">
        <w:t xml:space="preserve"> - </w:t>
      </w:r>
      <w:r w:rsidRPr="00121BCB">
        <w:t>P1</w:t>
      </w:r>
      <w:r w:rsidR="00121BCB" w:rsidRPr="00121BCB">
        <w:t>709675</w:t>
      </w:r>
    </w:p>
    <w:p w14:paraId="2564EFF2" w14:textId="5B0C3F6F" w:rsidR="002E545C" w:rsidRDefault="002E545C" w:rsidP="002E545C">
      <w:pPr>
        <w:rPr>
          <w:b/>
          <w:bCs/>
        </w:rPr>
      </w:pPr>
      <w:r w:rsidRPr="000C2E39">
        <w:rPr>
          <w:b/>
          <w:bCs/>
        </w:rPr>
        <w:t>Describe and critically evaluate the philosophical worldview that underpins your research, justifying why it is appropriate. Present a plan for an appropriate data collection process and associated analysis of the data, reflecting on its strengths and limitations.</w:t>
      </w:r>
      <w:r w:rsidR="000F27B7" w:rsidRPr="000C2E39">
        <w:rPr>
          <w:b/>
          <w:bCs/>
        </w:rPr>
        <w:t xml:space="preserve"> </w:t>
      </w:r>
    </w:p>
    <w:p w14:paraId="6F7002D4" w14:textId="55BBCBFD" w:rsidR="007545D2" w:rsidRDefault="007545D2" w:rsidP="000C2E39">
      <w:pPr>
        <w:spacing w:line="240" w:lineRule="auto"/>
      </w:pPr>
      <w:r w:rsidRPr="00121BCB">
        <w:t>Contents</w:t>
      </w:r>
    </w:p>
    <w:p w14:paraId="54AE71E8" w14:textId="0D811E20" w:rsidR="007545D2" w:rsidRDefault="007545D2" w:rsidP="000C2E39">
      <w:pPr>
        <w:pStyle w:val="ListParagraph"/>
        <w:numPr>
          <w:ilvl w:val="0"/>
          <w:numId w:val="4"/>
        </w:numPr>
        <w:spacing w:line="360" w:lineRule="auto"/>
        <w:ind w:left="350"/>
        <w:rPr>
          <w:u w:val="single"/>
        </w:rPr>
      </w:pPr>
      <w:r w:rsidRPr="000C2E39">
        <w:rPr>
          <w:u w:val="single"/>
        </w:rPr>
        <w:t>Introduction</w:t>
      </w:r>
    </w:p>
    <w:p w14:paraId="09C2ACFE" w14:textId="77777777" w:rsidR="000C2E39" w:rsidRPr="000C2E39" w:rsidRDefault="000C2E39" w:rsidP="000C2E39">
      <w:pPr>
        <w:pStyle w:val="ListParagraph"/>
        <w:spacing w:line="360" w:lineRule="auto"/>
        <w:ind w:left="350"/>
        <w:rPr>
          <w:u w:val="single"/>
        </w:rPr>
      </w:pPr>
    </w:p>
    <w:p w14:paraId="6D5914D5" w14:textId="2B56739E" w:rsidR="007545D2" w:rsidRPr="000C2E39" w:rsidRDefault="007545D2" w:rsidP="000C2E39">
      <w:pPr>
        <w:pStyle w:val="ListParagraph"/>
        <w:numPr>
          <w:ilvl w:val="0"/>
          <w:numId w:val="4"/>
        </w:numPr>
        <w:spacing w:line="360" w:lineRule="auto"/>
        <w:ind w:left="350"/>
        <w:rPr>
          <w:u w:val="single"/>
        </w:rPr>
      </w:pPr>
      <w:r w:rsidRPr="000C2E39">
        <w:rPr>
          <w:u w:val="single"/>
        </w:rPr>
        <w:t>Research Design / Methodology.</w:t>
      </w:r>
    </w:p>
    <w:p w14:paraId="6E51D1BF" w14:textId="4DB2D034" w:rsidR="007545D2" w:rsidRPr="000C2E39" w:rsidRDefault="007545D2" w:rsidP="000C2E39">
      <w:pPr>
        <w:pStyle w:val="ListParagraph"/>
        <w:numPr>
          <w:ilvl w:val="1"/>
          <w:numId w:val="4"/>
        </w:numPr>
        <w:spacing w:line="360" w:lineRule="auto"/>
        <w:ind w:left="380"/>
      </w:pPr>
      <w:r w:rsidRPr="000C2E39">
        <w:t>Interpretivism</w:t>
      </w:r>
    </w:p>
    <w:p w14:paraId="4CCC1E4A" w14:textId="3DD2D767" w:rsidR="007545D2" w:rsidRPr="000C2E39" w:rsidRDefault="007545D2" w:rsidP="000C2E39">
      <w:pPr>
        <w:pStyle w:val="ListParagraph"/>
        <w:numPr>
          <w:ilvl w:val="1"/>
          <w:numId w:val="4"/>
        </w:numPr>
        <w:spacing w:line="360" w:lineRule="auto"/>
        <w:ind w:left="380"/>
      </w:pPr>
      <w:r w:rsidRPr="000C2E39">
        <w:t xml:space="preserve"> Pragmatism</w:t>
      </w:r>
    </w:p>
    <w:p w14:paraId="6B7CD4FE" w14:textId="7FB69F1C" w:rsidR="000C2E39" w:rsidRPr="000C2E39" w:rsidRDefault="000C2E39" w:rsidP="000C2E39">
      <w:pPr>
        <w:pStyle w:val="ListParagraph"/>
        <w:numPr>
          <w:ilvl w:val="1"/>
          <w:numId w:val="4"/>
        </w:numPr>
        <w:spacing w:line="360" w:lineRule="auto"/>
        <w:ind w:left="380"/>
      </w:pPr>
      <w:r w:rsidRPr="000C2E39">
        <w:t xml:space="preserve">The Abductive Approach </w:t>
      </w:r>
    </w:p>
    <w:p w14:paraId="57359AEB" w14:textId="3A991E08" w:rsidR="001E5EEA" w:rsidRPr="000C2E39" w:rsidRDefault="000C2E39" w:rsidP="000C2E39">
      <w:pPr>
        <w:pStyle w:val="ListParagraph"/>
        <w:numPr>
          <w:ilvl w:val="1"/>
          <w:numId w:val="4"/>
        </w:numPr>
        <w:spacing w:line="360" w:lineRule="auto"/>
        <w:ind w:left="370"/>
      </w:pPr>
      <w:r w:rsidRPr="000C2E39">
        <w:t xml:space="preserve">The </w:t>
      </w:r>
      <w:r w:rsidR="001E5EEA" w:rsidRPr="000C2E39">
        <w:t>Q</w:t>
      </w:r>
      <w:r w:rsidR="001E5EEA" w:rsidRPr="000C2E39">
        <w:t>uantitative</w:t>
      </w:r>
      <w:r w:rsidR="001E5EEA" w:rsidRPr="000C2E39">
        <w:t xml:space="preserve"> </w:t>
      </w:r>
      <w:r w:rsidRPr="000C2E39">
        <w:t>Apporach</w:t>
      </w:r>
    </w:p>
    <w:p w14:paraId="3510F39F" w14:textId="753671E0" w:rsidR="001E5EEA" w:rsidRPr="000C2E39" w:rsidRDefault="001E5EEA" w:rsidP="000C2E39">
      <w:pPr>
        <w:pStyle w:val="ListParagraph"/>
        <w:numPr>
          <w:ilvl w:val="1"/>
          <w:numId w:val="4"/>
        </w:numPr>
        <w:spacing w:line="360" w:lineRule="auto"/>
        <w:ind w:left="370"/>
      </w:pPr>
      <w:r w:rsidRPr="000C2E39">
        <w:t xml:space="preserve"> </w:t>
      </w:r>
      <w:r w:rsidR="000C2E39" w:rsidRPr="000C2E39">
        <w:t xml:space="preserve">The </w:t>
      </w:r>
      <w:r w:rsidRPr="000C2E39">
        <w:t>Q</w:t>
      </w:r>
      <w:r w:rsidRPr="000C2E39">
        <w:t>ualitative</w:t>
      </w:r>
      <w:r w:rsidRPr="000C2E39">
        <w:t xml:space="preserve"> </w:t>
      </w:r>
      <w:r w:rsidR="000C2E39" w:rsidRPr="000C2E39">
        <w:t>Apporach</w:t>
      </w:r>
    </w:p>
    <w:p w14:paraId="64281480" w14:textId="69136FBA" w:rsidR="001E5EEA" w:rsidRPr="000C2E39" w:rsidRDefault="001E5EEA" w:rsidP="000C2E39">
      <w:pPr>
        <w:pStyle w:val="ListParagraph"/>
        <w:numPr>
          <w:ilvl w:val="1"/>
          <w:numId w:val="4"/>
        </w:numPr>
        <w:spacing w:line="360" w:lineRule="auto"/>
        <w:ind w:left="370"/>
      </w:pPr>
      <w:r w:rsidRPr="000C2E39">
        <w:t xml:space="preserve"> </w:t>
      </w:r>
      <w:r w:rsidRPr="000C2E39">
        <w:t>M</w:t>
      </w:r>
      <w:r w:rsidRPr="000C2E39">
        <w:t xml:space="preserve">ixed-method </w:t>
      </w:r>
      <w:r w:rsidR="000C2E39" w:rsidRPr="000C2E39">
        <w:t>A</w:t>
      </w:r>
      <w:r w:rsidRPr="000C2E39">
        <w:t>pproach</w:t>
      </w:r>
    </w:p>
    <w:p w14:paraId="4BA75033" w14:textId="0563B375" w:rsidR="000C2E39" w:rsidRPr="000C2E39" w:rsidRDefault="000C2E39" w:rsidP="000C2E39">
      <w:pPr>
        <w:pStyle w:val="ListParagraph"/>
        <w:numPr>
          <w:ilvl w:val="1"/>
          <w:numId w:val="4"/>
        </w:numPr>
        <w:spacing w:line="360" w:lineRule="auto"/>
        <w:ind w:left="370"/>
      </w:pPr>
      <w:r w:rsidRPr="000C2E39">
        <w:t xml:space="preserve">Positionality </w:t>
      </w:r>
    </w:p>
    <w:p w14:paraId="57A8CE79" w14:textId="4E58D54A" w:rsidR="000C2E39" w:rsidRPr="000C2E39" w:rsidRDefault="000C2E39" w:rsidP="000C2E39">
      <w:pPr>
        <w:spacing w:line="240" w:lineRule="auto"/>
        <w:rPr>
          <w:u w:val="single"/>
        </w:rPr>
      </w:pPr>
      <w:r w:rsidRPr="000C2E39">
        <w:rPr>
          <w:u w:val="single"/>
        </w:rPr>
        <w:t xml:space="preserve">3. Research Methods </w:t>
      </w:r>
    </w:p>
    <w:p w14:paraId="6DAB0003" w14:textId="77777777" w:rsidR="000C2E39" w:rsidRPr="000C2E39" w:rsidRDefault="000C2E39" w:rsidP="000C2E39">
      <w:pPr>
        <w:spacing w:line="240" w:lineRule="auto"/>
      </w:pPr>
      <w:r w:rsidRPr="000C2E39">
        <w:t>3.1 Case Studies</w:t>
      </w:r>
    </w:p>
    <w:p w14:paraId="214E231F" w14:textId="234C6801" w:rsidR="000C2E39" w:rsidRPr="000C2E39" w:rsidRDefault="000C2E39" w:rsidP="000C2E39">
      <w:pPr>
        <w:spacing w:line="240" w:lineRule="auto"/>
      </w:pPr>
      <w:r w:rsidRPr="000C2E39">
        <w:t>3.2 Questionnaires</w:t>
      </w:r>
    </w:p>
    <w:p w14:paraId="543C20E3" w14:textId="31AC4577" w:rsidR="000C2E39" w:rsidRPr="000C2E39" w:rsidRDefault="000C2E39" w:rsidP="000C2E39">
      <w:pPr>
        <w:spacing w:line="240" w:lineRule="auto"/>
      </w:pPr>
      <w:r w:rsidRPr="000C2E39">
        <w:t>3.3 Semi Structure Interviews</w:t>
      </w:r>
    </w:p>
    <w:p w14:paraId="2D53E4DC" w14:textId="13E61FBF" w:rsidR="000C2E39" w:rsidRPr="000C2E39" w:rsidRDefault="000C2E39" w:rsidP="000C2E39">
      <w:pPr>
        <w:spacing w:line="240" w:lineRule="auto"/>
      </w:pPr>
      <w:r w:rsidRPr="000C2E39">
        <w:t>3.4 Intend Sample</w:t>
      </w:r>
    </w:p>
    <w:p w14:paraId="40ABF3EF" w14:textId="0B5F2DF4" w:rsidR="000C2E39" w:rsidRDefault="000C2E39" w:rsidP="000C2E39">
      <w:pPr>
        <w:spacing w:line="240" w:lineRule="auto"/>
      </w:pPr>
      <w:r w:rsidRPr="000C2E39">
        <w:t>3.5 Ethical considerations</w:t>
      </w:r>
    </w:p>
    <w:p w14:paraId="3F2A5A59" w14:textId="77777777" w:rsidR="000C2E39" w:rsidRPr="000C2E39" w:rsidRDefault="000C2E39" w:rsidP="000C2E39">
      <w:pPr>
        <w:spacing w:line="240" w:lineRule="auto"/>
      </w:pPr>
    </w:p>
    <w:p w14:paraId="1235EBBC" w14:textId="0256AF6D" w:rsidR="000C2E39" w:rsidRDefault="000C2E39" w:rsidP="000C2E39">
      <w:pPr>
        <w:spacing w:line="240" w:lineRule="auto"/>
        <w:rPr>
          <w:u w:val="single"/>
        </w:rPr>
      </w:pPr>
      <w:r w:rsidRPr="000C2E39">
        <w:rPr>
          <w:u w:val="single"/>
        </w:rPr>
        <w:t xml:space="preserve">4. </w:t>
      </w:r>
      <w:r w:rsidRPr="000C2E39">
        <w:rPr>
          <w:u w:val="single"/>
        </w:rPr>
        <w:t>Data Presentation and Analysis Method(s)</w:t>
      </w:r>
    </w:p>
    <w:p w14:paraId="3BC35484" w14:textId="77777777" w:rsidR="00121BCB" w:rsidRDefault="00121BCB" w:rsidP="000C2E39">
      <w:pPr>
        <w:spacing w:line="240" w:lineRule="auto"/>
        <w:rPr>
          <w:u w:val="single"/>
        </w:rPr>
      </w:pPr>
    </w:p>
    <w:p w14:paraId="28AD682B" w14:textId="531A3753" w:rsidR="000C2E39" w:rsidRPr="000C2E39" w:rsidRDefault="000C2E39" w:rsidP="000C2E39">
      <w:pPr>
        <w:spacing w:line="240" w:lineRule="auto"/>
        <w:rPr>
          <w:b/>
          <w:bCs/>
          <w:u w:val="single"/>
        </w:rPr>
      </w:pPr>
      <w:r w:rsidRPr="000C2E39">
        <w:rPr>
          <w:u w:val="single"/>
        </w:rPr>
        <w:t>5. Conclusions</w:t>
      </w:r>
    </w:p>
    <w:p w14:paraId="7BCB7432" w14:textId="77777777" w:rsidR="000C2E39" w:rsidRPr="000C2E39" w:rsidRDefault="000C2E39" w:rsidP="000C2E39">
      <w:pPr>
        <w:ind w:left="720"/>
        <w:rPr>
          <w:b/>
          <w:bCs/>
        </w:rPr>
      </w:pPr>
    </w:p>
    <w:p w14:paraId="24D357CD" w14:textId="77777777" w:rsidR="007545D2" w:rsidRPr="002E545C" w:rsidRDefault="007545D2" w:rsidP="002E545C">
      <w:pPr>
        <w:rPr>
          <w:b/>
          <w:bCs/>
        </w:rPr>
      </w:pPr>
    </w:p>
    <w:p w14:paraId="7CC06432" w14:textId="77777777" w:rsidR="002E545C" w:rsidRDefault="002E545C" w:rsidP="00EF0941">
      <w:pPr>
        <w:pStyle w:val="ListParagraph"/>
        <w:spacing w:line="360" w:lineRule="auto"/>
        <w:ind w:left="360"/>
        <w:rPr>
          <w:b/>
          <w:bCs/>
          <w:u w:val="single"/>
        </w:rPr>
      </w:pPr>
    </w:p>
    <w:p w14:paraId="64009437" w14:textId="77777777" w:rsidR="00121BCB" w:rsidRDefault="00121BCB" w:rsidP="00121BCB">
      <w:pPr>
        <w:pStyle w:val="ListParagraph"/>
        <w:spacing w:line="360" w:lineRule="auto"/>
        <w:ind w:left="360"/>
        <w:rPr>
          <w:b/>
          <w:bCs/>
          <w:u w:val="single"/>
        </w:rPr>
      </w:pPr>
    </w:p>
    <w:p w14:paraId="73F4768F" w14:textId="77777777" w:rsidR="00121BCB" w:rsidRDefault="00121BCB" w:rsidP="00121BCB">
      <w:pPr>
        <w:pStyle w:val="ListParagraph"/>
        <w:spacing w:line="360" w:lineRule="auto"/>
        <w:ind w:left="360"/>
        <w:rPr>
          <w:b/>
          <w:bCs/>
          <w:u w:val="single"/>
        </w:rPr>
      </w:pPr>
    </w:p>
    <w:p w14:paraId="4534DB3F" w14:textId="0542EFC1" w:rsidR="00E13F53" w:rsidRPr="00640262" w:rsidRDefault="00AD34E4" w:rsidP="00EF0941">
      <w:pPr>
        <w:pStyle w:val="ListParagraph"/>
        <w:numPr>
          <w:ilvl w:val="0"/>
          <w:numId w:val="1"/>
        </w:numPr>
        <w:spacing w:line="360" w:lineRule="auto"/>
        <w:rPr>
          <w:b/>
          <w:bCs/>
          <w:u w:val="single"/>
        </w:rPr>
      </w:pPr>
      <w:r w:rsidRPr="00640262">
        <w:rPr>
          <w:b/>
          <w:bCs/>
          <w:u w:val="single"/>
        </w:rPr>
        <w:lastRenderedPageBreak/>
        <w:t>Intro</w:t>
      </w:r>
      <w:r w:rsidR="00E13F53" w:rsidRPr="00640262">
        <w:rPr>
          <w:b/>
          <w:bCs/>
          <w:u w:val="single"/>
        </w:rPr>
        <w:t xml:space="preserve">duction </w:t>
      </w:r>
    </w:p>
    <w:p w14:paraId="42D3E053" w14:textId="0A5F8D6C" w:rsidR="00AD34E4" w:rsidRDefault="008F0CE5" w:rsidP="00EF0941">
      <w:pPr>
        <w:spacing w:line="360" w:lineRule="auto"/>
      </w:pPr>
      <w:r w:rsidRPr="008F0CE5">
        <w:t>My research proposal centres on understanding how schools and educators have navigated the challenges associated with implementing the Curriculum for Wales (CfW). Within this context, my focus is on exploring the perspectives and experiences of Humanities teachers as they engage with curriculum design. By investigating these attitudes, the research aims to contribute to the ongoing development of effective curriculum design. Additionally, by gaining a deeper understanding of Humanities teachers’ experiences, this study seeks to enhance the effectiveness of the curriculum and better support educators as they adapt to these changes. The study will be guided by the following research questions</w:t>
      </w:r>
      <w:r>
        <w:t xml:space="preserve"> </w:t>
      </w:r>
      <w:r w:rsidR="002A1748">
        <w:t xml:space="preserve">- </w:t>
      </w:r>
    </w:p>
    <w:p w14:paraId="429A481D" w14:textId="77777777" w:rsidR="002A1748" w:rsidRPr="002A1748" w:rsidRDefault="002A1748" w:rsidP="00EF0941">
      <w:pPr>
        <w:spacing w:line="360" w:lineRule="auto"/>
      </w:pPr>
      <w:r w:rsidRPr="002A1748">
        <w:t>RQ 1. What are humanities teachers’ perceptions of the Curriculum for Wales in relation to the multi – disciplinary and inter disciplinary models?</w:t>
      </w:r>
    </w:p>
    <w:p w14:paraId="6A0DAFA7" w14:textId="77777777" w:rsidR="002A1748" w:rsidRPr="002A1748" w:rsidRDefault="002A1748" w:rsidP="00EF0941">
      <w:pPr>
        <w:spacing w:line="360" w:lineRule="auto"/>
      </w:pPr>
      <w:r w:rsidRPr="002A1748">
        <w:t>RQ 2. How do humanities teachers ‘make sense’ of curriculum policy in Wales?</w:t>
      </w:r>
    </w:p>
    <w:p w14:paraId="61C30561" w14:textId="0CAE735E" w:rsidR="002A1748" w:rsidRDefault="002A1748" w:rsidP="00EF0941">
      <w:pPr>
        <w:spacing w:line="360" w:lineRule="auto"/>
      </w:pPr>
      <w:r w:rsidRPr="002A1748">
        <w:t>RQ3. What are humanities teachers experiences with curriculum design in Wales?</w:t>
      </w:r>
    </w:p>
    <w:p w14:paraId="2614FC16" w14:textId="32DCDC47" w:rsidR="00726718" w:rsidRDefault="00AD34E4" w:rsidP="00EF0941">
      <w:pPr>
        <w:spacing w:line="360" w:lineRule="auto"/>
        <w:rPr>
          <w:b/>
          <w:bCs/>
          <w:u w:val="single"/>
        </w:rPr>
      </w:pPr>
      <w:r w:rsidRPr="00AD34E4">
        <w:rPr>
          <w:b/>
          <w:bCs/>
          <w:u w:val="single"/>
        </w:rPr>
        <w:t xml:space="preserve">2. Research Design / </w:t>
      </w:r>
      <w:r w:rsidR="00726718" w:rsidRPr="00AD34E4">
        <w:rPr>
          <w:b/>
          <w:bCs/>
          <w:u w:val="single"/>
        </w:rPr>
        <w:t>Methodology</w:t>
      </w:r>
      <w:r w:rsidR="00726718">
        <w:rPr>
          <w:b/>
          <w:bCs/>
          <w:u w:val="single"/>
        </w:rPr>
        <w:t>.</w:t>
      </w:r>
    </w:p>
    <w:p w14:paraId="050C821F" w14:textId="54C1B3A1" w:rsidR="000F27B7" w:rsidRDefault="00DE5F84" w:rsidP="00EF0941">
      <w:pPr>
        <w:spacing w:line="360" w:lineRule="auto"/>
        <w:rPr>
          <w:b/>
          <w:bCs/>
        </w:rPr>
      </w:pPr>
      <w:r>
        <w:rPr>
          <w:b/>
          <w:bCs/>
        </w:rPr>
        <w:t xml:space="preserve">2.1 </w:t>
      </w:r>
      <w:r w:rsidR="000F27B7" w:rsidRPr="00AB79A1">
        <w:rPr>
          <w:b/>
          <w:bCs/>
        </w:rPr>
        <w:t>Interpretivism</w:t>
      </w:r>
    </w:p>
    <w:p w14:paraId="31818C27" w14:textId="4DAC576B" w:rsidR="008F0CE5" w:rsidRDefault="008F0CE5" w:rsidP="00EF0941">
      <w:pPr>
        <w:spacing w:line="360" w:lineRule="auto"/>
      </w:pPr>
      <w:r w:rsidRPr="008F0CE5">
        <w:t>Interpretivism, as a research paradigm, emphasises understanding the meanings and perspectives individuals attach to their experiences, particularly within complex social contexts such as education (Cohen et al., 2018). In this study, interpretivism is central to exploring teachers' experiences and attitudes toward the Humanities within CfW, especially their understanding of curriculum realisation. Since the process of making sense of a new curriculum is inherently subjective, an interpretivist approach enables the researcher to explore the nuanced and personal ways in which educators engage with curriculum design and implementation (Bryman, 2016).</w:t>
      </w:r>
    </w:p>
    <w:p w14:paraId="412848AD" w14:textId="752026AF" w:rsidR="008F0CE5" w:rsidRPr="008F0CE5" w:rsidRDefault="008F0CE5" w:rsidP="00EF0941">
      <w:pPr>
        <w:spacing w:line="360" w:lineRule="auto"/>
      </w:pPr>
      <w:r w:rsidRPr="008F0CE5">
        <w:t xml:space="preserve">The strength of interpretivism lies in its capacity to provide rich, detailed insights into how individuals navigate the complexities of educational reform (Maxwell, 2013). It enables a deeper understanding of teachers’ values, beliefs, and practices in relation to CfW, which may not be fully captured through quantitative methods alone. However, a key limitation of interpretivist research is its context-dependent nature, meaning that </w:t>
      </w:r>
      <w:r w:rsidRPr="008F0CE5">
        <w:lastRenderedPageBreak/>
        <w:t>findings may not be easily generalisable (Denzin &amp; Lincoln, 2018). This presents a potential challenge, as the small number of schools involved in the study will reflect their own unique contexts</w:t>
      </w:r>
      <w:r>
        <w:t xml:space="preserve">, </w:t>
      </w:r>
      <w:r w:rsidRPr="008F0CE5">
        <w:t>although this aligns with the CfW’s emphasis on locally tailored curricula. Despite this limitation, interpretivism remains well-suited to this research, offering valuable insights into the processes behind curriculum realisation within the Humanities AoLE.</w:t>
      </w:r>
    </w:p>
    <w:p w14:paraId="71B8481F" w14:textId="79C84023" w:rsidR="002E545C" w:rsidRDefault="00DE5F84" w:rsidP="00EF0941">
      <w:pPr>
        <w:spacing w:line="360" w:lineRule="auto"/>
        <w:rPr>
          <w:b/>
          <w:bCs/>
        </w:rPr>
      </w:pPr>
      <w:bookmarkStart w:id="0" w:name="_Hlk197002049"/>
      <w:r>
        <w:rPr>
          <w:b/>
          <w:bCs/>
        </w:rPr>
        <w:t xml:space="preserve">2.2 </w:t>
      </w:r>
      <w:r w:rsidR="002A1748" w:rsidRPr="00AB79A1">
        <w:rPr>
          <w:b/>
          <w:bCs/>
        </w:rPr>
        <w:t>Pragmatism</w:t>
      </w:r>
      <w:r w:rsidR="002E545C" w:rsidRPr="00AB79A1">
        <w:rPr>
          <w:b/>
          <w:bCs/>
        </w:rPr>
        <w:t xml:space="preserve"> </w:t>
      </w:r>
    </w:p>
    <w:bookmarkEnd w:id="0"/>
    <w:p w14:paraId="3DCD27CD" w14:textId="153D133F" w:rsidR="008F0CE5" w:rsidRPr="008F0CE5" w:rsidRDefault="008F0CE5" w:rsidP="00EF0941">
      <w:pPr>
        <w:spacing w:line="360" w:lineRule="auto"/>
      </w:pPr>
      <w:r w:rsidRPr="008F0CE5">
        <w:t>This research proposal can also be framed within the paradigm of pragmatism, which prioritises practical solutions and real-world relevance</w:t>
      </w:r>
      <w:r>
        <w:t xml:space="preserve">, </w:t>
      </w:r>
      <w:r w:rsidRPr="008F0CE5">
        <w:t>making it well-suited to investigating curriculum realisation in the context of CfW. Pragmatism emphasises methodological flexibility, supporting the use of both qualitative and quantitative methods to address complex educational challenges (Creswell &amp; Plano Clark, 2018). This allows for a mixed-methods approach that integrates diverse forms of data, providing rich insights into Humanities teachers’ experiences and attitudes towards CfW implementation.</w:t>
      </w:r>
    </w:p>
    <w:p w14:paraId="05FEBD2B" w14:textId="0DF16BC3" w:rsidR="008F0CE5" w:rsidRPr="008F0CE5" w:rsidRDefault="008F0CE5" w:rsidP="00EF0941">
      <w:pPr>
        <w:spacing w:line="360" w:lineRule="auto"/>
      </w:pPr>
      <w:r w:rsidRPr="008F0CE5">
        <w:t xml:space="preserve">The pragmatic stance is further reinforced by its emphasis on actionable outcomes, aligning closely with the study’s aim to inform curriculum design and educational policy (Biesta, 2010). Its flexibility also </w:t>
      </w:r>
      <w:r>
        <w:t>allows</w:t>
      </w:r>
      <w:r w:rsidRPr="008F0CE5">
        <w:t xml:space="preserve"> the researcher to adapt the methodological approach in response to emerging data, thereby ensuring responsiveness to real-world educational contexts.</w:t>
      </w:r>
    </w:p>
    <w:p w14:paraId="758D92AC" w14:textId="3F5B37DD" w:rsidR="008F0CE5" w:rsidRDefault="008F0CE5" w:rsidP="00EF0941">
      <w:pPr>
        <w:spacing w:line="360" w:lineRule="auto"/>
      </w:pPr>
      <w:r w:rsidRPr="008F0CE5">
        <w:t>However, pragmatism presents certain challenges. These include ensuring coherence in the integration of qualitative and quantitative findings and maintaining sufficient theoretical depth (Morgan, 2014). Furthermore, the researcher's positionality</w:t>
      </w:r>
      <w:r>
        <w:t xml:space="preserve"> </w:t>
      </w:r>
      <w:r w:rsidRPr="008F0CE5">
        <w:t xml:space="preserve">as </w:t>
      </w:r>
      <w:r>
        <w:t xml:space="preserve">part </w:t>
      </w:r>
      <w:r w:rsidR="000C2E39">
        <w:t xml:space="preserve">of </w:t>
      </w:r>
      <w:r w:rsidR="000C2E39" w:rsidRPr="008F0CE5">
        <w:t>the</w:t>
      </w:r>
      <w:r w:rsidRPr="008F0CE5">
        <w:t xml:space="preserve"> education syste</w:t>
      </w:r>
      <w:r>
        <w:t xml:space="preserve">m </w:t>
      </w:r>
      <w:r w:rsidRPr="008F0CE5">
        <w:t xml:space="preserve">may introduce bias, </w:t>
      </w:r>
      <w:r w:rsidR="001E5053">
        <w:t xml:space="preserve">therefore </w:t>
      </w:r>
      <w:r w:rsidRPr="008F0CE5">
        <w:t>necessitating a careful and reflexive approach throughout the study (Dewey, 1938). Despite these considerations, pragmatism offers a credible and effective research paradigm for this study, supporting the development of relevant, context-driven findings.</w:t>
      </w:r>
    </w:p>
    <w:p w14:paraId="5884F0D2" w14:textId="77777777" w:rsidR="00121BCB" w:rsidRDefault="00121BCB" w:rsidP="00EF0941">
      <w:pPr>
        <w:spacing w:line="360" w:lineRule="auto"/>
      </w:pPr>
    </w:p>
    <w:p w14:paraId="45214F90" w14:textId="77777777" w:rsidR="00121BCB" w:rsidRPr="008F0CE5" w:rsidRDefault="00121BCB" w:rsidP="00EF0941">
      <w:pPr>
        <w:spacing w:line="360" w:lineRule="auto"/>
      </w:pPr>
    </w:p>
    <w:p w14:paraId="6EF7F7B5" w14:textId="7F5A172D" w:rsidR="00726718" w:rsidRPr="00726718" w:rsidRDefault="004329E9" w:rsidP="00EF0941">
      <w:pPr>
        <w:spacing w:line="360" w:lineRule="auto"/>
        <w:rPr>
          <w:b/>
          <w:bCs/>
        </w:rPr>
      </w:pPr>
      <w:r>
        <w:rPr>
          <w:b/>
          <w:bCs/>
        </w:rPr>
        <w:lastRenderedPageBreak/>
        <w:t xml:space="preserve">2.3 </w:t>
      </w:r>
      <w:r w:rsidR="00726718" w:rsidRPr="00726718">
        <w:rPr>
          <w:b/>
          <w:bCs/>
        </w:rPr>
        <w:t xml:space="preserve">The Abductive </w:t>
      </w:r>
      <w:r w:rsidR="00726718">
        <w:rPr>
          <w:b/>
          <w:bCs/>
        </w:rPr>
        <w:t>A</w:t>
      </w:r>
      <w:r w:rsidR="00726718" w:rsidRPr="00726718">
        <w:rPr>
          <w:b/>
          <w:bCs/>
        </w:rPr>
        <w:t>pporach</w:t>
      </w:r>
    </w:p>
    <w:p w14:paraId="785ED144" w14:textId="3688D53F" w:rsidR="001E5053" w:rsidRDefault="001E5053" w:rsidP="00EF0941">
      <w:pPr>
        <w:spacing w:line="360" w:lineRule="auto"/>
      </w:pPr>
      <w:r w:rsidRPr="001E5053">
        <w:t>An abductive research approach is well-suited to this study due to its exploratory nature and its focus on investigating teachers’ attitudes and experiences</w:t>
      </w:r>
      <w:r>
        <w:t xml:space="preserve"> with CfW, </w:t>
      </w:r>
      <w:r w:rsidRPr="001E5053">
        <w:t>areas</w:t>
      </w:r>
      <w:r>
        <w:t xml:space="preserve"> that arguably require further research</w:t>
      </w:r>
      <w:r w:rsidRPr="001E5053">
        <w:t xml:space="preserve">. Abduction enables plausible explanations to emerge by iteratively moving between theoretical frameworks and empirical data (Timmermans &amp; Tavory, 2012). This approach is particularly relevant for examining subjective, context-dependent issues such as teachers’ perceptions of curriculum design within the Humanities. By identifying and interpreting patterns in the data, abduction facilitates a </w:t>
      </w:r>
      <w:r>
        <w:t xml:space="preserve">in depth </w:t>
      </w:r>
      <w:r w:rsidRPr="001E5053">
        <w:t>understanding of participants’ viewpoints and the meanings they attribute to their experiences (Reichertz, 2007). This methodological flexibility makes abduction especially valuable in uncovering how teachers make sense of educational reform in real-world contexts.</w:t>
      </w:r>
    </w:p>
    <w:p w14:paraId="60044828" w14:textId="1FBAF910" w:rsidR="00AD34E4" w:rsidRDefault="00DE5F84" w:rsidP="00EF0941">
      <w:pPr>
        <w:spacing w:line="360" w:lineRule="auto"/>
        <w:rPr>
          <w:b/>
          <w:bCs/>
        </w:rPr>
      </w:pPr>
      <w:r>
        <w:rPr>
          <w:b/>
          <w:bCs/>
        </w:rPr>
        <w:t>2.</w:t>
      </w:r>
      <w:r w:rsidR="004329E9">
        <w:rPr>
          <w:b/>
          <w:bCs/>
        </w:rPr>
        <w:t>4</w:t>
      </w:r>
      <w:r>
        <w:rPr>
          <w:b/>
          <w:bCs/>
        </w:rPr>
        <w:t xml:space="preserve"> </w:t>
      </w:r>
      <w:r w:rsidR="00121BCB">
        <w:rPr>
          <w:b/>
          <w:bCs/>
        </w:rPr>
        <w:t xml:space="preserve">The </w:t>
      </w:r>
      <w:r w:rsidR="002E545C" w:rsidRPr="00AB79A1">
        <w:rPr>
          <w:b/>
          <w:bCs/>
        </w:rPr>
        <w:t>Q</w:t>
      </w:r>
      <w:r w:rsidR="00AD34E4" w:rsidRPr="00AB79A1">
        <w:rPr>
          <w:b/>
          <w:bCs/>
        </w:rPr>
        <w:t xml:space="preserve">uantitative </w:t>
      </w:r>
      <w:r w:rsidR="00121BCB">
        <w:rPr>
          <w:b/>
          <w:bCs/>
        </w:rPr>
        <w:t>Approach</w:t>
      </w:r>
    </w:p>
    <w:p w14:paraId="41471A8C" w14:textId="432284EB" w:rsidR="001E5053" w:rsidRPr="001E5053" w:rsidRDefault="001E5053" w:rsidP="00EF0941">
      <w:pPr>
        <w:spacing w:line="360" w:lineRule="auto"/>
      </w:pPr>
      <w:r w:rsidRPr="001E5053">
        <w:t>As this study focuses on understanding how teachers interpret and make sense of curriculum design in the Humanities, a qualitative approach is most appropriate. Accordingly, this research will adopt a qualitative methodology as its foundation, enabling a</w:t>
      </w:r>
      <w:r>
        <w:t>n</w:t>
      </w:r>
      <w:r w:rsidRPr="001E5053">
        <w:t xml:space="preserve"> exploration of the complex processes involved in curriculum sense-making and design within the context of the Humanities AoLE.</w:t>
      </w:r>
    </w:p>
    <w:p w14:paraId="20EC32D5" w14:textId="77777777" w:rsidR="001E5053" w:rsidRPr="001E5053" w:rsidRDefault="001E5053" w:rsidP="00EF0941">
      <w:pPr>
        <w:spacing w:line="360" w:lineRule="auto"/>
      </w:pPr>
      <w:r w:rsidRPr="001E5053">
        <w:t>Qualitative methods are particularly well-suited to uncovering the subjective perspectives, lived experiences, and interpretive understandings of educators engaged in curriculum development and implementation since the publication of Successful Futures (Donaldson, 2015). This approach offers the depth and flexibility necessary to investigate how practitioners conceptualise, negotiate, and enact curricular change in real-world educational settings (Denzin &amp; Lincoln, 2018).</w:t>
      </w:r>
    </w:p>
    <w:p w14:paraId="055BB57C" w14:textId="22C124E5" w:rsidR="001E5053" w:rsidRPr="001E5053" w:rsidRDefault="001E5053" w:rsidP="00EF0941">
      <w:pPr>
        <w:spacing w:line="360" w:lineRule="auto"/>
      </w:pPr>
      <w:r w:rsidRPr="001E5053">
        <w:t xml:space="preserve">To gain in-depth accounts, semi-structured interviews will be conducted with teachers, senior leaders, and curriculum coordinators. These interviews will provide rich, contextually grounded insights into participants’ professional reasoning, motivations, and the socio-political factors shaping their curriculum-related decisions (Rubin &amp; Rubin, 2012; Kvale &amp; Brinkmann, 2009). This method is especially appropriate for exploring sensitive or complex issues, such as curriculum design, as it encourages </w:t>
      </w:r>
      <w:r w:rsidRPr="001E5053">
        <w:lastRenderedPageBreak/>
        <w:t>reflective, narrative responses that can reveal tensions, contradictions, and assumptions underlying the curriculum realisation process. In alignment with this qualitative perspective, the use of both interviews and open-ended questionnaires will support a comprehensive understanding of the subject matter.</w:t>
      </w:r>
    </w:p>
    <w:p w14:paraId="7B7979A1" w14:textId="4054A8BD" w:rsidR="00C121D8" w:rsidRDefault="00DE5F84" w:rsidP="00EF0941">
      <w:pPr>
        <w:spacing w:line="360" w:lineRule="auto"/>
        <w:rPr>
          <w:b/>
          <w:bCs/>
        </w:rPr>
      </w:pPr>
      <w:r>
        <w:rPr>
          <w:b/>
          <w:bCs/>
        </w:rPr>
        <w:t>2.</w:t>
      </w:r>
      <w:r w:rsidR="004329E9">
        <w:rPr>
          <w:b/>
          <w:bCs/>
        </w:rPr>
        <w:t>5</w:t>
      </w:r>
      <w:r>
        <w:rPr>
          <w:b/>
          <w:bCs/>
        </w:rPr>
        <w:t xml:space="preserve"> </w:t>
      </w:r>
      <w:r w:rsidR="00121BCB">
        <w:rPr>
          <w:b/>
          <w:bCs/>
        </w:rPr>
        <w:t xml:space="preserve">The </w:t>
      </w:r>
      <w:r w:rsidR="00C121D8" w:rsidRPr="00AB79A1">
        <w:rPr>
          <w:b/>
          <w:bCs/>
        </w:rPr>
        <w:t xml:space="preserve">Quantitative </w:t>
      </w:r>
      <w:r w:rsidR="00121BCB">
        <w:rPr>
          <w:b/>
          <w:bCs/>
        </w:rPr>
        <w:t>Approach</w:t>
      </w:r>
    </w:p>
    <w:p w14:paraId="413E33E7" w14:textId="21B82091" w:rsidR="00894491" w:rsidRPr="00894491" w:rsidRDefault="00894491" w:rsidP="00EF0941">
      <w:pPr>
        <w:spacing w:line="360" w:lineRule="auto"/>
      </w:pPr>
      <w:r w:rsidRPr="00894491">
        <w:t>Although this research will primarily adopt a qualitative approach, quantitative methods will play a secondary but valuable role. The use of structured questionnaires will enable the collection of numerical data regarding Humanities teachers’ perceptions, preferences, and experiences of CfW. As Bryman (2016) notes, questionnaires are an efficient tool for gathering data from a broad sample. This method will help explore aspects such as curriculum design strategies, perceived learning outcomes, and evaluations of effectiveness (Cohen, Manion, &amp; Morrison, 2007). Quantitative analysis will support the identification of statistical trends and relationships, thereby complementing the qualitative insights and contributing a data-informed perspective to the study of curriculum realisation.</w:t>
      </w:r>
    </w:p>
    <w:p w14:paraId="6444F866" w14:textId="4CC03750" w:rsidR="002E545C" w:rsidRDefault="00DE5F84" w:rsidP="00EF0941">
      <w:pPr>
        <w:spacing w:line="360" w:lineRule="auto"/>
        <w:rPr>
          <w:b/>
          <w:bCs/>
        </w:rPr>
      </w:pPr>
      <w:r>
        <w:rPr>
          <w:b/>
          <w:bCs/>
        </w:rPr>
        <w:t>2.</w:t>
      </w:r>
      <w:r w:rsidR="004329E9">
        <w:rPr>
          <w:b/>
          <w:bCs/>
        </w:rPr>
        <w:t>6</w:t>
      </w:r>
      <w:r>
        <w:rPr>
          <w:b/>
          <w:bCs/>
        </w:rPr>
        <w:t xml:space="preserve"> </w:t>
      </w:r>
      <w:r w:rsidR="00121BCB">
        <w:rPr>
          <w:b/>
          <w:bCs/>
        </w:rPr>
        <w:t xml:space="preserve">The </w:t>
      </w:r>
      <w:r w:rsidR="002E545C" w:rsidRPr="00AB79A1">
        <w:rPr>
          <w:b/>
          <w:bCs/>
        </w:rPr>
        <w:t>Mixed Methods</w:t>
      </w:r>
      <w:r w:rsidR="00121BCB">
        <w:rPr>
          <w:b/>
          <w:bCs/>
        </w:rPr>
        <w:t xml:space="preserve"> Approach</w:t>
      </w:r>
    </w:p>
    <w:p w14:paraId="0CAC1790" w14:textId="20CB92F6" w:rsidR="00894491" w:rsidRPr="00894491" w:rsidRDefault="00894491" w:rsidP="00EF0941">
      <w:pPr>
        <w:spacing w:line="360" w:lineRule="auto"/>
      </w:pPr>
      <w:r w:rsidRPr="00894491">
        <w:t xml:space="preserve">Given the potential benefits of combining qualitative and quantitative approaches, a mixed methods design is a valid choice for this study. Integrating both data types offers depth and breadth, enabling a more holistic understanding of complex educational issues (Creswell &amp; Plano Clark, 2018). This approach also facilitates triangulation, enhancing validity by corroborating findings across diverse data sources (Teddlie &amp; Tashakkori, 2019). Together </w:t>
      </w:r>
      <w:r>
        <w:t xml:space="preserve">the use of </w:t>
      </w:r>
      <w:r w:rsidRPr="00894491">
        <w:t>qualitative and quantitative methods</w:t>
      </w:r>
      <w:r>
        <w:t xml:space="preserve"> will </w:t>
      </w:r>
      <w:r w:rsidRPr="00894491">
        <w:t>allow for a balanced and well-informed interpretation of how educators engage with curriculum reform in</w:t>
      </w:r>
      <w:r>
        <w:t xml:space="preserve"> Wales</w:t>
      </w:r>
      <w:r w:rsidRPr="00894491">
        <w:t>, leading to more credible and meaningful conclusions (Creswell &amp; Plano Clark, 2018).</w:t>
      </w:r>
    </w:p>
    <w:p w14:paraId="493FD2D2" w14:textId="11C0EAF2" w:rsidR="00AD34E4" w:rsidRDefault="00DE5F84" w:rsidP="00EF0941">
      <w:pPr>
        <w:spacing w:line="360" w:lineRule="auto"/>
        <w:rPr>
          <w:b/>
          <w:bCs/>
        </w:rPr>
      </w:pPr>
      <w:r>
        <w:rPr>
          <w:b/>
          <w:bCs/>
        </w:rPr>
        <w:t>2.</w:t>
      </w:r>
      <w:r w:rsidR="004329E9">
        <w:rPr>
          <w:b/>
          <w:bCs/>
        </w:rPr>
        <w:t>7</w:t>
      </w:r>
      <w:r>
        <w:rPr>
          <w:b/>
          <w:bCs/>
        </w:rPr>
        <w:t xml:space="preserve"> </w:t>
      </w:r>
      <w:r w:rsidR="00AD34E4" w:rsidRPr="00316DC6">
        <w:rPr>
          <w:b/>
          <w:bCs/>
        </w:rPr>
        <w:t xml:space="preserve">Positionality </w:t>
      </w:r>
    </w:p>
    <w:p w14:paraId="7DCC0C11" w14:textId="37BA9ECE" w:rsidR="00894491" w:rsidRDefault="00894491" w:rsidP="00EF0941">
      <w:pPr>
        <w:spacing w:line="360" w:lineRule="auto"/>
      </w:pPr>
      <w:r>
        <w:t xml:space="preserve">Positionality plays a significant role in educational research, shaping how researchers frame questions, collect data, and interpret findings (Gergen et al., 2001). In this study, my role as a Lecturer in Education at the University of Wales Trinity Saint David and my </w:t>
      </w:r>
      <w:r>
        <w:lastRenderedPageBreak/>
        <w:t>involvement in the</w:t>
      </w:r>
      <w:r>
        <w:t xml:space="preserve"> CfW </w:t>
      </w:r>
      <w:r w:rsidR="006A04C9">
        <w:t>orientated</w:t>
      </w:r>
      <w:r>
        <w:t xml:space="preserve"> Camau i’r Dyfodol project position me as an insider within the educational community responsible for implementing</w:t>
      </w:r>
      <w:r>
        <w:t xml:space="preserve"> and developing</w:t>
      </w:r>
      <w:r>
        <w:t xml:space="preserve"> CfW. This status provides valuable access and contextual insight into Humanities curriculum </w:t>
      </w:r>
      <w:r w:rsidR="006A04C9">
        <w:t>development, which</w:t>
      </w:r>
      <w:r>
        <w:t xml:space="preserve"> will </w:t>
      </w:r>
      <w:r>
        <w:t>enrich the data collected (McNiff, 2016). However, it also presents potential risks of bias, as my interpretations may be shaped by prior knowledge or empathetic identification with participants (Kvale &amp; Brinkmann, 2009).</w:t>
      </w:r>
    </w:p>
    <w:p w14:paraId="1CDF9FE2" w14:textId="508D2FBE" w:rsidR="00894491" w:rsidRDefault="00894491" w:rsidP="00EF0941">
      <w:pPr>
        <w:spacing w:line="360" w:lineRule="auto"/>
      </w:pPr>
      <w:r>
        <w:t xml:space="preserve">My previous engagement in CfW development through a pioneer school role further complicates this positionality. While this experience strengthens my contextual understanding, it may also lead to empathetic bias—manifesting in the under- or over-emphasis of </w:t>
      </w:r>
      <w:r w:rsidR="006A04C9">
        <w:t>teacher</w:t>
      </w:r>
      <w:r>
        <w:t xml:space="preserve"> perspectives. To address this self-awareness and critical reflection will help identify and manage the influence of personal experience on the research process (Finlay, 2002).</w:t>
      </w:r>
    </w:p>
    <w:p w14:paraId="4CF17C40" w14:textId="0752F8F0" w:rsidR="00894491" w:rsidRDefault="00894491" w:rsidP="00EF0941">
      <w:pPr>
        <w:spacing w:line="360" w:lineRule="auto"/>
      </w:pPr>
      <w:r>
        <w:t>When considering positionality, p</w:t>
      </w:r>
      <w:r>
        <w:t xml:space="preserve">ower dynamics must also be considered. </w:t>
      </w:r>
      <w:r w:rsidR="006A04C9">
        <w:t>A</w:t>
      </w:r>
      <w:r>
        <w:t xml:space="preserve"> researcher’s position within knowledge hierarchies can influence participant responses, particularly when they are perceived as an authority figure</w:t>
      </w:r>
      <w:r w:rsidR="006A04C9" w:rsidRPr="006A04C9">
        <w:t xml:space="preserve"> </w:t>
      </w:r>
      <w:r w:rsidR="006A04C9">
        <w:t>(</w:t>
      </w:r>
      <w:r w:rsidR="006A04C9" w:rsidRPr="006A04C9">
        <w:t>Bourdieu</w:t>
      </w:r>
      <w:r w:rsidR="006A04C9">
        <w:t xml:space="preserve">, </w:t>
      </w:r>
      <w:r w:rsidR="006A04C9" w:rsidRPr="006A04C9">
        <w:t>1990)</w:t>
      </w:r>
      <w:r>
        <w:t>. This may affect the authenticity of responses (Cohen et al., 2018).</w:t>
      </w:r>
    </w:p>
    <w:p w14:paraId="7FAA6FED" w14:textId="124375FA" w:rsidR="00894491" w:rsidRDefault="00894491" w:rsidP="00EF0941">
      <w:pPr>
        <w:spacing w:line="360" w:lineRule="auto"/>
      </w:pPr>
      <w:r>
        <w:t xml:space="preserve">By actively acknowledging and managing my positionality, </w:t>
      </w:r>
      <w:r w:rsidR="006A04C9">
        <w:t>I will aim to</w:t>
      </w:r>
      <w:r w:rsidR="006A04C9" w:rsidRPr="006A04C9">
        <w:t xml:space="preserve"> mitigate these challenges</w:t>
      </w:r>
      <w:r w:rsidR="006A04C9">
        <w:t xml:space="preserve"> through </w:t>
      </w:r>
      <w:r w:rsidR="006A04C9" w:rsidRPr="006A04C9">
        <w:t xml:space="preserve">strategies such as peer debriefing and triangulation (Patton, 2015), </w:t>
      </w:r>
      <w:r w:rsidR="006A04C9">
        <w:t xml:space="preserve">thereby </w:t>
      </w:r>
      <w:r w:rsidR="006A04C9" w:rsidRPr="006A04C9">
        <w:t>supporting balanced interpretation and enhancing</w:t>
      </w:r>
      <w:r w:rsidR="006A04C9">
        <w:t xml:space="preserve"> the</w:t>
      </w:r>
      <w:r w:rsidR="006A04C9" w:rsidRPr="006A04C9">
        <w:t xml:space="preserve"> validity</w:t>
      </w:r>
      <w:r w:rsidR="006A04C9">
        <w:t xml:space="preserve"> of the research</w:t>
      </w:r>
      <w:r w:rsidR="006A04C9" w:rsidRPr="006A04C9">
        <w:t>.</w:t>
      </w:r>
    </w:p>
    <w:p w14:paraId="0C6372A5" w14:textId="77777777" w:rsidR="006A04C9" w:rsidRDefault="006A04C9" w:rsidP="00EF0941">
      <w:pPr>
        <w:spacing w:line="360" w:lineRule="auto"/>
      </w:pPr>
    </w:p>
    <w:p w14:paraId="5D0CF191" w14:textId="4894D055" w:rsidR="006D5F65" w:rsidRDefault="006D5F65" w:rsidP="00EF0941">
      <w:pPr>
        <w:pStyle w:val="ListParagraph"/>
        <w:numPr>
          <w:ilvl w:val="0"/>
          <w:numId w:val="2"/>
        </w:numPr>
        <w:spacing w:line="360" w:lineRule="auto"/>
        <w:rPr>
          <w:b/>
          <w:bCs/>
          <w:u w:val="single"/>
        </w:rPr>
      </w:pPr>
      <w:r w:rsidRPr="00EA26BA">
        <w:rPr>
          <w:b/>
          <w:bCs/>
          <w:u w:val="single"/>
        </w:rPr>
        <w:t>Research Methods / Tools</w:t>
      </w:r>
      <w:r w:rsidR="00640262">
        <w:rPr>
          <w:b/>
          <w:bCs/>
          <w:u w:val="single"/>
        </w:rPr>
        <w:t>.</w:t>
      </w:r>
    </w:p>
    <w:p w14:paraId="0562C6E7" w14:textId="73D8F58A" w:rsidR="006A04C9" w:rsidRDefault="006A04C9" w:rsidP="00EF0941">
      <w:pPr>
        <w:spacing w:line="360" w:lineRule="auto"/>
      </w:pPr>
      <w:r>
        <w:t>T</w:t>
      </w:r>
      <w:r w:rsidRPr="006A04C9">
        <w:t xml:space="preserve">his research will incorporate two main instruments—questionnaires and semi-structured interviews—within a case study approach. This aligns with Creswell </w:t>
      </w:r>
      <w:r w:rsidR="00EF0941">
        <w:t>&amp;</w:t>
      </w:r>
      <w:r w:rsidRPr="006A04C9">
        <w:t xml:space="preserve"> Plano Clark’s (2018) recommendation to use multiple tools to capture complex educational issues.</w:t>
      </w:r>
    </w:p>
    <w:p w14:paraId="3976BB2D" w14:textId="4E9CA2D0" w:rsidR="00920ADD" w:rsidRPr="006A04C9" w:rsidRDefault="004D5F49" w:rsidP="00EF0941">
      <w:pPr>
        <w:pStyle w:val="ListParagraph"/>
        <w:numPr>
          <w:ilvl w:val="1"/>
          <w:numId w:val="2"/>
        </w:numPr>
        <w:spacing w:line="360" w:lineRule="auto"/>
        <w:rPr>
          <w:b/>
          <w:bCs/>
        </w:rPr>
      </w:pPr>
      <w:r w:rsidRPr="006A04C9">
        <w:rPr>
          <w:b/>
          <w:bCs/>
        </w:rPr>
        <w:t>Case Studies</w:t>
      </w:r>
    </w:p>
    <w:p w14:paraId="38ED54A2" w14:textId="07A88F50" w:rsidR="006A04C9" w:rsidRPr="006A04C9" w:rsidRDefault="006A04C9" w:rsidP="00EF0941">
      <w:pPr>
        <w:spacing w:line="360" w:lineRule="auto"/>
      </w:pPr>
      <w:r w:rsidRPr="006A04C9">
        <w:t xml:space="preserve">In this study, case studies provide a valuable method for exploring complex educational issues within real-world contexts, such as schools or classrooms. They are particularly effective for examining processes like curriculum design, implementation, or </w:t>
      </w:r>
      <w:r w:rsidRPr="006A04C9">
        <w:lastRenderedPageBreak/>
        <w:t>pedagogical innovation, where context significantly influences practice (Yin, 2018). Case study methodology supports the use of multiple data sources—including interviews, observations, and surveys—facilitating triangulation and enhancing the trustworthiness of findings (Cohen</w:t>
      </w:r>
      <w:r w:rsidR="00EF0941">
        <w:t xml:space="preserve"> et al.</w:t>
      </w:r>
      <w:r w:rsidRPr="006A04C9">
        <w:t>, 2018). This approach enables a rich, detailed understanding of experiences, practices, and institutional dynamics, making it well-suited for investigating how policies like the Curriculum for Wales are interpreted and enacted in diverse settings (Simons, 2009). While case studies may limit the generalisability of findings, they offer valuable, context-specific insights that can inform practice in comparable educational environments (Bassey, 1999).</w:t>
      </w:r>
    </w:p>
    <w:p w14:paraId="2BE2135E" w14:textId="47884F62" w:rsidR="009631C5" w:rsidRPr="00F46B23" w:rsidRDefault="009631C5" w:rsidP="00EF0941">
      <w:pPr>
        <w:pStyle w:val="ListParagraph"/>
        <w:numPr>
          <w:ilvl w:val="1"/>
          <w:numId w:val="2"/>
        </w:numPr>
        <w:spacing w:line="360" w:lineRule="auto"/>
        <w:rPr>
          <w:b/>
          <w:bCs/>
        </w:rPr>
      </w:pPr>
      <w:r w:rsidRPr="00F46B23">
        <w:rPr>
          <w:b/>
          <w:bCs/>
        </w:rPr>
        <w:t>Questionnaires</w:t>
      </w:r>
    </w:p>
    <w:p w14:paraId="1C2CA643" w14:textId="77777777" w:rsidR="00F46B23" w:rsidRPr="00F46B23" w:rsidRDefault="00F46B23" w:rsidP="00EF0941">
      <w:pPr>
        <w:spacing w:line="360" w:lineRule="auto"/>
      </w:pPr>
      <w:r w:rsidRPr="00F46B23">
        <w:t>Questionnaires will be used in the initial phase of this study to gather broad-ranging data from Humanities teachers and leaders across Wales. These will explore participants' philosophical orientations, perceptions and experiences of curriculum reform, and their interpretations of government guidance. This method aligns with the view that qualitative questionnaires can reveal patterns and divergences in responses, helping to identify common concerns, points of consensus, or areas of uncertainty (Cohen, Manion &amp; Morrison, 2007).</w:t>
      </w:r>
    </w:p>
    <w:p w14:paraId="4380726F" w14:textId="77777777" w:rsidR="00F46B23" w:rsidRPr="00F46B23" w:rsidRDefault="00F46B23" w:rsidP="00EF0941">
      <w:pPr>
        <w:spacing w:line="360" w:lineRule="auto"/>
      </w:pPr>
      <w:r w:rsidRPr="00F46B23">
        <w:t>Questionnaires offer scalability and standardisation, making them particularly effective for accessing geographically dispersed participants (Bryman, 2016). Wellington (2015) also suggests that standardised formats enhance comparability, which is especially valuable in this study’s aim to compare responses across diverse school settings.</w:t>
      </w:r>
    </w:p>
    <w:p w14:paraId="34B0C7E6" w14:textId="5D7B7974" w:rsidR="00F46B23" w:rsidRPr="00F46B23" w:rsidRDefault="00F46B23" w:rsidP="00EF0941">
      <w:pPr>
        <w:spacing w:line="360" w:lineRule="auto"/>
      </w:pPr>
      <w:r w:rsidRPr="00F46B23">
        <w:t>However, while standardisation ensures consistency, it also presents challenges. Cohen</w:t>
      </w:r>
      <w:r w:rsidR="00EF0941">
        <w:t xml:space="preserve"> et al.,</w:t>
      </w:r>
      <w:r w:rsidRPr="00F46B23">
        <w:t xml:space="preserve"> (2018) and Bell (2010) note that respondents may tailor answers to align with perceived professional norms, introducing response bias and affecting the validity of the findings. To mitigate this, questionnaires will include both closed and open-ended items, allowing for quantitative analysis alongside limited qualitative insight (Punch, 2009). To enhance structure and coherence, Youngman’s (1982) taxonomy will guide the construction of a balanced range of question types.</w:t>
      </w:r>
    </w:p>
    <w:p w14:paraId="6EEE5037" w14:textId="2246E4E9" w:rsidR="00F46B23" w:rsidRPr="00F46B23" w:rsidRDefault="00F46B23" w:rsidP="00EF0941">
      <w:pPr>
        <w:spacing w:line="360" w:lineRule="auto"/>
      </w:pPr>
      <w:r w:rsidRPr="00F46B23">
        <w:t xml:space="preserve">The inclusion of open-ended items is especially important when researching complex reforms such as curriculum realisation, as they provide space for contextualised </w:t>
      </w:r>
      <w:r w:rsidRPr="00F46B23">
        <w:lastRenderedPageBreak/>
        <w:t xml:space="preserve">responses and deeper rationale (McNiff, 2016). However, Creswell </w:t>
      </w:r>
      <w:r w:rsidR="00EF0941">
        <w:t>&amp;</w:t>
      </w:r>
      <w:r w:rsidRPr="00F46B23">
        <w:t xml:space="preserve"> Creswell (2017) highlight that questionnaires lack flexibility: once distributed, questions cannot be adapted based on participant responses. Additionally, low response rates</w:t>
      </w:r>
      <w:r>
        <w:t xml:space="preserve">, </w:t>
      </w:r>
      <w:r w:rsidRPr="00F46B23">
        <w:t>a common challenge in educational research (Wellington, 2015; Cohen et al., 2018)</w:t>
      </w:r>
      <w:r>
        <w:t xml:space="preserve">, </w:t>
      </w:r>
      <w:r w:rsidRPr="00F46B23">
        <w:t>may impact the representativeness of the data and introduce sampling bias.</w:t>
      </w:r>
    </w:p>
    <w:p w14:paraId="0D6AC311" w14:textId="6966D0E3" w:rsidR="009631C5" w:rsidRPr="00DE5F84" w:rsidRDefault="00DE5F84" w:rsidP="00EF0941">
      <w:pPr>
        <w:spacing w:line="360" w:lineRule="auto"/>
        <w:rPr>
          <w:b/>
          <w:bCs/>
        </w:rPr>
      </w:pPr>
      <w:r>
        <w:rPr>
          <w:b/>
          <w:bCs/>
        </w:rPr>
        <w:t xml:space="preserve">3.3 </w:t>
      </w:r>
      <w:r w:rsidR="009631C5" w:rsidRPr="00DE5F84">
        <w:rPr>
          <w:b/>
          <w:bCs/>
        </w:rPr>
        <w:t>Semi Structured interviews</w:t>
      </w:r>
    </w:p>
    <w:p w14:paraId="5E7F32E2" w14:textId="34B0253F" w:rsidR="00F46B23" w:rsidRPr="00F46B23" w:rsidRDefault="00F46B23" w:rsidP="00EF0941">
      <w:pPr>
        <w:spacing w:line="360" w:lineRule="auto"/>
      </w:pPr>
      <w:r w:rsidRPr="00F46B23">
        <w:t>To mitigate the limitations of questionnaires and to gain a deeper understanding of Humanities teachers’ sense-making processes, this study will incorporate semi-structured interviews and focus groups following the initial survey phase. Interviews will enable a more detailed exploration of participant perspectives and reasoning. They are particularly effective for uncovering the meanings individuals attach to their experiences, especially within dynamic and evolving policy contexts such as curriculum reform (Denzin &amp; Lincoln, 2018). In</w:t>
      </w:r>
      <w:r w:rsidR="00121BCB">
        <w:t xml:space="preserve"> my context of</w:t>
      </w:r>
      <w:r w:rsidRPr="00F46B23">
        <w:t xml:space="preserve"> </w:t>
      </w:r>
      <w:r w:rsidR="00281077">
        <w:t>education-based</w:t>
      </w:r>
      <w:r>
        <w:t xml:space="preserve"> research</w:t>
      </w:r>
      <w:r w:rsidRPr="00F46B23">
        <w:t>, interviews are</w:t>
      </w:r>
      <w:r>
        <w:t xml:space="preserve"> </w:t>
      </w:r>
      <w:r w:rsidRPr="00F46B23">
        <w:t>recognised for their capacity to reveal the complex realities of professional practice (Menter et al., 2011; Daly &amp; Milton, 2017).</w:t>
      </w:r>
    </w:p>
    <w:p w14:paraId="54BC4DF6" w14:textId="14C88681" w:rsidR="00F46B23" w:rsidRPr="00F46B23" w:rsidRDefault="00F46B23" w:rsidP="00EF0941">
      <w:pPr>
        <w:spacing w:line="360" w:lineRule="auto"/>
      </w:pPr>
      <w:r w:rsidRPr="00F46B23">
        <w:t xml:space="preserve">Cohen et al. (2018) highlight the value of interviews in investigating teacher agency, </w:t>
      </w:r>
      <w:r>
        <w:t>this point is developed by</w:t>
      </w:r>
      <w:r w:rsidRPr="00F46B23">
        <w:t xml:space="preserve"> Priestley</w:t>
      </w:r>
      <w:r w:rsidR="00EF0941">
        <w:t xml:space="preserve"> </w:t>
      </w:r>
      <w:r>
        <w:t>&amp;</w:t>
      </w:r>
      <w:r w:rsidRPr="00F46B23">
        <w:t xml:space="preserve"> Biesta</w:t>
      </w:r>
      <w:r>
        <w:t xml:space="preserve"> (2017)</w:t>
      </w:r>
      <w:r w:rsidRPr="00F46B23">
        <w:t xml:space="preserve"> and Robinson (2015) </w:t>
      </w:r>
      <w:r>
        <w:t xml:space="preserve">who </w:t>
      </w:r>
      <w:r w:rsidRPr="00F46B23">
        <w:t>argue that interviews help uncover the underlying values, assumptions, and tensions that shape teachers’ curriculum decisions. The semi-structured format provides flexibility, allowing the researcher to follow up on emergent themes and probe deeper into participant responses (Rubin &amp; Rubin, 2012). This structure also encourages participant ownership of the conversation, which may increase engagement and yield richer insights into curriculum design practices within the Humanities (Gubrium &amp; Holstein, 2009).</w:t>
      </w:r>
    </w:p>
    <w:p w14:paraId="5C253CC1" w14:textId="77777777" w:rsidR="00F46B23" w:rsidRPr="00F46B23" w:rsidRDefault="00F46B23" w:rsidP="00EF0941">
      <w:pPr>
        <w:spacing w:line="360" w:lineRule="auto"/>
      </w:pPr>
      <w:r w:rsidRPr="00F46B23">
        <w:t xml:space="preserve">Despite their strengths, interviews carry potential limitations. Researcher bias may influence how questions are posed or interpreted, particularly when power dynamics or insider knowledge shape the interaction (Bell, 2010; Thomas, 2017). To mitigate this, a consistent interview protocol will be employed, and reflexive practices will be used throughout the process to enhance reliability and reduce the influence of bias (McNiff, 2016). Additionally, interviewer skill can significantly affect the depth and consistency </w:t>
      </w:r>
      <w:r w:rsidRPr="00F46B23">
        <w:lastRenderedPageBreak/>
        <w:t>of data gathered, as noted by Denscombe (2014), making preparation and training essential.</w:t>
      </w:r>
    </w:p>
    <w:p w14:paraId="5FCABB0D" w14:textId="58A98318" w:rsidR="006D5F65" w:rsidRDefault="00DE7617" w:rsidP="00EF0941">
      <w:pPr>
        <w:pStyle w:val="ListParagraph"/>
        <w:numPr>
          <w:ilvl w:val="1"/>
          <w:numId w:val="2"/>
        </w:numPr>
        <w:spacing w:line="360" w:lineRule="auto"/>
        <w:rPr>
          <w:b/>
          <w:bCs/>
        </w:rPr>
      </w:pPr>
      <w:r w:rsidRPr="00281077">
        <w:rPr>
          <w:b/>
          <w:bCs/>
        </w:rPr>
        <w:t>I</w:t>
      </w:r>
      <w:r w:rsidR="006D5F65" w:rsidRPr="00281077">
        <w:rPr>
          <w:b/>
          <w:bCs/>
        </w:rPr>
        <w:t xml:space="preserve">ntended </w:t>
      </w:r>
      <w:r w:rsidR="00281077">
        <w:rPr>
          <w:b/>
          <w:bCs/>
        </w:rPr>
        <w:t>S</w:t>
      </w:r>
      <w:r w:rsidR="006D5F65" w:rsidRPr="00281077">
        <w:rPr>
          <w:b/>
          <w:bCs/>
        </w:rPr>
        <w:t>ample</w:t>
      </w:r>
    </w:p>
    <w:p w14:paraId="6653BB03" w14:textId="6BDCBDC1" w:rsidR="00281077" w:rsidRPr="00281077" w:rsidRDefault="00281077" w:rsidP="00EF0941">
      <w:pPr>
        <w:spacing w:line="360" w:lineRule="auto"/>
      </w:pPr>
      <w:r w:rsidRPr="00281077">
        <w:t>Given the high level of engagement required from Humanities AoLEs, convenience sampling</w:t>
      </w:r>
      <w:r>
        <w:t xml:space="preserve"> arguably</w:t>
      </w:r>
      <w:r w:rsidRPr="00281077">
        <w:t xml:space="preserve"> presents a practical and accessible option for this research. It facilitates swift recruitment, especially in educational contexts where time and resources are often constrained (Babbie, 2016). My established professional relationships with schools across Wales further support the identification of potential case studies. However, convenience sampling has recognised limitations. Bryman (2016) notes that it may introduce sampling bias, as participants are selected based on ease of access rather than representativeness. Furthermore, self-selection bias is a potential issue, as those who volunteer may differ significantly in views or experiences from those who opt out (Cohen </w:t>
      </w:r>
      <w:r w:rsidR="00EF0941">
        <w:t>et al.</w:t>
      </w:r>
      <w:r w:rsidRPr="00281077">
        <w:t>, 2018; Neuman, 2014). This may affect the reliability and generalisability of the findings.</w:t>
      </w:r>
    </w:p>
    <w:p w14:paraId="1B21B133" w14:textId="77777777" w:rsidR="00281077" w:rsidRPr="00281077" w:rsidRDefault="00281077" w:rsidP="00EF0941">
      <w:pPr>
        <w:spacing w:line="360" w:lineRule="auto"/>
      </w:pPr>
      <w:r w:rsidRPr="00281077">
        <w:t>Another concern is that convenience sampling may overlook underrepresented voices within the Humanities AoLE, leading to a narrower range of perspectives (Creswell &amp; Creswell, 2018). While useful for efficient data collection, Denscombe (2010) stresses the importance of aligning sampling strategies with the research’s objectives and methodological rigour.</w:t>
      </w:r>
    </w:p>
    <w:p w14:paraId="31D8B217" w14:textId="3400547C" w:rsidR="00281077" w:rsidRDefault="00281077" w:rsidP="00EF0941">
      <w:pPr>
        <w:spacing w:line="360" w:lineRule="auto"/>
      </w:pPr>
      <w:r w:rsidRPr="00281077">
        <w:t>To mitigate these issues, purposive sampling may also be employed. This approach enables the deliberate selection of participants based on their expertise and relevance to the research focus</w:t>
      </w:r>
      <w:r>
        <w:t xml:space="preserve">, </w:t>
      </w:r>
      <w:r w:rsidRPr="00281077">
        <w:t xml:space="preserve">such as educators actively involved in Humanities curriculum design (Denscombe, 2010). Patton (2015) </w:t>
      </w:r>
      <w:r>
        <w:t>advocates</w:t>
      </w:r>
      <w:r w:rsidRPr="00281077">
        <w:t xml:space="preserve"> purposive sampling for generating rich, context-specific insights. Its emphasis on depth rather than breadth (Bernard, 2018) aligns with the study’s qualitative orientation. Additionally, my professional networks may support the identification of informed participants. However, purposive sampling also carries risks, as the researcher’s judgement in participant selection can introduce bias (Creswell &amp; Creswell, 2018), particularly given my insider positionality.</w:t>
      </w:r>
    </w:p>
    <w:p w14:paraId="429A05BF" w14:textId="77777777" w:rsidR="00121BCB" w:rsidRPr="00281077" w:rsidRDefault="00121BCB" w:rsidP="00EF0941">
      <w:pPr>
        <w:spacing w:line="360" w:lineRule="auto"/>
      </w:pPr>
    </w:p>
    <w:p w14:paraId="7F76D376" w14:textId="6504892B" w:rsidR="006D5F65" w:rsidRPr="00281077" w:rsidRDefault="007405A8" w:rsidP="00EF0941">
      <w:pPr>
        <w:pStyle w:val="ListParagraph"/>
        <w:numPr>
          <w:ilvl w:val="1"/>
          <w:numId w:val="2"/>
        </w:numPr>
        <w:spacing w:line="360" w:lineRule="auto"/>
        <w:rPr>
          <w:b/>
          <w:bCs/>
        </w:rPr>
      </w:pPr>
      <w:r w:rsidRPr="00281077">
        <w:rPr>
          <w:b/>
          <w:bCs/>
        </w:rPr>
        <w:lastRenderedPageBreak/>
        <w:t>E</w:t>
      </w:r>
      <w:r w:rsidR="006D5F65" w:rsidRPr="00281077">
        <w:rPr>
          <w:b/>
          <w:bCs/>
        </w:rPr>
        <w:t>thical Considerations</w:t>
      </w:r>
    </w:p>
    <w:p w14:paraId="25021DB5" w14:textId="270A9B6C" w:rsidR="00281077" w:rsidRPr="00281077" w:rsidRDefault="00281077" w:rsidP="00EF0941">
      <w:pPr>
        <w:spacing w:line="360" w:lineRule="auto"/>
      </w:pPr>
      <w:r w:rsidRPr="00281077">
        <w:t xml:space="preserve">This research will adhere to the ethical guidelines established by the University of Wales Trinity Saint David (UWTSD) and the British Educational Research Association (BERA, 2024), with particular emphasis on informed consent, participant autonomy, and well-being. The mixed methods design, particularly the qualitative elements such as interviews and focus groups, necessitates careful ethical consideration due to the personal and professional nature of the data collected. </w:t>
      </w:r>
      <w:r>
        <w:t>Q</w:t>
      </w:r>
      <w:r w:rsidRPr="00281077">
        <w:t>ualitative educational research often involves ethical complexities, including emotional vulnerability and imbalances in power relations</w:t>
      </w:r>
      <w:r w:rsidRPr="00281077">
        <w:t xml:space="preserve"> </w:t>
      </w:r>
      <w:r>
        <w:t>(</w:t>
      </w:r>
      <w:r w:rsidRPr="00281077">
        <w:t>Punch 2009</w:t>
      </w:r>
      <w:r>
        <w:t>;</w:t>
      </w:r>
      <w:r w:rsidRPr="00281077">
        <w:t xml:space="preserve"> Menter et al. 2011). Bell (2010) further cautions that research can unintentionally intrude upon participants' professional identities, particularly within sensitive contexts such as curriculum reform.</w:t>
      </w:r>
    </w:p>
    <w:p w14:paraId="23E56A1D" w14:textId="1228D2F1" w:rsidR="00281077" w:rsidRPr="00281077" w:rsidRDefault="00281077" w:rsidP="00EF0941">
      <w:pPr>
        <w:spacing w:line="360" w:lineRule="auto"/>
      </w:pPr>
      <w:r w:rsidRPr="00281077">
        <w:t>The transformative scope of CfW, which promotes teacher agency and school-level autonomy (Donaldson, 2015), may heighten stress and uncertainty among educators—pressures that are often intensified by external factors such as accountability measures and funding constraints (Sibieta, 2020; Daly &amp; Milton, 2017). Ethical reflexivity will therefore be essential, requiring the researcher to remain attuned to participants’ professional and emotional contexts throughout the study.</w:t>
      </w:r>
    </w:p>
    <w:p w14:paraId="2156C1FD" w14:textId="17BD43BB" w:rsidR="00281077" w:rsidRPr="00281077" w:rsidRDefault="00281077" w:rsidP="00EF0941">
      <w:pPr>
        <w:spacing w:line="360" w:lineRule="auto"/>
      </w:pPr>
      <w:r w:rsidRPr="00281077">
        <w:t>Informed consent will be treated as an ongoing and iterative process. Participants will receive detailed information sheets outlining the purpose, procedures, and voluntary nature of the study. They will retain the right to withdraw at any point and be offered flexible interview arrangements, including online options, to support accessibility and comfort (Cohen</w:t>
      </w:r>
      <w:r w:rsidR="00EF0941">
        <w:t xml:space="preserve">, et al., </w:t>
      </w:r>
      <w:r w:rsidRPr="00281077">
        <w:t>2018; McNiff, 2016). Anonymity and confidentiality will be safeguarded through the use of pseudonyms and secure data storage, in accordance with GDPR and institutional protocols (Wellington, 2015).</w:t>
      </w:r>
    </w:p>
    <w:p w14:paraId="3D2CE2AC" w14:textId="77777777" w:rsidR="00281077" w:rsidRDefault="00281077" w:rsidP="00EF0941">
      <w:pPr>
        <w:spacing w:line="360" w:lineRule="auto"/>
      </w:pPr>
      <w:r w:rsidRPr="00281077">
        <w:t>Furthermore, participants will be encouraged to ask questions and engage in pre-consent dialogue, ensuring transparency and respect for their agency (Thomas, 2017; BERA, 2024). These ethical practices will help to foster trust, minimise risk, and honour the contributions of educators participating in the study.</w:t>
      </w:r>
    </w:p>
    <w:p w14:paraId="5D8A5B6E" w14:textId="77777777" w:rsidR="00121BCB" w:rsidRPr="00281077" w:rsidRDefault="00121BCB" w:rsidP="00EF0941">
      <w:pPr>
        <w:spacing w:line="360" w:lineRule="auto"/>
      </w:pPr>
    </w:p>
    <w:p w14:paraId="11A7C804" w14:textId="5329FB19" w:rsidR="00EA26BA" w:rsidRDefault="00EA26BA" w:rsidP="00EF0941">
      <w:pPr>
        <w:pStyle w:val="ListParagraph"/>
        <w:numPr>
          <w:ilvl w:val="0"/>
          <w:numId w:val="2"/>
        </w:numPr>
        <w:spacing w:line="360" w:lineRule="auto"/>
        <w:rPr>
          <w:b/>
          <w:bCs/>
        </w:rPr>
      </w:pPr>
      <w:r w:rsidRPr="00DE5F84">
        <w:rPr>
          <w:b/>
          <w:bCs/>
        </w:rPr>
        <w:lastRenderedPageBreak/>
        <w:t>Data Presentation and Analysis Method(s)</w:t>
      </w:r>
    </w:p>
    <w:p w14:paraId="264F1A15" w14:textId="77777777" w:rsidR="007545D2" w:rsidRPr="007545D2" w:rsidRDefault="007545D2" w:rsidP="00EF0941">
      <w:pPr>
        <w:spacing w:line="360" w:lineRule="auto"/>
      </w:pPr>
      <w:r w:rsidRPr="007545D2">
        <w:t>Content analysis presents a suitable and systematic method for examining textual data to identify patterns, themes, and meanings, particularly when addressing complex educational phenomena such as curriculum design in the Humanities. It will serve as a key analytic approach in this study, applied to qualitative data derived from semi-structured interviews, questionnaires, and case study documentation.</w:t>
      </w:r>
    </w:p>
    <w:p w14:paraId="2F7D811F" w14:textId="282C0149" w:rsidR="007545D2" w:rsidRPr="007545D2" w:rsidRDefault="007545D2" w:rsidP="00EF0941">
      <w:pPr>
        <w:spacing w:line="360" w:lineRule="auto"/>
      </w:pPr>
      <w:r w:rsidRPr="007545D2">
        <w:t>In case study research, which involves the in-depth examination of specific schools or classrooms, content analysis facilitates the synthesis of multiple data sources</w:t>
      </w:r>
      <w:r>
        <w:t xml:space="preserve">, </w:t>
      </w:r>
      <w:r w:rsidRPr="007545D2">
        <w:t>such as interview transcripts, institutional documents, and observations</w:t>
      </w:r>
      <w:r>
        <w:t xml:space="preserve">, </w:t>
      </w:r>
      <w:r w:rsidRPr="007545D2">
        <w:t xml:space="preserve">thereby providing a holistic understanding of how curriculum reforms are interpreted and enacted in diverse contexts (Yin, 2018). Semi-structured interviews within this context are expected to </w:t>
      </w:r>
      <w:r>
        <w:t>produce</w:t>
      </w:r>
      <w:r w:rsidRPr="007545D2">
        <w:t xml:space="preserve"> rich, open-ended data reflecting participants’ insights into curriculum implementation, associated challenges, and adopted strategies (Cohen et al., 2018). Content analysis will enable the organisation and interpretation of these data, helping to identify recurring themes such as teacher agency, curriculum flexibility, and interdisciplinary practice. This thematic categorisation will illuminate how educators navigate the realities of curriculum reform in the Humanities (Rubin &amp; Rubin, 2012). Nonetheless, as Bryman (2016) notes, rigorous coding is essential to ensure reliability and objectivity in the analytic process.</w:t>
      </w:r>
    </w:p>
    <w:p w14:paraId="38389833" w14:textId="67A41B0B" w:rsidR="007545D2" w:rsidRPr="007545D2" w:rsidRDefault="007545D2" w:rsidP="00EF0941">
      <w:pPr>
        <w:spacing w:line="360" w:lineRule="auto"/>
      </w:pPr>
      <w:r w:rsidRPr="007545D2">
        <w:t>In relation to questionnaire data</w:t>
      </w:r>
      <w:r>
        <w:t xml:space="preserve">, </w:t>
      </w:r>
      <w:r w:rsidRPr="007545D2">
        <w:t>particularly open-ended responses exploring educators’ views on Humanities curriculum reform</w:t>
      </w:r>
      <w:r>
        <w:t xml:space="preserve">, </w:t>
      </w:r>
      <w:r w:rsidRPr="007545D2">
        <w:t xml:space="preserve">content analysis will enable the categorisation of responses to uncover perceived strengths, limitations, and underlying rationales. Although challenges such as response bias or </w:t>
      </w:r>
      <w:r>
        <w:t>lack</w:t>
      </w:r>
      <w:r w:rsidRPr="007545D2">
        <w:t xml:space="preserve"> of elaboration may arise, the qualitative depth gained through content analysis provides a valuable complement to quantitative findings (Bryman, 2016).</w:t>
      </w:r>
    </w:p>
    <w:p w14:paraId="4E0826ED" w14:textId="31536556" w:rsidR="007545D2" w:rsidRPr="007545D2" w:rsidRDefault="007545D2" w:rsidP="00EF0941">
      <w:pPr>
        <w:spacing w:line="360" w:lineRule="auto"/>
      </w:pPr>
      <w:r w:rsidRPr="007545D2">
        <w:t xml:space="preserve">The analysis of semi-structured interview transcripts will generate a substantial and diverse </w:t>
      </w:r>
      <w:r>
        <w:t>range</w:t>
      </w:r>
      <w:r w:rsidRPr="007545D2">
        <w:t xml:space="preserve"> of qualitative data. Thematic analysis, guided by Braun </w:t>
      </w:r>
      <w:r w:rsidR="0006567F">
        <w:t>&amp;</w:t>
      </w:r>
      <w:r w:rsidRPr="007545D2">
        <w:t xml:space="preserve"> Clarke’s (2006) framework, will be used to systematically code the data and identify significant patterns across participants’ accounts. This method supports the development of themes related to teachers’ educational philosophies, interpretations of curriculum models, </w:t>
      </w:r>
      <w:r w:rsidRPr="007545D2">
        <w:lastRenderedPageBreak/>
        <w:t>and their experiences with CfW, including both supportive and critical perspectives. Coding</w:t>
      </w:r>
      <w:r w:rsidR="0006567F">
        <w:t xml:space="preserve"> </w:t>
      </w:r>
      <w:r w:rsidRPr="007545D2">
        <w:t>forms the foundation of meaningful interpretation in qualitative research</w:t>
      </w:r>
      <w:r w:rsidR="0006567F" w:rsidRPr="0006567F">
        <w:t xml:space="preserve"> </w:t>
      </w:r>
      <w:r w:rsidR="0006567F">
        <w:t>(R</w:t>
      </w:r>
      <w:r w:rsidR="0006567F" w:rsidRPr="0006567F">
        <w:t xml:space="preserve">ichards </w:t>
      </w:r>
      <w:r w:rsidR="0006567F">
        <w:t>&amp;</w:t>
      </w:r>
      <w:r w:rsidR="0006567F" w:rsidRPr="0006567F">
        <w:t xml:space="preserve"> Morse</w:t>
      </w:r>
      <w:r w:rsidR="0006567F">
        <w:t xml:space="preserve">, </w:t>
      </w:r>
      <w:r w:rsidR="0006567F" w:rsidRPr="0006567F">
        <w:t>2007)</w:t>
      </w:r>
      <w:r w:rsidRPr="007545D2">
        <w:t xml:space="preserve">. However, </w:t>
      </w:r>
      <w:r w:rsidR="0006567F">
        <w:t xml:space="preserve">it must be noted that </w:t>
      </w:r>
      <w:r w:rsidRPr="007545D2">
        <w:t>coding remains an interpretive act, and not all segments of text may align neatly with pre-established codes or themes (Cohen et al., 2007).</w:t>
      </w:r>
    </w:p>
    <w:p w14:paraId="26E08648" w14:textId="3BB2E5C0" w:rsidR="007545D2" w:rsidRPr="007545D2" w:rsidRDefault="007545D2" w:rsidP="00EF0941">
      <w:pPr>
        <w:spacing w:line="360" w:lineRule="auto"/>
      </w:pPr>
      <w:r w:rsidRPr="007545D2">
        <w:t>To address this, care will be taken to preserve the context and integrity of selected quotes, ensuring that excerpts from both interviews and questionnaire responses are representative of broader participant perspectives. Additionally, the constant comparative method (Thomas, 2017) will be employed to further support theme development by examining similarities and differences across responses. This iterative process involves comparing data unit</w:t>
      </w:r>
      <w:r w:rsidR="0006567F">
        <w:t xml:space="preserve">s, </w:t>
      </w:r>
      <w:r w:rsidRPr="007545D2">
        <w:t>ranging from individual phrases to longer narrative</w:t>
      </w:r>
      <w:r w:rsidR="0006567F">
        <w:t xml:space="preserve">, </w:t>
      </w:r>
      <w:r w:rsidRPr="007545D2">
        <w:t>to identify commonalities, contradictions, and evolving patterns. This technique</w:t>
      </w:r>
      <w:r w:rsidR="0006567F">
        <w:t xml:space="preserve"> </w:t>
      </w:r>
      <w:r w:rsidRPr="007545D2">
        <w:t xml:space="preserve">will be </w:t>
      </w:r>
      <w:r w:rsidR="0006567F">
        <w:t>vital</w:t>
      </w:r>
      <w:r w:rsidRPr="007545D2">
        <w:t xml:space="preserve"> in capturing the complexities of teachers’ sense-making processes and curriculum realisation within the Humanities.</w:t>
      </w:r>
    </w:p>
    <w:p w14:paraId="4BFAF4C1" w14:textId="77777777" w:rsidR="007545D2" w:rsidRPr="00DE5F84" w:rsidRDefault="007545D2" w:rsidP="00EF0941">
      <w:pPr>
        <w:pStyle w:val="ListParagraph"/>
        <w:spacing w:line="360" w:lineRule="auto"/>
        <w:ind w:left="360"/>
        <w:rPr>
          <w:b/>
          <w:bCs/>
        </w:rPr>
      </w:pPr>
    </w:p>
    <w:p w14:paraId="6591FBCA" w14:textId="45252FC6" w:rsidR="00EA26BA" w:rsidRDefault="00EA26BA" w:rsidP="00EF0941">
      <w:pPr>
        <w:pStyle w:val="ListParagraph"/>
        <w:numPr>
          <w:ilvl w:val="0"/>
          <w:numId w:val="2"/>
        </w:numPr>
        <w:spacing w:line="360" w:lineRule="auto"/>
        <w:rPr>
          <w:b/>
          <w:bCs/>
        </w:rPr>
      </w:pPr>
      <w:r w:rsidRPr="00726718">
        <w:rPr>
          <w:b/>
          <w:bCs/>
        </w:rPr>
        <w:t>Conclusions</w:t>
      </w:r>
      <w:r w:rsidR="00726718">
        <w:rPr>
          <w:b/>
          <w:bCs/>
        </w:rPr>
        <w:t>.</w:t>
      </w:r>
      <w:r w:rsidRPr="00726718">
        <w:rPr>
          <w:b/>
          <w:bCs/>
        </w:rPr>
        <w:t xml:space="preserve"> </w:t>
      </w:r>
    </w:p>
    <w:p w14:paraId="5FA5C5CC" w14:textId="2F6C0DF2" w:rsidR="0006567F" w:rsidRPr="0006567F" w:rsidRDefault="0006567F" w:rsidP="00EF0941">
      <w:pPr>
        <w:spacing w:line="360" w:lineRule="auto"/>
      </w:pPr>
      <w:r w:rsidRPr="0006567F">
        <w:t xml:space="preserve">The data collection methods </w:t>
      </w:r>
      <w:r>
        <w:t>outline for</w:t>
      </w:r>
      <w:r w:rsidRPr="0006567F">
        <w:t xml:space="preserve"> this research</w:t>
      </w:r>
      <w:r>
        <w:t xml:space="preserve"> </w:t>
      </w:r>
      <w:r w:rsidRPr="0006567F">
        <w:t>are generally robust, though not without limitations. Semi-structured interviews offer consistency through the use of a guiding framework while also allowing flexibility to explore emerging themes. However, their reliability may be affected by interviewer bias and variation in questioning techniques (Cohen et al., 2018). Questionnaires, similarly, provide standardisation across participants, which supports reliability, yet may be susceptible to response biases such as social desirability, potentially compromising data accuracy (Bryman, 2016). The integration of case studies, however, contributes to triangulation, which enhances reliability by cross-validating data across different sources and contexts (Yin, 2018).</w:t>
      </w:r>
    </w:p>
    <w:p w14:paraId="66517B54" w14:textId="7C5DCC46" w:rsidR="0006567F" w:rsidRPr="0006567F" w:rsidRDefault="0006567F" w:rsidP="00EF0941">
      <w:pPr>
        <w:spacing w:line="360" w:lineRule="auto"/>
      </w:pPr>
      <w:r w:rsidRPr="0006567F">
        <w:t>In terms of validity, the mixed methods approach adopted in this study</w:t>
      </w:r>
      <w:r>
        <w:t xml:space="preserve"> will</w:t>
      </w:r>
      <w:r w:rsidRPr="0006567F">
        <w:t xml:space="preserve"> strengthen the credibility of findings. Semi-structured interviews </w:t>
      </w:r>
      <w:r>
        <w:t>will be</w:t>
      </w:r>
      <w:r w:rsidRPr="0006567F">
        <w:t xml:space="preserve"> particularly effective for capturing the depth and nuance of teachers’ experiences and professional reasoning in relation to curriculum sense-making and design (Menter et al., 2011). The inclusion of </w:t>
      </w:r>
      <w:r w:rsidRPr="0006567F">
        <w:lastRenderedPageBreak/>
        <w:t>open-ended questions in both interviews and questionnaires</w:t>
      </w:r>
      <w:r>
        <w:t xml:space="preserve"> will</w:t>
      </w:r>
      <w:r w:rsidRPr="0006567F">
        <w:t xml:space="preserve"> further enable participants to articulate detailed responses, which enhances the internal validity of the data collected (Cohen et al., 2018). While researcher bias and interpretive subjectivity are potential risks, the</w:t>
      </w:r>
      <w:r>
        <w:t>y</w:t>
      </w:r>
      <w:r w:rsidRPr="0006567F">
        <w:t xml:space="preserve"> </w:t>
      </w:r>
      <w:r>
        <w:t>will be</w:t>
      </w:r>
      <w:r w:rsidRPr="0006567F">
        <w:t xml:space="preserve"> addressed through reflexivity and triangulation, which</w:t>
      </w:r>
      <w:r>
        <w:t xml:space="preserve"> will</w:t>
      </w:r>
      <w:r w:rsidRPr="0006567F">
        <w:t xml:space="preserve"> collectively</w:t>
      </w:r>
      <w:r>
        <w:t xml:space="preserve"> </w:t>
      </w:r>
      <w:r w:rsidRPr="0006567F">
        <w:t>support a more balanced and credible analysis (Patton, 2015).</w:t>
      </w:r>
    </w:p>
    <w:p w14:paraId="784C657A" w14:textId="17E4F7F9" w:rsidR="0006567F" w:rsidRDefault="0006567F" w:rsidP="00EF0941">
      <w:pPr>
        <w:spacing w:line="360" w:lineRule="auto"/>
      </w:pPr>
      <w:r w:rsidRPr="0006567F">
        <w:t>Generali</w:t>
      </w:r>
      <w:r>
        <w:t>s</w:t>
      </w:r>
      <w:r w:rsidRPr="0006567F">
        <w:t xml:space="preserve">ability, however, presents a recognised limitation. The use of convenience and purposive sampling, while practical and contextually appropriate, may not </w:t>
      </w:r>
      <w:r>
        <w:t>produce</w:t>
      </w:r>
      <w:r w:rsidRPr="0006567F">
        <w:t xml:space="preserve"> a sample fully representative of all Humanities teachers across Wales. Consequently, the findings will be more context-specific, particularly applicable to the participating schools. Nevertheless, the insights derived are likely to hold relevance for similar educational settings undergoing curriculum reform, thereby offering transferable lessons (Creswell &amp; Creswell, 2018). Despite these limitations, the combined use of multiple methods and the generation of rich, context-sensitive data promise to make a meaningful contribution to understanding curriculum design and realisation within the Humanities AoLE (Creswell &amp; Plano Clark, 2018).</w:t>
      </w:r>
    </w:p>
    <w:p w14:paraId="1C4FD0B9" w14:textId="3DEDB304" w:rsidR="00EF0941" w:rsidRDefault="00EF0941" w:rsidP="00121BCB">
      <w:pPr>
        <w:spacing w:line="360" w:lineRule="auto"/>
      </w:pPr>
      <w:r>
        <w:t>34</w:t>
      </w:r>
      <w:r w:rsidR="00121BCB">
        <w:t>29</w:t>
      </w:r>
      <w:r>
        <w:t xml:space="preserve"> words</w:t>
      </w:r>
    </w:p>
    <w:p w14:paraId="509151D0" w14:textId="77777777" w:rsidR="00EF0941" w:rsidRDefault="00EF0941" w:rsidP="009C1CB4"/>
    <w:p w14:paraId="5BB47855" w14:textId="608B4AFD" w:rsidR="00640262" w:rsidRPr="00640262" w:rsidRDefault="00640262" w:rsidP="009C1CB4">
      <w:pPr>
        <w:rPr>
          <w:b/>
          <w:bCs/>
        </w:rPr>
      </w:pPr>
      <w:r w:rsidRPr="00640262">
        <w:rPr>
          <w:b/>
          <w:bCs/>
        </w:rPr>
        <w:t>References</w:t>
      </w:r>
    </w:p>
    <w:p w14:paraId="717C03AF" w14:textId="77777777" w:rsidR="00640262" w:rsidRDefault="00640262" w:rsidP="00640262">
      <w:r>
        <w:t>Babbie, E. (2016). The Practice of Social Research (14th ed.). Cengage Learning.</w:t>
      </w:r>
    </w:p>
    <w:p w14:paraId="3DA63534" w14:textId="77777777" w:rsidR="00640262" w:rsidRDefault="00640262" w:rsidP="00640262">
      <w:r>
        <w:t>Bell, J. (2010). Doing Your Research Project (5th ed.). Maidenhead: Open University Press.</w:t>
      </w:r>
    </w:p>
    <w:p w14:paraId="2C53E3A2" w14:textId="77777777" w:rsidR="00640262" w:rsidRDefault="00640262" w:rsidP="00640262">
      <w:r>
        <w:t>BERA (2024). Ethical Guidelines for Educational Research (5th ed.). British Educational Research Association.</w:t>
      </w:r>
    </w:p>
    <w:p w14:paraId="29508C3A" w14:textId="77777777" w:rsidR="00640262" w:rsidRDefault="00640262" w:rsidP="00640262">
      <w:r>
        <w:t>Bernard, H. R. (2018). Research Methods in Anthropology: Qualitative and Quantitative Approaches. Rowman &amp; Littlefield (used in education contexts).</w:t>
      </w:r>
    </w:p>
    <w:p w14:paraId="122066C3" w14:textId="77777777" w:rsidR="00640262" w:rsidRDefault="00640262" w:rsidP="00640262">
      <w:r>
        <w:t>Bourdieu, P. (1990). The Logic of Practice. Stanford University Press.</w:t>
      </w:r>
    </w:p>
    <w:p w14:paraId="00130A94" w14:textId="77777777" w:rsidR="00640262" w:rsidRDefault="00640262" w:rsidP="00640262">
      <w:r>
        <w:t>Braun, V. &amp; Clarke, V. (2006). Using thematic analysis in psychology. Qualitative Research in Psychology, 3(2), 77–101.</w:t>
      </w:r>
    </w:p>
    <w:p w14:paraId="75898B08" w14:textId="77777777" w:rsidR="00640262" w:rsidRDefault="00640262" w:rsidP="00640262">
      <w:r>
        <w:t>Bryman, A. (2016). Social Research Methods (5th ed.). Oxford University Press.</w:t>
      </w:r>
    </w:p>
    <w:p w14:paraId="38A7A5BF" w14:textId="77777777" w:rsidR="00640262" w:rsidRDefault="00640262" w:rsidP="00640262">
      <w:r>
        <w:t>Charmaz, K., 2014. Constructing Grounded Theory 2nd ed. London: SAGE.</w:t>
      </w:r>
    </w:p>
    <w:p w14:paraId="128E70F9" w14:textId="77777777" w:rsidR="00640262" w:rsidRDefault="00640262" w:rsidP="00640262">
      <w:r>
        <w:lastRenderedPageBreak/>
        <w:t>Cohen, L., Manion, L. and Morrison, K. (2018). Research methods in education. 8th ed. London: Routledge.</w:t>
      </w:r>
    </w:p>
    <w:p w14:paraId="7D90B919" w14:textId="77777777" w:rsidR="00640262" w:rsidRDefault="00640262" w:rsidP="00640262">
      <w:r>
        <w:t>Cohen, L., Manion, L., &amp; Morrison, K. (2007). Research Methods in Education (6th ed.). Routledge.</w:t>
      </w:r>
    </w:p>
    <w:p w14:paraId="341A0093" w14:textId="77777777" w:rsidR="00640262" w:rsidRDefault="00640262" w:rsidP="00640262">
      <w:r>
        <w:t>Creswell, J.W. and Creswell, J.D., 2017. Research Design: Qualitative, Quantitative, and Mixed Methods Approaches 5th ed. Thousand Oaks, CA: SAGE.</w:t>
      </w:r>
    </w:p>
    <w:p w14:paraId="6494D10E" w14:textId="77777777" w:rsidR="00640262" w:rsidRDefault="00640262" w:rsidP="00640262">
      <w:r>
        <w:t>Creswell, J. W., &amp; Plano Clark, V. L. (2018). Designing and Conducting Mixed Methods Research (3rd ed.). SAGE.</w:t>
      </w:r>
    </w:p>
    <w:p w14:paraId="3C24F521" w14:textId="77777777" w:rsidR="00640262" w:rsidRDefault="00640262" w:rsidP="00640262">
      <w:r>
        <w:t>Teddlie, C., &amp; Tashakkori, A. (2019). Foundations of Mixed Methods Research: Integrating Quantitative and Qualitative Approaches in the Social and Behavioural Sciences (2nd ed.). SAGE.</w:t>
      </w:r>
    </w:p>
    <w:p w14:paraId="70DCD42B" w14:textId="77777777" w:rsidR="00640262" w:rsidRDefault="00640262" w:rsidP="00640262">
      <w:r>
        <w:t>Daly, C., &amp; Milton, E. (2017). External mentoring for new teachers: Mentor learning for a change agenda. International Journal of Mentoring and Coaching in Education, 6(3), 178–195.</w:t>
      </w:r>
    </w:p>
    <w:p w14:paraId="62C46603" w14:textId="77777777" w:rsidR="00640262" w:rsidRDefault="00640262" w:rsidP="00640262">
      <w:r>
        <w:t>Denscombe, M. (2014). The Good Research Guide: For Small-Scale Social Research Projects (5th ed.). Maidenhead: Open University Press.</w:t>
      </w:r>
    </w:p>
    <w:p w14:paraId="238A6C9D" w14:textId="77777777" w:rsidR="00640262" w:rsidRDefault="00640262" w:rsidP="00640262">
      <w:r>
        <w:t>Denzin, N. K., &amp; Lincoln, Y. S. (2018). The SAGE Handbook of Qualitative Research (5th ed.). SAGE.</w:t>
      </w:r>
    </w:p>
    <w:p w14:paraId="10758F9D" w14:textId="77777777" w:rsidR="00640262" w:rsidRDefault="00640262" w:rsidP="00640262">
      <w:r>
        <w:t>Donaldson, G. (2015). Successful Futures: Independent Review of Curriculum and Assessment Arrangements in Wales.</w:t>
      </w:r>
    </w:p>
    <w:p w14:paraId="436EE21A" w14:textId="77777777" w:rsidR="00640262" w:rsidRDefault="00640262" w:rsidP="00640262">
      <w:r>
        <w:t>Finlay, L. (2002). “Outing” the Researcher: The Provenance, Process, and Practice of Reflexivity. Qualitative Health Research, 12(4), 531-545.</w:t>
      </w:r>
    </w:p>
    <w:p w14:paraId="0FE4D817" w14:textId="77777777" w:rsidR="00640262" w:rsidRDefault="00640262" w:rsidP="00640262">
      <w:r>
        <w:t>Gorard, S. (2003). Quantitative Methods in Social Science: The Role of Numbers Made Easy. Continuum.</w:t>
      </w:r>
    </w:p>
    <w:p w14:paraId="59429942" w14:textId="77777777" w:rsidR="00640262" w:rsidRDefault="00640262" w:rsidP="00640262">
      <w:r>
        <w:t>Gubrium, J.F. and Holstein, J.A., 2009. Analyzing Narrative Reality. Thousand Oaks, CA: SAGE.</w:t>
      </w:r>
    </w:p>
    <w:p w14:paraId="6AFE6DF0" w14:textId="77777777" w:rsidR="00640262" w:rsidRDefault="00640262" w:rsidP="00640262">
      <w:r>
        <w:t>Gergen, K. J., McNamee, S., &amp; Barrett, F. J. (2001). Toward transformative dialogue. International Journal of Intercultural Relations, 25(2), 145-167.</w:t>
      </w:r>
    </w:p>
    <w:p w14:paraId="3DCC7EC8" w14:textId="77777777" w:rsidR="00640262" w:rsidRDefault="00640262" w:rsidP="00640262">
      <w:r>
        <w:t>Krippendorff, K. (2018). Content Analysis: An Introduction to Its Methodology (4th ed.). SAGE Publications.</w:t>
      </w:r>
    </w:p>
    <w:p w14:paraId="69289C64" w14:textId="77777777" w:rsidR="00640262" w:rsidRDefault="00640262" w:rsidP="00640262">
      <w:r>
        <w:t>Kvale, S., &amp; Brinkmann, S. (2009). InterViews: Learning the Craft of Qualitative Research Interviewing (2nd ed.). SAGE.</w:t>
      </w:r>
    </w:p>
    <w:p w14:paraId="56048B15" w14:textId="77777777" w:rsidR="00640262" w:rsidRDefault="00640262" w:rsidP="00640262">
      <w:r>
        <w:t>Flores, M. A. (2018). The impact of policies on teacher professionalism in Portugal. European Journal of Teacher Education, 41(3), 281–296.</w:t>
      </w:r>
    </w:p>
    <w:p w14:paraId="07588DE8" w14:textId="77777777" w:rsidR="00640262" w:rsidRDefault="00640262" w:rsidP="00640262">
      <w:r>
        <w:lastRenderedPageBreak/>
        <w:t>Mayring, P. (2014). Qualitative Content Analysis: Theoretical Foundation, Basic Procedures and Software Solution. SAGE Open.</w:t>
      </w:r>
    </w:p>
    <w:p w14:paraId="6B48B89F" w14:textId="77777777" w:rsidR="00640262" w:rsidRDefault="00640262" w:rsidP="00640262">
      <w:r>
        <w:t>Maxwell, J.A. (2013). Qualitative research design: An interactive approach. 3rd ed. Thousand Oaks, CA: SAGE Publications.</w:t>
      </w:r>
    </w:p>
    <w:p w14:paraId="5FDFA691" w14:textId="77777777" w:rsidR="00640262" w:rsidRDefault="00640262" w:rsidP="00640262">
      <w:r>
        <w:t>McNiff, J. (2016). You and Your Action Research Project (4th ed.). London: Routledge.</w:t>
      </w:r>
    </w:p>
    <w:p w14:paraId="2205FDCA" w14:textId="77777777" w:rsidR="00640262" w:rsidRDefault="00640262" w:rsidP="00640262">
      <w:r>
        <w:t>Menter, I., Elliot, D., Hulme, M., Lewin, J., &amp; Lowden, K. (2011). A Guide to Practitioner Research in Education. London: SAGE.</w:t>
      </w:r>
    </w:p>
    <w:p w14:paraId="5AE6048D" w14:textId="77777777" w:rsidR="00640262" w:rsidRDefault="00640262" w:rsidP="00640262">
      <w:r>
        <w:t>Morgan, D. L. (1997). Focus Groups as Qualitative Research (2nd ed.). SAGE.</w:t>
      </w:r>
    </w:p>
    <w:p w14:paraId="45496AB7" w14:textId="77777777" w:rsidR="00640262" w:rsidRDefault="00640262" w:rsidP="00640262">
      <w:r>
        <w:t>Neuman, W. L. (2014). Social Research Methods: Qualitative and Quantitative Approaches (7th ed.). Pearson.</w:t>
      </w:r>
    </w:p>
    <w:p w14:paraId="2C8FD1FD" w14:textId="77777777" w:rsidR="00640262" w:rsidRDefault="00640262" w:rsidP="00640262">
      <w:r>
        <w:t>Patton, M. Q. (2015). Qualitative Research &amp; Evaluation Methods (4th ed.). SAGE.</w:t>
      </w:r>
    </w:p>
    <w:p w14:paraId="247792C8" w14:textId="77777777" w:rsidR="00640262" w:rsidRDefault="00640262" w:rsidP="00640262">
      <w:r>
        <w:t>Priestley, M., Biesta, G., &amp; Robinson, S. (2015). Teacher Agency: An Ecological Approach. London: Bloomsbury.</w:t>
      </w:r>
    </w:p>
    <w:p w14:paraId="1A46BB28" w14:textId="77777777" w:rsidR="00640262" w:rsidRDefault="00640262" w:rsidP="00640262">
      <w:r>
        <w:t>Punch, K. F. (2009). Introduction to Research Methods in Education. London: SAGE.</w:t>
      </w:r>
    </w:p>
    <w:p w14:paraId="086B038D" w14:textId="4CBADF5D" w:rsidR="008268D1" w:rsidRDefault="008268D1" w:rsidP="00640262">
      <w:r w:rsidRPr="008268D1">
        <w:t>Reichertz, J. (2007) ‘Abduction: The Logic of Discovery of Grounded Theory’, in Bryant, A. and Charmaz, K. (eds) The SAGE Handbook of Grounded Theory. London: SAGE, pp. 214–228.</w:t>
      </w:r>
    </w:p>
    <w:p w14:paraId="26869F5C" w14:textId="77777777" w:rsidR="00640262" w:rsidRDefault="00640262" w:rsidP="00640262">
      <w:r>
        <w:t>Richards, L. and Morse, J.M., 2007. Read Me First for a User's Guide to Qualitative Methods 2nd ed. Thousand Oaks, CA: SAGE.</w:t>
      </w:r>
    </w:p>
    <w:p w14:paraId="159C5E3F" w14:textId="77777777" w:rsidR="00640262" w:rsidRDefault="00640262" w:rsidP="00640262">
      <w:r>
        <w:t>Rubin, H. J., &amp; Rubin, I. S. (2012). Qualitative Interviewing: The Art of Hearing Data (3rd ed.). SAGE Publications.</w:t>
      </w:r>
    </w:p>
    <w:p w14:paraId="2AD857DA" w14:textId="77777777" w:rsidR="00640262" w:rsidRDefault="00640262" w:rsidP="00640262">
      <w:r>
        <w:t>Sibieta, L. (2020). The Impact of School Closures on Pupil Learning and Wellbeing. Education Policy Institute.</w:t>
      </w:r>
    </w:p>
    <w:p w14:paraId="48AF0C2E" w14:textId="77777777" w:rsidR="00640262" w:rsidRDefault="00640262" w:rsidP="00640262">
      <w:r>
        <w:t>Schwandt, T.A. (1994). Constructivist, interpretivist approaches to human inquiry. In: N.K. Denzin and Y.S. Lincoln, eds. Handbook of qualitative research. Thousand Oaks, CA: SAGE Publications, pp. 118-137.</w:t>
      </w:r>
    </w:p>
    <w:p w14:paraId="7E730D36" w14:textId="77777777" w:rsidR="00640262" w:rsidRDefault="00640262" w:rsidP="00640262">
      <w:r>
        <w:t>Stemler, S. (2001). An Overview of Content Analysis. Practical Assessment, Research &amp; Evaluation, 7(17).</w:t>
      </w:r>
    </w:p>
    <w:p w14:paraId="34F2A276" w14:textId="5FD20C98" w:rsidR="008268D1" w:rsidRDefault="008268D1" w:rsidP="00640262">
      <w:r w:rsidRPr="008268D1">
        <w:t>Timmermans, S. and Tavory, I. (2012) ‘Theory Construction in Qualitative Research: From Grounded Theory to Abductive Analysis’, Sociological Theory, 30(3), pp. 167–186.</w:t>
      </w:r>
    </w:p>
    <w:p w14:paraId="1ECEBBEB" w14:textId="77777777" w:rsidR="00640262" w:rsidRDefault="00640262" w:rsidP="00640262">
      <w:r>
        <w:t>Thomas, G. (2017). How to Do Your Research Project (3rd ed.). London: SAGE.</w:t>
      </w:r>
    </w:p>
    <w:p w14:paraId="7C0BDE0A" w14:textId="77777777" w:rsidR="00640262" w:rsidRDefault="00640262" w:rsidP="00640262">
      <w:r>
        <w:t>Wellington, J. (2015). Educational Research: Contemporary Issues and Practical Approaches. London: Bloomsbury.</w:t>
      </w:r>
    </w:p>
    <w:p w14:paraId="6E522442" w14:textId="77777777" w:rsidR="00640262" w:rsidRDefault="00640262" w:rsidP="00640262">
      <w:r>
        <w:lastRenderedPageBreak/>
        <w:t>Youngman, M., 1982. Developing and Using Questionnaires. Milton Keynes: Open University Press.</w:t>
      </w:r>
    </w:p>
    <w:p w14:paraId="62AA78F5" w14:textId="6045F747" w:rsidR="00640262" w:rsidRDefault="00640262" w:rsidP="00640262">
      <w:r>
        <w:t>Yin, R. K. (2018). Case Study Research and Applications: Design and Methods (6th ed.). SAGE Publications.</w:t>
      </w:r>
    </w:p>
    <w:sectPr w:rsidR="006402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EBAF7A" w14:textId="77777777" w:rsidR="00C27BE4" w:rsidRDefault="00C27BE4" w:rsidP="009C3E75">
      <w:pPr>
        <w:spacing w:after="0" w:line="240" w:lineRule="auto"/>
      </w:pPr>
      <w:r>
        <w:separator/>
      </w:r>
    </w:p>
  </w:endnote>
  <w:endnote w:type="continuationSeparator" w:id="0">
    <w:p w14:paraId="1DFF3902" w14:textId="77777777" w:rsidR="00C27BE4" w:rsidRDefault="00C27BE4" w:rsidP="009C3E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03CDC4" w14:textId="77777777" w:rsidR="00C27BE4" w:rsidRDefault="00C27BE4" w:rsidP="009C3E75">
      <w:pPr>
        <w:spacing w:after="0" w:line="240" w:lineRule="auto"/>
      </w:pPr>
      <w:r>
        <w:separator/>
      </w:r>
    </w:p>
  </w:footnote>
  <w:footnote w:type="continuationSeparator" w:id="0">
    <w:p w14:paraId="2FFA5DAD" w14:textId="77777777" w:rsidR="00C27BE4" w:rsidRDefault="00C27BE4" w:rsidP="009C3E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F570F5"/>
    <w:multiLevelType w:val="hybridMultilevel"/>
    <w:tmpl w:val="53565B7C"/>
    <w:lvl w:ilvl="0" w:tplc="6652E54C">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F9C6BCD"/>
    <w:multiLevelType w:val="multilevel"/>
    <w:tmpl w:val="E0F6DB96"/>
    <w:lvl w:ilvl="0">
      <w:start w:val="1"/>
      <w:numFmt w:val="decimal"/>
      <w:lvlText w:val="%1."/>
      <w:lvlJc w:val="left"/>
      <w:pPr>
        <w:ind w:left="1070" w:hanging="360"/>
      </w:pPr>
      <w:rPr>
        <w:rFonts w:hint="default"/>
      </w:rPr>
    </w:lvl>
    <w:lvl w:ilvl="1">
      <w:start w:val="1"/>
      <w:numFmt w:val="decimal"/>
      <w:isLgl/>
      <w:lvlText w:val="%1.%2"/>
      <w:lvlJc w:val="left"/>
      <w:pPr>
        <w:ind w:left="1090" w:hanging="38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510" w:hanging="1800"/>
      </w:pPr>
      <w:rPr>
        <w:rFonts w:hint="default"/>
      </w:rPr>
    </w:lvl>
  </w:abstractNum>
  <w:abstractNum w:abstractNumId="2" w15:restartNumberingAfterBreak="0">
    <w:nsid w:val="355B22CE"/>
    <w:multiLevelType w:val="multilevel"/>
    <w:tmpl w:val="DB8E5162"/>
    <w:lvl w:ilvl="0">
      <w:start w:val="3"/>
      <w:numFmt w:val="decimal"/>
      <w:lvlText w:val="%1."/>
      <w:lvlJc w:val="left"/>
      <w:pPr>
        <w:ind w:left="360" w:hanging="360"/>
      </w:pPr>
      <w:rPr>
        <w:rFonts w:hint="default"/>
      </w:rPr>
    </w:lvl>
    <w:lvl w:ilvl="1">
      <w:start w:val="1"/>
      <w:numFmt w:val="decimal"/>
      <w:isLgl/>
      <w:lvlText w:val="%1.%2"/>
      <w:lvlJc w:val="left"/>
      <w:pPr>
        <w:ind w:left="380" w:hanging="3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6B9B7282"/>
    <w:multiLevelType w:val="hybridMultilevel"/>
    <w:tmpl w:val="8DD468CC"/>
    <w:lvl w:ilvl="0" w:tplc="F3CA0E26">
      <w:start w:val="1"/>
      <w:numFmt w:val="decimal"/>
      <w:lvlText w:val="%1."/>
      <w:lvlJc w:val="left"/>
      <w:pPr>
        <w:ind w:left="360" w:hanging="360"/>
      </w:pPr>
      <w:rPr>
        <w:rFonts w:hint="default"/>
        <w:b/>
        <w:bCs/>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429691073">
    <w:abstractNumId w:val="3"/>
  </w:num>
  <w:num w:numId="2" w16cid:durableId="2051103765">
    <w:abstractNumId w:val="2"/>
  </w:num>
  <w:num w:numId="3" w16cid:durableId="1166940392">
    <w:abstractNumId w:val="0"/>
  </w:num>
  <w:num w:numId="4" w16cid:durableId="9117426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4E4"/>
    <w:rsid w:val="00012CC2"/>
    <w:rsid w:val="0006567F"/>
    <w:rsid w:val="000B5606"/>
    <w:rsid w:val="000C2E39"/>
    <w:rsid w:val="000E7067"/>
    <w:rsid w:val="000F27B7"/>
    <w:rsid w:val="00121BCB"/>
    <w:rsid w:val="001E5053"/>
    <w:rsid w:val="001E5EEA"/>
    <w:rsid w:val="0027157D"/>
    <w:rsid w:val="00281077"/>
    <w:rsid w:val="00292DBE"/>
    <w:rsid w:val="002A1748"/>
    <w:rsid w:val="002D2493"/>
    <w:rsid w:val="002E545C"/>
    <w:rsid w:val="00316DC6"/>
    <w:rsid w:val="00385C46"/>
    <w:rsid w:val="004329E9"/>
    <w:rsid w:val="004C4CB6"/>
    <w:rsid w:val="004D5F49"/>
    <w:rsid w:val="0054070C"/>
    <w:rsid w:val="0059544B"/>
    <w:rsid w:val="00595C01"/>
    <w:rsid w:val="00595ED6"/>
    <w:rsid w:val="00640262"/>
    <w:rsid w:val="006A04C9"/>
    <w:rsid w:val="006D5F65"/>
    <w:rsid w:val="00726718"/>
    <w:rsid w:val="007405A8"/>
    <w:rsid w:val="007545D2"/>
    <w:rsid w:val="00794711"/>
    <w:rsid w:val="007B66F1"/>
    <w:rsid w:val="008268D1"/>
    <w:rsid w:val="00894491"/>
    <w:rsid w:val="008F0CE5"/>
    <w:rsid w:val="00907E34"/>
    <w:rsid w:val="00920ADD"/>
    <w:rsid w:val="009631C5"/>
    <w:rsid w:val="009C1CB4"/>
    <w:rsid w:val="009C3E75"/>
    <w:rsid w:val="00A64EC3"/>
    <w:rsid w:val="00AB79A1"/>
    <w:rsid w:val="00AD34E4"/>
    <w:rsid w:val="00B16A9D"/>
    <w:rsid w:val="00B44437"/>
    <w:rsid w:val="00C121D8"/>
    <w:rsid w:val="00C27BE4"/>
    <w:rsid w:val="00C555CF"/>
    <w:rsid w:val="00C5707E"/>
    <w:rsid w:val="00C57BF9"/>
    <w:rsid w:val="00D32CDF"/>
    <w:rsid w:val="00D83F8C"/>
    <w:rsid w:val="00DE4613"/>
    <w:rsid w:val="00DE5F84"/>
    <w:rsid w:val="00DE7617"/>
    <w:rsid w:val="00E13F53"/>
    <w:rsid w:val="00EA26BA"/>
    <w:rsid w:val="00EF0941"/>
    <w:rsid w:val="00F46B23"/>
    <w:rsid w:val="00FC7B6F"/>
    <w:rsid w:val="00FD512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CECA26"/>
  <w15:chartTrackingRefBased/>
  <w15:docId w15:val="{73B63DBA-A219-425C-86A5-CBFA70655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34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34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34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34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34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34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34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34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34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34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34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34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34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34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34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34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34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34E4"/>
    <w:rPr>
      <w:rFonts w:eastAsiaTheme="majorEastAsia" w:cstheme="majorBidi"/>
      <w:color w:val="272727" w:themeColor="text1" w:themeTint="D8"/>
    </w:rPr>
  </w:style>
  <w:style w:type="paragraph" w:styleId="Title">
    <w:name w:val="Title"/>
    <w:basedOn w:val="Normal"/>
    <w:next w:val="Normal"/>
    <w:link w:val="TitleChar"/>
    <w:uiPriority w:val="10"/>
    <w:qFormat/>
    <w:rsid w:val="00AD34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34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34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34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34E4"/>
    <w:pPr>
      <w:spacing w:before="160"/>
      <w:jc w:val="center"/>
    </w:pPr>
    <w:rPr>
      <w:i/>
      <w:iCs/>
      <w:color w:val="404040" w:themeColor="text1" w:themeTint="BF"/>
    </w:rPr>
  </w:style>
  <w:style w:type="character" w:customStyle="1" w:styleId="QuoteChar">
    <w:name w:val="Quote Char"/>
    <w:basedOn w:val="DefaultParagraphFont"/>
    <w:link w:val="Quote"/>
    <w:uiPriority w:val="29"/>
    <w:rsid w:val="00AD34E4"/>
    <w:rPr>
      <w:i/>
      <w:iCs/>
      <w:color w:val="404040" w:themeColor="text1" w:themeTint="BF"/>
    </w:rPr>
  </w:style>
  <w:style w:type="paragraph" w:styleId="ListParagraph">
    <w:name w:val="List Paragraph"/>
    <w:basedOn w:val="Normal"/>
    <w:uiPriority w:val="34"/>
    <w:qFormat/>
    <w:rsid w:val="00AD34E4"/>
    <w:pPr>
      <w:ind w:left="720"/>
      <w:contextualSpacing/>
    </w:pPr>
  </w:style>
  <w:style w:type="character" w:styleId="IntenseEmphasis">
    <w:name w:val="Intense Emphasis"/>
    <w:basedOn w:val="DefaultParagraphFont"/>
    <w:uiPriority w:val="21"/>
    <w:qFormat/>
    <w:rsid w:val="00AD34E4"/>
    <w:rPr>
      <w:i/>
      <w:iCs/>
      <w:color w:val="0F4761" w:themeColor="accent1" w:themeShade="BF"/>
    </w:rPr>
  </w:style>
  <w:style w:type="paragraph" w:styleId="IntenseQuote">
    <w:name w:val="Intense Quote"/>
    <w:basedOn w:val="Normal"/>
    <w:next w:val="Normal"/>
    <w:link w:val="IntenseQuoteChar"/>
    <w:uiPriority w:val="30"/>
    <w:qFormat/>
    <w:rsid w:val="00AD34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34E4"/>
    <w:rPr>
      <w:i/>
      <w:iCs/>
      <w:color w:val="0F4761" w:themeColor="accent1" w:themeShade="BF"/>
    </w:rPr>
  </w:style>
  <w:style w:type="character" w:styleId="IntenseReference">
    <w:name w:val="Intense Reference"/>
    <w:basedOn w:val="DefaultParagraphFont"/>
    <w:uiPriority w:val="32"/>
    <w:qFormat/>
    <w:rsid w:val="00AD34E4"/>
    <w:rPr>
      <w:b/>
      <w:bCs/>
      <w:smallCaps/>
      <w:color w:val="0F4761" w:themeColor="accent1" w:themeShade="BF"/>
      <w:spacing w:val="5"/>
    </w:rPr>
  </w:style>
  <w:style w:type="paragraph" w:styleId="Header">
    <w:name w:val="header"/>
    <w:basedOn w:val="Normal"/>
    <w:link w:val="HeaderChar"/>
    <w:uiPriority w:val="99"/>
    <w:unhideWhenUsed/>
    <w:rsid w:val="009C3E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3E75"/>
  </w:style>
  <w:style w:type="paragraph" w:styleId="Footer">
    <w:name w:val="footer"/>
    <w:basedOn w:val="Normal"/>
    <w:link w:val="FooterChar"/>
    <w:uiPriority w:val="99"/>
    <w:unhideWhenUsed/>
    <w:rsid w:val="009C3E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3E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970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9D1446-D849-43A1-8CFB-1C169665B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1698</TotalTime>
  <Pages>16</Pages>
  <Words>4690</Words>
  <Characters>26737</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Hadley</dc:creator>
  <cp:keywords/>
  <dc:description/>
  <cp:lastModifiedBy>Stephen Hadley</cp:lastModifiedBy>
  <cp:revision>10</cp:revision>
  <dcterms:created xsi:type="dcterms:W3CDTF">2025-04-23T15:35:00Z</dcterms:created>
  <dcterms:modified xsi:type="dcterms:W3CDTF">2025-05-01T14:08:00Z</dcterms:modified>
</cp:coreProperties>
</file>