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color w:val="FF0000"/>
          <w:sz w:val="44"/>
          <w:szCs w:val="44"/>
        </w:rPr>
      </w:pPr>
      <w:r>
        <w:rPr>
          <w:rFonts w:hint="default" w:ascii="Arial" w:hAnsi="Arial" w:cs="Arial"/>
          <w:b/>
          <w:color w:val="FF0000"/>
          <w:sz w:val="44"/>
          <w:szCs w:val="44"/>
        </w:rPr>
        <w:t>Analysis of Employee Well-Being at Bank of America</w:t>
      </w:r>
    </w:p>
    <w:p>
      <w:pPr>
        <w:spacing w:line="360" w:lineRule="auto"/>
        <w:jc w:val="center"/>
      </w:pPr>
      <w:r>
        <w:drawing>
          <wp:inline distT="0" distB="0" distL="114300" distR="114300">
            <wp:extent cx="3901440" cy="4104640"/>
            <wp:effectExtent l="0" t="0" r="3810" b="10160"/>
            <wp:docPr id="3" name="图片 3" descr="微信图片_20221214215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21214215013"/>
                    <pic:cNvPicPr>
                      <a:picLocks noChangeAspect="1"/>
                    </pic:cNvPicPr>
                  </pic:nvPicPr>
                  <pic:blipFill>
                    <a:blip r:embed="rId7"/>
                    <a:stretch>
                      <a:fillRect/>
                    </a:stretch>
                  </pic:blipFill>
                  <pic:spPr>
                    <a:xfrm>
                      <a:off x="0" y="0"/>
                      <a:ext cx="3901440" cy="4104640"/>
                    </a:xfrm>
                    <a:prstGeom prst="rect">
                      <a:avLst/>
                    </a:prstGeom>
                  </pic:spPr>
                </pic:pic>
              </a:graphicData>
            </a:graphic>
          </wp:inline>
        </w:drawing>
      </w:r>
    </w:p>
    <w:p>
      <w:pPr>
        <w:pStyle w:val="2"/>
        <w:jc w:val="center"/>
        <w:rPr>
          <w:rFonts w:hint="default" w:ascii="Arial" w:hAnsi="Arial" w:eastAsia="宋体" w:cs="Arial"/>
          <w:b/>
          <w:bCs/>
          <w:color w:val="auto"/>
          <w:sz w:val="22"/>
          <w:szCs w:val="22"/>
          <w:u w:val="single"/>
          <w:lang w:val="en-US" w:eastAsia="zh-CN"/>
        </w:rPr>
      </w:pPr>
      <w:r>
        <w:rPr>
          <w:rFonts w:hint="default" w:ascii="Arial" w:hAnsi="Arial" w:eastAsia="宋体" w:cs="Arial"/>
          <w:b/>
          <w:bCs/>
          <w:color w:val="auto"/>
          <w:sz w:val="22"/>
          <w:szCs w:val="22"/>
          <w:u w:val="single"/>
          <w:lang w:val="en-US" w:eastAsia="zh-CN"/>
        </w:rPr>
        <w:t>March 2023</w:t>
      </w:r>
    </w:p>
    <w:p>
      <w:pPr>
        <w:rPr>
          <w:rFonts w:hint="default" w:ascii="Arial" w:hAnsi="Arial" w:eastAsia="宋体" w:cs="Arial"/>
          <w:b/>
          <w:bCs/>
          <w:color w:val="auto"/>
          <w:sz w:val="22"/>
          <w:szCs w:val="22"/>
          <w:u w:val="single"/>
          <w:lang w:val="en-US" w:eastAsia="zh-CN"/>
        </w:rPr>
      </w:pPr>
    </w:p>
    <w:p>
      <w:pPr>
        <w:pStyle w:val="2"/>
        <w:jc w:val="left"/>
        <w:rPr>
          <w:rFonts w:hint="default" w:ascii="Arial" w:hAnsi="Arial" w:eastAsia="宋体" w:cs="Arial"/>
          <w:b/>
          <w:bCs/>
          <w:color w:val="000000" w:themeColor="text1"/>
          <w:sz w:val="22"/>
          <w:szCs w:val="22"/>
          <w:u w:val="single"/>
          <w:lang w:val="en-US" w:eastAsia="zh-CN"/>
          <w14:textFill>
            <w14:solidFill>
              <w14:schemeClr w14:val="tx1"/>
            </w14:solidFill>
          </w14:textFill>
        </w:rPr>
      </w:pPr>
      <w:r>
        <w:rPr>
          <w:rFonts w:hint="default" w:ascii="Arial" w:hAnsi="Arial" w:eastAsia="宋体" w:cs="Arial"/>
          <w:b/>
          <w:bCs/>
          <w:color w:val="000000" w:themeColor="text1"/>
          <w:sz w:val="22"/>
          <w:szCs w:val="22"/>
          <w:u w:val="single"/>
          <w:lang w:val="en-US" w:eastAsia="zh-CN"/>
          <w14:textFill>
            <w14:solidFill>
              <w14:schemeClr w14:val="tx1"/>
            </w14:solidFill>
          </w14:textFill>
        </w:rPr>
        <w:t>MODULE NAME :</w:t>
      </w:r>
      <w:r>
        <w:rPr>
          <w:rFonts w:hint="eastAsia" w:ascii="Arial" w:hAnsi="Arial" w:eastAsia="宋体" w:cs="Arial"/>
          <w:b/>
          <w:bCs/>
          <w:color w:val="000000" w:themeColor="text1"/>
          <w:sz w:val="22"/>
          <w:szCs w:val="22"/>
          <w:u w:val="single"/>
          <w:lang w:val="en-US" w:eastAsia="zh-CN"/>
          <w14:textFill>
            <w14:solidFill>
              <w14:schemeClr w14:val="tx1"/>
            </w14:solidFill>
          </w14:textFill>
        </w:rPr>
        <w:t>Human Resource Management</w:t>
      </w:r>
      <w:r>
        <w:rPr>
          <w:rFonts w:hint="default" w:ascii="Arial" w:hAnsi="Arial" w:eastAsia="宋体" w:cs="Arial"/>
          <w:b/>
          <w:bCs/>
          <w:color w:val="000000" w:themeColor="text1"/>
          <w:sz w:val="22"/>
          <w:szCs w:val="22"/>
          <w:u w:val="single"/>
          <w:lang w:val="en-US" w:eastAsia="zh-CN"/>
          <w14:textFill>
            <w14:solidFill>
              <w14:schemeClr w14:val="tx1"/>
            </w14:solidFill>
          </w14:textFill>
        </w:rPr>
        <w:t>(BMMB700</w:t>
      </w:r>
      <w:r>
        <w:rPr>
          <w:rFonts w:hint="eastAsia" w:ascii="Arial" w:hAnsi="Arial" w:eastAsia="宋体" w:cs="Arial"/>
          <w:b/>
          <w:bCs/>
          <w:color w:val="000000" w:themeColor="text1"/>
          <w:sz w:val="22"/>
          <w:szCs w:val="22"/>
          <w:u w:val="single"/>
          <w:lang w:val="en-US" w:eastAsia="zh-CN"/>
          <w14:textFill>
            <w14:solidFill>
              <w14:schemeClr w14:val="tx1"/>
            </w14:solidFill>
          </w14:textFill>
        </w:rPr>
        <w:t>7</w:t>
      </w:r>
      <w:r>
        <w:rPr>
          <w:rFonts w:hint="default" w:ascii="Arial" w:hAnsi="Arial" w:eastAsia="宋体" w:cs="Arial"/>
          <w:b/>
          <w:bCs/>
          <w:color w:val="000000" w:themeColor="text1"/>
          <w:sz w:val="22"/>
          <w:szCs w:val="22"/>
          <w:u w:val="single"/>
          <w:lang w:val="en-US" w:eastAsia="zh-CN"/>
          <w14:textFill>
            <w14:solidFill>
              <w14:schemeClr w14:val="tx1"/>
            </w14:solidFill>
          </w14:textFill>
        </w:rPr>
        <w:t>)</w:t>
      </w:r>
    </w:p>
    <w:p>
      <w:pPr>
        <w:rPr>
          <w:rFonts w:hint="default"/>
          <w:lang w:val="en-US" w:eastAsia="zh-CN"/>
        </w:rPr>
      </w:pPr>
    </w:p>
    <w:p>
      <w:pPr>
        <w:jc w:val="left"/>
        <w:rPr>
          <w:rFonts w:hint="eastAsia" w:ascii="Arial" w:hAnsi="Arial" w:eastAsia="宋体" w:cs="Arial"/>
          <w:b/>
          <w:bCs/>
          <w:color w:val="000000" w:themeColor="text1"/>
          <w:sz w:val="22"/>
          <w:szCs w:val="22"/>
          <w:u w:val="single"/>
          <w:lang w:val="en-US" w:eastAsia="zh-CN"/>
          <w14:textFill>
            <w14:solidFill>
              <w14:schemeClr w14:val="tx1"/>
            </w14:solidFill>
          </w14:textFill>
        </w:rPr>
      </w:pPr>
      <w:r>
        <w:rPr>
          <w:rFonts w:hint="default" w:ascii="Arial" w:hAnsi="Arial" w:eastAsia="宋体" w:cs="Arial"/>
          <w:b/>
          <w:bCs/>
          <w:color w:val="000000" w:themeColor="text1"/>
          <w:sz w:val="22"/>
          <w:szCs w:val="22"/>
          <w:u w:val="single"/>
          <w:lang w:val="en-US" w:eastAsia="zh-CN"/>
          <w14:textFill>
            <w14:solidFill>
              <w14:schemeClr w14:val="tx1"/>
            </w14:solidFill>
          </w14:textFill>
        </w:rPr>
        <w:t>MODULE LEADER:</w:t>
      </w:r>
      <w:r>
        <w:rPr>
          <w:rFonts w:hint="eastAsia" w:ascii="Arial" w:hAnsi="Arial" w:eastAsia="宋体" w:cs="Arial"/>
          <w:b/>
          <w:bCs/>
          <w:color w:val="000000" w:themeColor="text1"/>
          <w:sz w:val="22"/>
          <w:szCs w:val="22"/>
          <w:u w:val="single"/>
          <w:lang w:val="en-US" w:eastAsia="zh-CN"/>
          <w14:textFill>
            <w14:solidFill>
              <w14:schemeClr w14:val="tx1"/>
            </w14:solidFill>
          </w14:textFill>
        </w:rPr>
        <w:t>James Moore</w:t>
      </w:r>
    </w:p>
    <w:p>
      <w:pPr>
        <w:jc w:val="left"/>
        <w:rPr>
          <w:rFonts w:hint="eastAsia" w:ascii="Arial" w:hAnsi="Arial" w:eastAsia="宋体" w:cs="Arial"/>
          <w:b/>
          <w:bCs/>
          <w:color w:val="000000" w:themeColor="text1"/>
          <w:sz w:val="22"/>
          <w:szCs w:val="22"/>
          <w:u w:val="single"/>
          <w:lang w:val="en-US" w:eastAsia="zh-CN"/>
          <w14:textFill>
            <w14:solidFill>
              <w14:schemeClr w14:val="tx1"/>
            </w14:solidFill>
          </w14:textFill>
        </w:rPr>
      </w:pPr>
    </w:p>
    <w:p>
      <w:pPr>
        <w:jc w:val="left"/>
        <w:rPr>
          <w:rFonts w:hint="default" w:ascii="Arial" w:hAnsi="Arial" w:eastAsia="宋体" w:cs="Arial"/>
          <w:b/>
          <w:bCs/>
          <w:color w:val="000000" w:themeColor="text1"/>
          <w:sz w:val="22"/>
          <w:szCs w:val="22"/>
          <w:u w:val="single"/>
          <w:lang w:val="en-US" w:eastAsia="zh-CN"/>
          <w14:textFill>
            <w14:solidFill>
              <w14:schemeClr w14:val="tx1"/>
            </w14:solidFill>
          </w14:textFill>
        </w:rPr>
      </w:pPr>
      <w:r>
        <w:rPr>
          <w:rFonts w:hint="default" w:ascii="Arial" w:hAnsi="Arial" w:eastAsia="宋体" w:cs="Arial"/>
          <w:b/>
          <w:bCs/>
          <w:color w:val="000000" w:themeColor="text1"/>
          <w:sz w:val="22"/>
          <w:szCs w:val="22"/>
          <w:u w:val="single"/>
          <w:lang w:val="en-US" w:eastAsia="zh-CN"/>
          <w14:textFill>
            <w14:solidFill>
              <w14:schemeClr w14:val="tx1"/>
            </w14:solidFill>
          </w14:textFill>
        </w:rPr>
        <w:t>STUDENT NAME:Jinhui Li</w:t>
      </w:r>
    </w:p>
    <w:p>
      <w:pPr>
        <w:jc w:val="left"/>
        <w:rPr>
          <w:rFonts w:hint="default" w:ascii="Arial" w:hAnsi="Arial" w:eastAsia="宋体" w:cs="Arial"/>
          <w:b/>
          <w:bCs/>
          <w:color w:val="000000" w:themeColor="text1"/>
          <w:sz w:val="22"/>
          <w:szCs w:val="22"/>
          <w:u w:val="single"/>
          <w:lang w:val="en-US" w:eastAsia="zh-CN"/>
          <w14:textFill>
            <w14:solidFill>
              <w14:schemeClr w14:val="tx1"/>
            </w14:solidFill>
          </w14:textFill>
        </w:rPr>
      </w:pPr>
    </w:p>
    <w:p>
      <w:pPr>
        <w:spacing w:after="240"/>
        <w:jc w:val="left"/>
        <w:rPr>
          <w:rFonts w:hint="default" w:ascii="Arial" w:hAnsi="Arial" w:eastAsia="宋体" w:cs="Arial"/>
          <w:b/>
          <w:bCs/>
          <w:color w:val="000000" w:themeColor="text1"/>
          <w:sz w:val="22"/>
          <w:szCs w:val="22"/>
          <w:u w:val="single"/>
          <w:lang w:val="en-US" w:eastAsia="zh-CN"/>
          <w14:textFill>
            <w14:solidFill>
              <w14:schemeClr w14:val="tx1"/>
            </w14:solidFill>
          </w14:textFill>
        </w:rPr>
      </w:pPr>
      <w:r>
        <w:rPr>
          <w:rFonts w:hint="default" w:ascii="Arial" w:hAnsi="Arial" w:eastAsia="宋体" w:cs="Arial"/>
          <w:b/>
          <w:bCs/>
          <w:color w:val="000000" w:themeColor="text1"/>
          <w:sz w:val="22"/>
          <w:szCs w:val="22"/>
          <w:u w:val="single"/>
          <w:lang w:val="en-US" w:eastAsia="zh-CN"/>
          <w14:textFill>
            <w14:solidFill>
              <w14:schemeClr w14:val="tx1"/>
            </w14:solidFill>
          </w14:textFill>
        </w:rPr>
        <w:t>STUDENT NUMBER:2217121</w:t>
      </w:r>
    </w:p>
    <w:p>
      <w:pPr>
        <w:spacing w:after="240"/>
        <w:jc w:val="left"/>
        <w:rPr>
          <w:rFonts w:hint="default" w:ascii="Arial" w:hAnsi="Arial" w:cs="Arial"/>
          <w:b/>
          <w:bCs/>
          <w:u w:val="single"/>
        </w:rPr>
      </w:pPr>
      <w:r>
        <w:rPr>
          <w:rFonts w:hint="eastAsia" w:ascii="Arial" w:hAnsi="Arial" w:cs="Arial"/>
          <w:b/>
          <w:bCs/>
          <w:u w:val="single"/>
          <w:lang w:val="en-US" w:eastAsia="zh-CN"/>
        </w:rPr>
        <w:t>WORD COUNT</w:t>
      </w:r>
      <w:bookmarkStart w:id="16" w:name="_GoBack"/>
      <w:bookmarkEnd w:id="16"/>
      <w:r>
        <w:rPr>
          <w:rFonts w:hint="default" w:ascii="Arial" w:hAnsi="Arial" w:cs="Arial"/>
          <w:b/>
          <w:bCs/>
          <w:u w:val="single"/>
        </w:rPr>
        <w:t>: 2500</w:t>
      </w:r>
    </w:p>
    <w:sdt>
      <w:sdtPr>
        <w:rPr>
          <w:rFonts w:ascii="Calibri" w:hAnsi="Calibri" w:eastAsia="Calibri"/>
          <w:color w:val="auto"/>
          <w:sz w:val="22"/>
          <w:szCs w:val="22"/>
          <w:lang w:val="en-GB"/>
        </w:rPr>
        <w:id w:val="20141113"/>
        <w:docPartObj>
          <w:docPartGallery w:val="Table of Contents"/>
          <w:docPartUnique/>
        </w:docPartObj>
      </w:sdtPr>
      <w:sdtEndPr>
        <w:rPr>
          <w:rFonts w:ascii="Calibri" w:hAnsi="Calibri" w:eastAsiaTheme="minorEastAsia"/>
          <w:b/>
          <w:bCs/>
          <w:color w:val="auto"/>
          <w:sz w:val="22"/>
          <w:szCs w:val="22"/>
          <w:lang w:val="en-GB"/>
        </w:rPr>
      </w:sdtEndPr>
      <w:sdtContent>
        <w:p>
          <w:pPr>
            <w:pStyle w:val="17"/>
            <w:spacing w:line="360" w:lineRule="auto"/>
            <w:rPr>
              <w:rFonts w:ascii="Times New Roman" w:hAnsi="Times New Roman"/>
              <w:b/>
              <w:color w:val="auto"/>
              <w:sz w:val="28"/>
              <w:szCs w:val="28"/>
            </w:rPr>
          </w:pPr>
          <w:r>
            <w:rPr>
              <w:rFonts w:ascii="Times New Roman" w:hAnsi="Times New Roman"/>
              <w:b/>
              <w:color w:val="auto"/>
              <w:sz w:val="28"/>
              <w:szCs w:val="28"/>
            </w:rPr>
            <w:t>Table of Contents</w:t>
          </w:r>
        </w:p>
        <w:p>
          <w:pPr>
            <w:spacing w:line="360" w:lineRule="auto"/>
            <w:rPr>
              <w:lang w:val="en-US"/>
            </w:rPr>
          </w:pPr>
        </w:p>
        <w:p>
          <w:pPr>
            <w:pStyle w:val="7"/>
            <w:tabs>
              <w:tab w:val="right" w:leader="dot" w:pos="9350"/>
            </w:tabs>
            <w:rPr>
              <w:rFonts w:asciiTheme="minorHAnsi" w:hAnsiTheme="minorHAnsi" w:cstheme="minorBidi"/>
              <w:kern w:val="2"/>
              <w:sz w:val="21"/>
              <w:lang w:val="en-US" w:eastAsia="zh-CN"/>
            </w:rPr>
          </w:pPr>
          <w:r>
            <w:fldChar w:fldCharType="begin"/>
          </w:r>
          <w:r>
            <w:instrText xml:space="preserve"> TOC \o "1-3" \h \z \u </w:instrText>
          </w:r>
          <w:r>
            <w:fldChar w:fldCharType="separate"/>
          </w:r>
          <w:r>
            <w:fldChar w:fldCharType="begin"/>
          </w:r>
          <w:r>
            <w:instrText xml:space="preserve"> HYPERLINK \l "_Toc130494711" </w:instrText>
          </w:r>
          <w:r>
            <w:fldChar w:fldCharType="separate"/>
          </w:r>
          <w:r>
            <w:rPr>
              <w:rStyle w:val="12"/>
              <w:rFonts w:ascii="Times New Roman" w:hAnsi="Times New Roman"/>
              <w:b/>
            </w:rPr>
            <w:t>Executive Summary</w:t>
          </w:r>
          <w:r>
            <w:tab/>
          </w:r>
          <w:r>
            <w:rPr>
              <w:rFonts w:hint="eastAsia"/>
              <w:lang w:val="en-US" w:eastAsia="zh-CN"/>
            </w:rPr>
            <w:t>3</w:t>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"_Toc130494712" </w:instrText>
          </w:r>
          <w:r>
            <w:fldChar w:fldCharType="separate"/>
          </w:r>
          <w:r>
            <w:rPr>
              <w:rStyle w:val="12"/>
              <w:rFonts w:ascii="Times New Roman" w:hAnsi="Times New Roman"/>
              <w:b/>
            </w:rPr>
            <w:t>Introduction</w:t>
          </w:r>
          <w:r>
            <w:tab/>
          </w:r>
          <w:r>
            <w:fldChar w:fldCharType="begin"/>
          </w:r>
          <w:r>
            <w:instrText xml:space="preserve"> PAGEREF _Toc130494712 \h </w:instrText>
          </w:r>
          <w:r>
            <w:fldChar w:fldCharType="separate"/>
          </w:r>
          <w:r>
            <w:t>4</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"_Toc130494713" </w:instrText>
          </w:r>
          <w:r>
            <w:fldChar w:fldCharType="separate"/>
          </w:r>
          <w:r>
            <w:rPr>
              <w:rStyle w:val="12"/>
              <w:rFonts w:ascii="Times New Roman" w:hAnsi="Times New Roman"/>
              <w:b/>
            </w:rPr>
            <w:t>Organisation Overview</w:t>
          </w:r>
          <w:r>
            <w:tab/>
          </w:r>
          <w:r>
            <w:fldChar w:fldCharType="begin"/>
          </w:r>
          <w:r>
            <w:instrText xml:space="preserve"> PAGEREF _Toc130494713 \h </w:instrText>
          </w:r>
          <w:r>
            <w:fldChar w:fldCharType="separate"/>
          </w:r>
          <w:r>
            <w:t>4</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"_Toc130494714" </w:instrText>
          </w:r>
          <w:r>
            <w:fldChar w:fldCharType="separate"/>
          </w:r>
          <w:r>
            <w:rPr>
              <w:rStyle w:val="12"/>
              <w:rFonts w:ascii="Times New Roman" w:hAnsi="Times New Roman"/>
              <w:b/>
            </w:rPr>
            <w:t>Discussion</w:t>
          </w:r>
          <w:r>
            <w:tab/>
          </w:r>
          <w:r>
            <w:fldChar w:fldCharType="begin"/>
          </w:r>
          <w:r>
            <w:instrText xml:space="preserve"> PAGEREF _Toc130494714 \h </w:instrText>
          </w:r>
          <w:r>
            <w:fldChar w:fldCharType="separate"/>
          </w:r>
          <w:r>
            <w:t>5</w:t>
          </w:r>
          <w:r>
            <w:fldChar w:fldCharType="end"/>
          </w:r>
          <w:r>
            <w:fldChar w:fldCharType="end"/>
          </w:r>
        </w:p>
        <w:p>
          <w:pPr>
            <w:pStyle w:val="8"/>
            <w:tabs>
              <w:tab w:val="right" w:leader="dot" w:pos="9350"/>
            </w:tabs>
            <w:rPr>
              <w:rFonts w:asciiTheme="minorHAnsi" w:hAnsiTheme="minorHAnsi" w:cstheme="minorBidi"/>
              <w:kern w:val="2"/>
              <w:sz w:val="21"/>
              <w:lang w:val="en-US" w:eastAsia="zh-CN"/>
            </w:rPr>
          </w:pPr>
          <w:r>
            <w:fldChar w:fldCharType="begin"/>
          </w:r>
          <w:r>
            <w:instrText xml:space="preserve"> HYPERLINK \l "_Toc130494715" </w:instrText>
          </w:r>
          <w:r>
            <w:fldChar w:fldCharType="separate"/>
          </w:r>
          <w:r>
            <w:rPr>
              <w:rStyle w:val="12"/>
              <w:rFonts w:ascii="Times New Roman" w:hAnsi="Times New Roman"/>
            </w:rPr>
            <w:t>Key Priority Area</w:t>
          </w:r>
          <w:r>
            <w:tab/>
          </w:r>
          <w:r>
            <w:fldChar w:fldCharType="begin"/>
          </w:r>
          <w:r>
            <w:instrText xml:space="preserve"> PAGEREF _Toc130494715 \h </w:instrText>
          </w:r>
          <w:r>
            <w:fldChar w:fldCharType="separate"/>
          </w:r>
          <w:r>
            <w:t>5</w:t>
          </w:r>
          <w:r>
            <w:fldChar w:fldCharType="end"/>
          </w:r>
          <w:r>
            <w:fldChar w:fldCharType="end"/>
          </w:r>
        </w:p>
        <w:p>
          <w:pPr>
            <w:pStyle w:val="8"/>
            <w:tabs>
              <w:tab w:val="right" w:leader="dot" w:pos="9350"/>
            </w:tabs>
            <w:rPr>
              <w:rFonts w:asciiTheme="minorHAnsi" w:hAnsiTheme="minorHAnsi" w:cstheme="minorBidi"/>
              <w:kern w:val="2"/>
              <w:sz w:val="21"/>
              <w:lang w:val="en-US" w:eastAsia="zh-CN"/>
            </w:rPr>
          </w:pPr>
          <w:r>
            <w:fldChar w:fldCharType="begin"/>
          </w:r>
          <w:r>
            <w:instrText xml:space="preserve"> HYPERLINK \l "_Toc130494716" </w:instrText>
          </w:r>
          <w:r>
            <w:fldChar w:fldCharType="separate"/>
          </w:r>
          <w:r>
            <w:rPr>
              <w:rStyle w:val="12"/>
              <w:rFonts w:ascii="Times New Roman" w:hAnsi="Times New Roman"/>
            </w:rPr>
            <w:t>The Need for Improvement</w:t>
          </w:r>
          <w:r>
            <w:tab/>
          </w:r>
          <w:r>
            <w:fldChar w:fldCharType="begin"/>
          </w:r>
          <w:r>
            <w:instrText xml:space="preserve"> PAGEREF _Toc130494716 \h </w:instrText>
          </w:r>
          <w:r>
            <w:fldChar w:fldCharType="separate"/>
          </w:r>
          <w:r>
            <w:t>5</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"_Toc130494717" </w:instrText>
          </w:r>
          <w:r>
            <w:fldChar w:fldCharType="separate"/>
          </w:r>
          <w:r>
            <w:rPr>
              <w:rStyle w:val="12"/>
              <w:rFonts w:ascii="Times New Roman" w:hAnsi="Times New Roman"/>
              <w:b/>
            </w:rPr>
            <w:t>The Impact of Employee Wellbeing on Organisational Performance</w:t>
          </w:r>
          <w:r>
            <w:tab/>
          </w:r>
          <w:r>
            <w:fldChar w:fldCharType="begin"/>
          </w:r>
          <w:r>
            <w:instrText xml:space="preserve"> PAGEREF _Toc130494717 \h </w:instrText>
          </w:r>
          <w:r>
            <w:fldChar w:fldCharType="separate"/>
          </w:r>
          <w:r>
            <w:t>6</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"_Toc130494718" </w:instrText>
          </w:r>
          <w:r>
            <w:fldChar w:fldCharType="separate"/>
          </w:r>
          <w:r>
            <w:rPr>
              <w:rStyle w:val="12"/>
              <w:rFonts w:ascii="Times New Roman" w:hAnsi="Times New Roman"/>
              <w:b/>
            </w:rPr>
            <w:t>Benefits of improving the priority area</w:t>
          </w:r>
          <w:r>
            <w:tab/>
          </w:r>
          <w:r>
            <w:fldChar w:fldCharType="begin"/>
          </w:r>
          <w:r>
            <w:instrText xml:space="preserve"> PAGEREF _Toc130494718 \h </w:instrText>
          </w:r>
          <w:r>
            <w:fldChar w:fldCharType="separate"/>
          </w:r>
          <w:r>
            <w:t>7</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"_Toc130494719" </w:instrText>
          </w:r>
          <w:r>
            <w:fldChar w:fldCharType="separate"/>
          </w:r>
          <w:r>
            <w:rPr>
              <w:rStyle w:val="12"/>
              <w:rFonts w:ascii="Times New Roman" w:hAnsi="Times New Roman"/>
              <w:b/>
            </w:rPr>
            <w:t>Conclusion</w:t>
          </w:r>
          <w:r>
            <w:tab/>
          </w:r>
          <w:r>
            <w:fldChar w:fldCharType="begin"/>
          </w:r>
          <w:r>
            <w:instrText xml:space="preserve"> PAGEREF _Toc130494719 \h </w:instrText>
          </w:r>
          <w:r>
            <w:fldChar w:fldCharType="separate"/>
          </w:r>
          <w:r>
            <w:t>8</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"_Toc130494720" </w:instrText>
          </w:r>
          <w:r>
            <w:fldChar w:fldCharType="separate"/>
          </w:r>
          <w:r>
            <w:rPr>
              <w:rStyle w:val="12"/>
              <w:rFonts w:ascii="Times New Roman" w:hAnsi="Times New Roman"/>
              <w:b/>
            </w:rPr>
            <w:t>Recommendations</w:t>
          </w:r>
          <w:r>
            <w:tab/>
          </w:r>
          <w:r>
            <w:fldChar w:fldCharType="begin"/>
          </w:r>
          <w:r>
            <w:instrText xml:space="preserve"> PAGEREF _Toc130494720 \h </w:instrText>
          </w:r>
          <w:r>
            <w:fldChar w:fldCharType="separate"/>
          </w:r>
          <w:r>
            <w:t>9</w:t>
          </w:r>
          <w:r>
            <w:fldChar w:fldCharType="end"/>
          </w:r>
          <w:r>
            <w:fldChar w:fldCharType="end"/>
          </w:r>
        </w:p>
        <w:p>
          <w:pPr>
            <w:pStyle w:val="7"/>
            <w:tabs>
              <w:tab w:val="right" w:leader="dot" w:pos="9350"/>
            </w:tabs>
            <w:rPr>
              <w:rFonts w:asciiTheme="minorHAnsi" w:hAnsiTheme="minorHAnsi" w:cstheme="minorBidi"/>
              <w:kern w:val="2"/>
              <w:sz w:val="21"/>
              <w:lang w:val="en-US" w:eastAsia="zh-CN"/>
            </w:rPr>
          </w:pPr>
          <w:r>
            <w:fldChar w:fldCharType="begin"/>
          </w:r>
          <w:r>
            <w:instrText xml:space="preserve"> HYPERLINK \l "_Toc130494721" </w:instrText>
          </w:r>
          <w:r>
            <w:fldChar w:fldCharType="separate"/>
          </w:r>
          <w:r>
            <w:rPr>
              <w:rStyle w:val="12"/>
              <w:rFonts w:ascii="Times New Roman" w:hAnsi="Times New Roman"/>
              <w:b/>
            </w:rPr>
            <w:t>References</w:t>
          </w:r>
          <w:r>
            <w:tab/>
          </w:r>
          <w:r>
            <w:fldChar w:fldCharType="begin"/>
          </w:r>
          <w:r>
            <w:instrText xml:space="preserve"> PAGEREF _Toc130494721 \h </w:instrText>
          </w:r>
          <w:r>
            <w:fldChar w:fldCharType="separate"/>
          </w:r>
          <w:r>
            <w:t>10</w:t>
          </w:r>
          <w:r>
            <w:fldChar w:fldCharType="end"/>
          </w:r>
          <w:r>
            <w:fldChar w:fldCharType="end"/>
          </w:r>
        </w:p>
        <w:p>
          <w:pPr>
            <w:spacing w:line="360" w:lineRule="auto"/>
          </w:pPr>
          <w:r>
            <w:rPr>
              <w:b/>
              <w:bCs/>
            </w:rPr>
            <w:fldChar w:fldCharType="end"/>
          </w:r>
        </w:p>
      </w:sdtContent>
    </w:sdt>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spacing w:line="360" w:lineRule="auto"/>
        <w:rPr>
          <w:rFonts w:ascii="Times New Roman" w:hAnsi="Times New Roman"/>
          <w:sz w:val="24"/>
          <w:szCs w:val="24"/>
        </w:rPr>
      </w:pPr>
    </w:p>
    <w:p>
      <w:pPr>
        <w:pStyle w:val="2"/>
        <w:spacing w:line="360" w:lineRule="auto"/>
        <w:rPr>
          <w:rFonts w:ascii="Times New Roman" w:hAnsi="Times New Roman"/>
          <w:b/>
          <w:color w:val="auto"/>
          <w:sz w:val="22"/>
          <w:szCs w:val="22"/>
        </w:rPr>
      </w:pPr>
      <w:bookmarkStart w:id="0" w:name="_Toc130494711"/>
      <w:r>
        <w:rPr>
          <w:rFonts w:ascii="Times New Roman" w:hAnsi="Times New Roman"/>
          <w:b/>
          <w:color w:val="auto"/>
          <w:sz w:val="22"/>
          <w:szCs w:val="22"/>
        </w:rPr>
        <w:t>Executive Summary</w:t>
      </w:r>
      <w:bookmarkEnd w:id="0"/>
    </w:p>
    <w:p>
      <w:pPr>
        <w:spacing w:line="360" w:lineRule="auto"/>
        <w:rPr>
          <w:rFonts w:ascii="Times New Roman" w:hAnsi="Times New Roman"/>
        </w:rPr>
      </w:pPr>
    </w:p>
    <w:p>
      <w:pPr>
        <w:spacing w:after="0" w:line="360" w:lineRule="auto"/>
        <w:ind w:firstLine="720"/>
        <w:jc w:val="both"/>
        <w:rPr>
          <w:rFonts w:ascii="Times New Roman" w:hAnsi="Times New Roman"/>
        </w:rPr>
      </w:pPr>
      <w:r>
        <w:rPr>
          <w:rFonts w:ascii="Times New Roman" w:hAnsi="Times New Roman"/>
        </w:rPr>
        <w:t>This report focuses on the role of HRM in promoting the wellbeing of employees. The organisation being analysed is the Bank of America which promotes the wellness of its employees through various programs such as assistance programs, relief funds and consulting with mental health providers to deal with issues of stress, anxiety, and depression. The HR function in the Bank of America is responsible for designing employee wellness programs, but is faced with implementation challenges. These include the lack of effective communication mechanisms and poor engagement of employee concerning their wellness; thus impacting negative or individual and organisational productivity. However, this report recommends that HR can improve its role through constant and regular communication and increased engagements of employees and implementing a comprehensive employee benefits program.</w:t>
      </w: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spacing w:after="0" w:line="360" w:lineRule="auto"/>
        <w:ind w:firstLine="720"/>
        <w:jc w:val="both"/>
        <w:rPr>
          <w:rFonts w:ascii="Times New Roman" w:hAnsi="Times New Roman"/>
        </w:rPr>
      </w:pPr>
    </w:p>
    <w:p>
      <w:pPr>
        <w:pStyle w:val="2"/>
        <w:spacing w:line="360" w:lineRule="auto"/>
        <w:rPr>
          <w:rFonts w:ascii="Times New Roman" w:hAnsi="Times New Roman"/>
          <w:b/>
          <w:color w:val="auto"/>
          <w:sz w:val="22"/>
          <w:szCs w:val="22"/>
        </w:rPr>
      </w:pPr>
      <w:bookmarkStart w:id="1" w:name="_Toc121327472"/>
      <w:bookmarkStart w:id="2" w:name="_Toc124590197"/>
      <w:bookmarkStart w:id="3" w:name="_Toc99260901"/>
      <w:bookmarkStart w:id="4" w:name="_Toc127601545"/>
      <w:bookmarkStart w:id="5" w:name="_Toc130494712"/>
      <w:bookmarkStart w:id="6" w:name="_Toc130150389"/>
      <w:r>
        <w:rPr>
          <w:rFonts w:ascii="Times New Roman" w:hAnsi="Times New Roman"/>
          <w:b/>
          <w:color w:val="auto"/>
          <w:sz w:val="22"/>
          <w:szCs w:val="22"/>
        </w:rPr>
        <w:t>Introduction</w:t>
      </w:r>
      <w:bookmarkEnd w:id="1"/>
      <w:bookmarkEnd w:id="2"/>
      <w:bookmarkEnd w:id="3"/>
      <w:bookmarkEnd w:id="4"/>
      <w:bookmarkEnd w:id="5"/>
      <w:bookmarkEnd w:id="6"/>
    </w:p>
    <w:p>
      <w:pPr>
        <w:spacing w:after="0" w:line="360" w:lineRule="auto"/>
        <w:ind w:firstLine="720"/>
        <w:jc w:val="both"/>
        <w:rPr>
          <w:rFonts w:ascii="Times New Roman" w:hAnsi="Times New Roman"/>
        </w:rPr>
      </w:pPr>
      <w:r>
        <w:rPr>
          <w:rFonts w:ascii="Times New Roman" w:hAnsi="Times New Roman"/>
        </w:rPr>
        <w:t>In the present day, unfriendly psychosocial working circumstances have considerably increased work-related stress, and organisations are solely responsible for ensuring the mental health and well-being of employees if productivity is to be reached (Goetzel et al. 2012). Employee well-being is viewed by the World Health Organization as a condition of mental, bodily, and social wellbeing. Five essential aspects of employee well-being—social, financial, physical, career, and community—have been identified by other workplace research, and when properly handled, they can increase organisational productivity (Juniper, 2011).</w:t>
      </w:r>
    </w:p>
    <w:p>
      <w:pPr>
        <w:spacing w:after="0" w:line="360" w:lineRule="auto"/>
        <w:ind w:firstLine="720"/>
        <w:jc w:val="both"/>
        <w:rPr>
          <w:rFonts w:ascii="Times New Roman" w:hAnsi="Times New Roman"/>
        </w:rPr>
      </w:pPr>
      <w:r>
        <w:rPr>
          <w:rFonts w:ascii="Times New Roman" w:hAnsi="Times New Roman"/>
        </w:rPr>
        <w:t>Managing the wellbeing of employees is a key factor for workforce productivity. Hence, the impact of employee wellbeing extends beyond how people feel, but affects job performance, burnout and turnover levels, and even the number of sick days taken by employees. Additionally, the wellbeing of employees’ impact on their engagement levels. A study on workplace resources to improve employee wellbeing discovered that over 60% of disengaged employees frequently experienced job burnout, over 66% experienced daily worry, and over 50% reported daily stress; all this because of the absence of wellbeing strategies (</w:t>
      </w:r>
      <w:r>
        <w:rPr>
          <w:rFonts w:ascii="Times New Roman" w:hAnsi="Times New Roman"/>
          <w:color w:val="222222"/>
          <w:shd w:val="clear" w:color="auto" w:fill="FFFFFF"/>
        </w:rPr>
        <w:t>Nielsen et al. 2017</w:t>
      </w:r>
      <w:r>
        <w:rPr>
          <w:rFonts w:ascii="Times New Roman" w:hAnsi="Times New Roman"/>
        </w:rPr>
        <w:t>).</w:t>
      </w:r>
    </w:p>
    <w:p>
      <w:pPr>
        <w:spacing w:after="0" w:line="360" w:lineRule="auto"/>
        <w:ind w:firstLine="720"/>
        <w:jc w:val="both"/>
        <w:rPr>
          <w:rFonts w:ascii="Times New Roman" w:hAnsi="Times New Roman"/>
        </w:rPr>
      </w:pPr>
      <w:r>
        <w:rPr>
          <w:rFonts w:ascii="Times New Roman" w:hAnsi="Times New Roman"/>
        </w:rPr>
        <w:t>The focus of this report is to critically analyse the wellbeing of employees working at the Bank of America. In the recent past, banks have been at the fore-front of far reaching global economic and structural changes including automation and digital transformation of operations. Additionally, the organisational turbulence resulting from recession and the financial crisis impacted on the daily operations of bank workers; thus exerting pressure on designing mechanisms on addressing the risks and remaining competitive (</w:t>
      </w:r>
      <w:r>
        <w:rPr>
          <w:rFonts w:ascii="Times New Roman" w:hAnsi="Times New Roman"/>
          <w:color w:val="222222"/>
          <w:shd w:val="clear" w:color="auto" w:fill="FFFFFF"/>
        </w:rPr>
        <w:t>Goetzel et al. 2012</w:t>
      </w:r>
      <w:r>
        <w:rPr>
          <w:rFonts w:ascii="Times New Roman" w:hAnsi="Times New Roman"/>
        </w:rPr>
        <w:t xml:space="preserve">). Moreover, these changes directly impact on the social, physical and mental wellbeing of employees, which require organisations to equip employees with mechanisms of managing workplace challenges. </w:t>
      </w:r>
    </w:p>
    <w:p>
      <w:pPr>
        <w:pStyle w:val="2"/>
        <w:spacing w:line="360" w:lineRule="auto"/>
        <w:rPr>
          <w:rFonts w:ascii="Times New Roman" w:hAnsi="Times New Roman"/>
          <w:b/>
          <w:color w:val="auto"/>
          <w:sz w:val="22"/>
          <w:szCs w:val="22"/>
        </w:rPr>
      </w:pPr>
      <w:bookmarkStart w:id="7" w:name="_Toc130494713"/>
      <w:r>
        <w:rPr>
          <w:rFonts w:ascii="Times New Roman" w:hAnsi="Times New Roman"/>
          <w:b/>
          <w:color w:val="auto"/>
          <w:sz w:val="22"/>
          <w:szCs w:val="22"/>
        </w:rPr>
        <w:t>Organisation Overview</w:t>
      </w:r>
      <w:bookmarkEnd w:id="7"/>
    </w:p>
    <w:p>
      <w:pPr>
        <w:spacing w:after="0" w:line="360" w:lineRule="auto"/>
        <w:ind w:firstLine="720"/>
        <w:jc w:val="both"/>
        <w:rPr>
          <w:rFonts w:ascii="Times New Roman" w:hAnsi="Times New Roman"/>
        </w:rPr>
      </w:pPr>
      <w:r>
        <w:rPr>
          <w:rFonts w:ascii="Times New Roman" w:hAnsi="Times New Roman"/>
        </w:rPr>
        <w:t>The Bank of America Corporation is one of the oldest banks in America spanning over 240 years involved in the provision of financial services. The banking corporation was founded in 1998 in California after the merger of the NationsBank and BankAmerica, and is currently ranked as one of the largest financial institution only second to JP Morgan Chase. The American Corporation is currently headquartered at Charlotte; California which operates financial services, and auxiliary headquarters in Manhattan that overseas investment banking services. The company which operates about 4000 retail financial centres offers various services including asset management, mortgage loans, private equity and insurance among others (bankofamerica, n.d.).</w:t>
      </w:r>
    </w:p>
    <w:p>
      <w:pPr>
        <w:spacing w:after="0" w:line="360" w:lineRule="auto"/>
        <w:ind w:firstLine="720"/>
        <w:jc w:val="both"/>
        <w:rPr>
          <w:rFonts w:ascii="Times New Roman" w:hAnsi="Times New Roman"/>
        </w:rPr>
      </w:pPr>
      <w:r>
        <w:rPr>
          <w:rFonts w:ascii="Times New Roman" w:hAnsi="Times New Roman"/>
        </w:rPr>
        <w:t>The Bank of America operates a hierarchical organisational structure where the top executive team directs the company’s growth, development and design a framework for managing the firm’s financial operations. With the organisational structure, the HR is represented at the top management as a member of the executive team charged with the primary role of aligning the human resource strategy to the business strategy. Additionally, through the Chief Human Resources Officer (CHRO), the HR is responsible for undertaking the staffing by attracting, recruiting, developing and retaining a world-class workforce (bankofamerica, n.d).</w:t>
      </w:r>
    </w:p>
    <w:p>
      <w:pPr>
        <w:pStyle w:val="2"/>
        <w:spacing w:line="360" w:lineRule="auto"/>
        <w:rPr>
          <w:rFonts w:ascii="Times New Roman" w:hAnsi="Times New Roman"/>
          <w:b/>
          <w:color w:val="auto"/>
          <w:sz w:val="22"/>
          <w:szCs w:val="22"/>
        </w:rPr>
      </w:pPr>
      <w:bookmarkStart w:id="8" w:name="_Toc130494714"/>
      <w:r>
        <w:rPr>
          <w:rFonts w:ascii="Times New Roman" w:hAnsi="Times New Roman"/>
          <w:b/>
          <w:color w:val="auto"/>
          <w:sz w:val="22"/>
          <w:szCs w:val="22"/>
        </w:rPr>
        <w:t>Discussion</w:t>
      </w:r>
      <w:bookmarkEnd w:id="8"/>
    </w:p>
    <w:p>
      <w:pPr>
        <w:spacing w:after="0" w:line="360" w:lineRule="auto"/>
        <w:ind w:firstLine="720"/>
        <w:jc w:val="both"/>
        <w:rPr>
          <w:rFonts w:ascii="Times New Roman" w:hAnsi="Times New Roman"/>
        </w:rPr>
      </w:pPr>
      <w:r>
        <w:rPr>
          <w:rFonts w:ascii="Times New Roman" w:hAnsi="Times New Roman"/>
        </w:rPr>
        <w:t>According to the latest data in the banking industry, by the end of 2021, the Bank of America had approximately 140,000 employees (Statista Research Department, 2021). With such a huge workforce, managing the welfare of employees presents challenges to the HR especially in designing policies that cater for their wellbeing. A review of the HR policies of the Bank of America shows that it highly prioritises the wellness of its employees and has invested in a number of programs that support their emotional wellness and mental health (bankofamerica.com. Some of these programs include the employee assistance program that manages issues of stress, the life event services which provides family services and connecting employees to resources, consultation with mental health providers at the company’s cost. Also, the company has designed an employee relief fund which offers financial assistance to employees and their family who may be impacted by emergencies such as the Covid19 pandemic (Bank of America, 2023).</w:t>
      </w:r>
    </w:p>
    <w:p>
      <w:pPr>
        <w:pStyle w:val="3"/>
        <w:spacing w:line="360" w:lineRule="auto"/>
        <w:rPr>
          <w:rFonts w:ascii="Times New Roman" w:hAnsi="Times New Roman"/>
          <w:sz w:val="22"/>
          <w:szCs w:val="22"/>
        </w:rPr>
      </w:pPr>
      <w:bookmarkStart w:id="9" w:name="_Toc130494715"/>
      <w:r>
        <w:rPr>
          <w:rFonts w:ascii="Times New Roman" w:hAnsi="Times New Roman"/>
          <w:sz w:val="22"/>
          <w:szCs w:val="22"/>
        </w:rPr>
        <w:t>Key Priority Area</w:t>
      </w:r>
      <w:bookmarkEnd w:id="9"/>
    </w:p>
    <w:p>
      <w:pPr>
        <w:spacing w:after="0" w:line="360" w:lineRule="auto"/>
        <w:ind w:firstLine="720"/>
        <w:jc w:val="both"/>
        <w:rPr>
          <w:rFonts w:ascii="Times New Roman" w:hAnsi="Times New Roman"/>
        </w:rPr>
      </w:pPr>
      <w:r>
        <w:rPr>
          <w:rFonts w:ascii="Times New Roman" w:hAnsi="Times New Roman"/>
        </w:rPr>
        <w:t>Despite the steps taken by the HR at the Bank of America to address employee wellness issues, there is a still a gap regarding the management of the benefits related to the delivery of health and wellbeing programs. The management of health benefits is important for employers, but requires lots of investments and an employee benefits strategy. Currently, the Bank of America lacks a comprehensive employee benefits program that balances between the needs of the employees and the objectives of the employer.</w:t>
      </w:r>
    </w:p>
    <w:p>
      <w:pPr>
        <w:pStyle w:val="3"/>
        <w:spacing w:line="360" w:lineRule="auto"/>
        <w:rPr>
          <w:rFonts w:ascii="Times New Roman" w:hAnsi="Times New Roman"/>
          <w:sz w:val="22"/>
          <w:szCs w:val="22"/>
        </w:rPr>
      </w:pPr>
      <w:bookmarkStart w:id="10" w:name="_Toc130494716"/>
      <w:r>
        <w:rPr>
          <w:rFonts w:ascii="Times New Roman" w:hAnsi="Times New Roman"/>
          <w:sz w:val="22"/>
          <w:szCs w:val="22"/>
        </w:rPr>
        <w:t>The Need for Improvement</w:t>
      </w:r>
      <w:bookmarkEnd w:id="10"/>
    </w:p>
    <w:p>
      <w:pPr>
        <w:spacing w:after="0" w:line="360" w:lineRule="auto"/>
        <w:ind w:firstLine="720"/>
        <w:jc w:val="both"/>
        <w:rPr>
          <w:rFonts w:ascii="Times New Roman" w:hAnsi="Times New Roman"/>
        </w:rPr>
      </w:pPr>
      <w:r>
        <w:rPr>
          <w:rFonts w:ascii="Times New Roman" w:hAnsi="Times New Roman"/>
        </w:rPr>
        <w:t>The area which has been identified for improvement is the lack of a comprehensive employee benefits program that caters for the needs of employees and responding to the objectives of the employer. While the bank has implemented various programs that support the emotional wellness and mental health of its employees and their families, the major shortfall of these programs focus short-term benefits, the HR fails on engaging employees.</w:t>
      </w:r>
    </w:p>
    <w:p>
      <w:pPr>
        <w:spacing w:after="0" w:line="360" w:lineRule="auto"/>
        <w:ind w:firstLine="720"/>
        <w:jc w:val="both"/>
        <w:rPr>
          <w:rFonts w:ascii="Times New Roman" w:hAnsi="Times New Roman"/>
        </w:rPr>
      </w:pPr>
      <w:r>
        <w:rPr>
          <w:rFonts w:ascii="Times New Roman" w:hAnsi="Times New Roman"/>
        </w:rPr>
        <w:t>Human resource research has shown that organisations incur higher costs in trying to managing the wellbeing of employees instead of developing a well-being strategy that can improve on employee engagement and boost the effectiveness of the workforce (</w:t>
      </w:r>
      <w:r>
        <w:rPr>
          <w:rFonts w:ascii="Times New Roman" w:hAnsi="Times New Roman"/>
          <w:spacing w:val="-1"/>
        </w:rPr>
        <w:t>Edwards &amp; Rees, 2016</w:t>
      </w:r>
      <w:r>
        <w:rPr>
          <w:rFonts w:ascii="Times New Roman" w:hAnsi="Times New Roman"/>
        </w:rPr>
        <w:t>). The HR division at the Bank of America is responsible for the management of wellness issues, but faces some major implementation challenges. Some of the implementation challenges in delivering an effective health and wellbeing programs include the rising healthcare costs, and insufficient employee engagement and lack of effective communication mechanisms.</w:t>
      </w:r>
    </w:p>
    <w:p>
      <w:pPr>
        <w:spacing w:after="0" w:line="360" w:lineRule="auto"/>
        <w:ind w:firstLine="720"/>
        <w:jc w:val="both"/>
        <w:rPr>
          <w:rFonts w:ascii="Times New Roman" w:hAnsi="Times New Roman"/>
        </w:rPr>
      </w:pPr>
      <w:r>
        <w:rPr>
          <w:rFonts w:ascii="Times New Roman" w:hAnsi="Times New Roman"/>
        </w:rPr>
        <w:t>For instance, through its wellness programs, the Bank of America has partnered with mental health providers that are available for employee to handle issues relating to stress, anxiety, depression and family issues among others. However, the HR still faces the challenge of ensuring that employees are committed to the various healthcare plans for which the company incurs huge costs to ensure the workers are in good health. The current shortfall is that the health care plans do not cater for the needs of the aging workforce, most of whom are expatriates and failing to address their wellbeing issues impacts on their work productivity.</w:t>
      </w:r>
    </w:p>
    <w:p>
      <w:pPr>
        <w:spacing w:after="0" w:line="360" w:lineRule="auto"/>
        <w:ind w:firstLine="720"/>
        <w:jc w:val="both"/>
        <w:rPr>
          <w:rFonts w:ascii="Times New Roman" w:hAnsi="Times New Roman"/>
        </w:rPr>
      </w:pPr>
      <w:r>
        <w:rPr>
          <w:rFonts w:ascii="Times New Roman" w:hAnsi="Times New Roman"/>
        </w:rPr>
        <w:t>Another area that requires urgent improvement is the insufficient employee engagement mechanism regarding the implementation of the health and wellbeing programs. One of responsibilities of the HR division is the management of welfare of employees which includes providing health care plans for all cadre of workers, and wellbeing programs that include incentives and benefits that will improve engagement and commitment levels. According to Marchington and Wilkinson (2016) improving employee engagement levels requires creating and maintaining an environment that supports a work-life balance. Moreover, the effectiveness of workplace wellbeing programs depends on the proportions at which the employees are truly engaged in the program (Armstrong, 2020).</w:t>
      </w:r>
    </w:p>
    <w:p>
      <w:pPr>
        <w:spacing w:after="0" w:line="360" w:lineRule="auto"/>
        <w:ind w:firstLine="720"/>
        <w:jc w:val="both"/>
        <w:rPr>
          <w:rFonts w:ascii="Times New Roman" w:hAnsi="Times New Roman"/>
        </w:rPr>
      </w:pPr>
      <w:r>
        <w:rPr>
          <w:rFonts w:ascii="Times New Roman" w:hAnsi="Times New Roman"/>
        </w:rPr>
        <w:t xml:space="preserve">While the Bank of America has wellness programs, the HR is not doing enough to keep employees engaged in the implementation of healthcare plans and benefits accrued to them in the wellbeing programs. This can also be connected to the inappropriate communication channels that in a way affect employee participation, engagement and hinders the success of the company’s wellness programs. </w:t>
      </w:r>
    </w:p>
    <w:p>
      <w:pPr>
        <w:pStyle w:val="2"/>
        <w:spacing w:line="360" w:lineRule="auto"/>
        <w:rPr>
          <w:rFonts w:ascii="Times New Roman" w:hAnsi="Times New Roman"/>
          <w:b/>
          <w:color w:val="auto"/>
          <w:sz w:val="22"/>
          <w:szCs w:val="22"/>
        </w:rPr>
      </w:pPr>
      <w:bookmarkStart w:id="11" w:name="_Toc130494717"/>
      <w:r>
        <w:rPr>
          <w:rFonts w:ascii="Times New Roman" w:hAnsi="Times New Roman"/>
          <w:b/>
          <w:color w:val="auto"/>
          <w:sz w:val="22"/>
          <w:szCs w:val="22"/>
        </w:rPr>
        <w:t>The Impact of Employee Wellbeing on Organisational Performance</w:t>
      </w:r>
      <w:bookmarkEnd w:id="11"/>
      <w:r>
        <w:rPr>
          <w:rFonts w:ascii="Times New Roman" w:hAnsi="Times New Roman"/>
          <w:b/>
          <w:color w:val="auto"/>
          <w:sz w:val="22"/>
          <w:szCs w:val="22"/>
        </w:rPr>
        <w:t xml:space="preserve"> </w:t>
      </w:r>
    </w:p>
    <w:p>
      <w:pPr>
        <w:spacing w:after="0" w:line="360" w:lineRule="auto"/>
        <w:ind w:firstLine="720"/>
        <w:jc w:val="both"/>
        <w:rPr>
          <w:rFonts w:ascii="Times New Roman" w:hAnsi="Times New Roman"/>
        </w:rPr>
      </w:pPr>
      <w:r>
        <w:rPr>
          <w:rFonts w:ascii="Times New Roman" w:hAnsi="Times New Roman"/>
        </w:rPr>
        <w:t>Employee wellbeing has been described as the combination of physical and mental health, alongside the positive, social and cultural attitudes that contribute to the working environment (</w:t>
      </w:r>
      <w:r>
        <w:rPr>
          <w:rFonts w:ascii="Times New Roman" w:hAnsi="Times New Roman"/>
          <w:color w:val="222222"/>
          <w:shd w:val="clear" w:color="auto" w:fill="FFFFFF"/>
        </w:rPr>
        <w:t>Renwick, 2013</w:t>
      </w:r>
      <w:r>
        <w:rPr>
          <w:rFonts w:ascii="Times New Roman" w:hAnsi="Times New Roman"/>
        </w:rPr>
        <w:t xml:space="preserve">). For example, a review of HR practices and employee performance in the Chinese banking sector identified positive work relationships, rewards, financial and social support as factors that contribute to the good wellbeing of employees (Cooper et al. 2019). </w:t>
      </w:r>
    </w:p>
    <w:p>
      <w:pPr>
        <w:spacing w:after="0" w:line="360" w:lineRule="auto"/>
        <w:ind w:firstLine="720"/>
        <w:jc w:val="both"/>
        <w:rPr>
          <w:rFonts w:ascii="Times New Roman" w:hAnsi="Times New Roman"/>
        </w:rPr>
      </w:pPr>
      <w:r>
        <w:rPr>
          <w:rFonts w:ascii="Times New Roman" w:hAnsi="Times New Roman"/>
        </w:rPr>
        <w:t>Accordingly, there is significant evidence to show that there exists a direct connection between the workplace wellbeing and organisational performance. A multiplicity of case studies that examined the connection between employee wellbeing and performance employees in the public sector found that motivated employees tend to demonstrated high levels of creativity and problem solving, positive work attitude, and greater levels of energy leading to higher outputs and productivity (</w:t>
      </w:r>
      <w:r>
        <w:rPr>
          <w:rFonts w:ascii="Times New Roman" w:hAnsi="Times New Roman"/>
          <w:color w:val="222222"/>
          <w:shd w:val="clear" w:color="auto" w:fill="FFFFFF"/>
        </w:rPr>
        <w:t>Krekel, 2019</w:t>
      </w:r>
      <w:r>
        <w:rPr>
          <w:rFonts w:ascii="Times New Roman" w:hAnsi="Times New Roman"/>
        </w:rPr>
        <w:t>).</w:t>
      </w:r>
    </w:p>
    <w:p>
      <w:pPr>
        <w:spacing w:after="0" w:line="360" w:lineRule="auto"/>
        <w:ind w:firstLine="720"/>
        <w:jc w:val="both"/>
        <w:rPr>
          <w:rFonts w:ascii="Times New Roman" w:hAnsi="Times New Roman"/>
        </w:rPr>
      </w:pPr>
      <w:r>
        <w:rPr>
          <w:rFonts w:ascii="Times New Roman" w:hAnsi="Times New Roman"/>
        </w:rPr>
        <w:t>The review of employee wellbeing practices at the Bank of America has highlighted the areas of improvement including employee engagement, communication and managing the rising healthcare costs especially for the aged workforce. According to Henderson (2017), HR should take a central role of creating wellness programs that focus on the needs of the employees and aligning then to the human resources strategy to ensure that the company provides comprehensive and competitive benefits.</w:t>
      </w:r>
    </w:p>
    <w:p>
      <w:pPr>
        <w:spacing w:after="0" w:line="360" w:lineRule="auto"/>
        <w:ind w:firstLine="720"/>
        <w:jc w:val="both"/>
        <w:rPr>
          <w:rFonts w:ascii="Times New Roman" w:hAnsi="Times New Roman"/>
        </w:rPr>
      </w:pPr>
      <w:r>
        <w:rPr>
          <w:rFonts w:ascii="Times New Roman" w:hAnsi="Times New Roman"/>
        </w:rPr>
        <w:t>However, currently, the deficiency of an effective employee benefits program at the Bank of America that focuses on health and wellbeing of employees is counter-productive to the organisation as it impacts on performance. For instance the insufficient employee engagement programs has led to a decrease in workforce productivity as most of the employees are not able to achieve a work-life balance. While the company prioritises the emotional wellness its employees, the lack of engagement means that they are enrolled in consultancy services for which they are not interested or done without their involvement; thus diluting the effectiveness of the programs.</w:t>
      </w:r>
    </w:p>
    <w:p>
      <w:pPr>
        <w:spacing w:after="0" w:line="360" w:lineRule="auto"/>
        <w:ind w:firstLine="720"/>
        <w:jc w:val="both"/>
        <w:rPr>
          <w:rFonts w:ascii="Times New Roman" w:hAnsi="Times New Roman"/>
        </w:rPr>
      </w:pPr>
      <w:r>
        <w:rPr>
          <w:rFonts w:ascii="Times New Roman" w:hAnsi="Times New Roman"/>
        </w:rPr>
        <w:t>The failure by the HR division at the Bank of America to provide comprehensive employee benefits has also resulted in the increased number of employees leaving the organisation. The banking industry is highly competitive and employees seek for organisations with effective wellbeing programs that support their individual and career growth prospects (</w:t>
      </w:r>
      <w:r>
        <w:rPr>
          <w:rFonts w:ascii="Times New Roman" w:hAnsi="Times New Roman"/>
          <w:color w:val="222222"/>
          <w:shd w:val="clear" w:color="auto" w:fill="FFFFFF"/>
        </w:rPr>
        <w:t>Kaur &amp; Sharma, 2016</w:t>
      </w:r>
      <w:r>
        <w:rPr>
          <w:rFonts w:ascii="Times New Roman" w:hAnsi="Times New Roman"/>
        </w:rPr>
        <w:t xml:space="preserve">). Therefore, as a result of the high levels of turnover, the Bank of America is struggling to boost productivity levels especially among the most experienced and aged workers who are not benefiting from the welfare programs. This has affected the company’s mentorship programs through which new employees are supposed to benefit leading to the company incurring increased costs of recruitment and retaining the most talents employees in the industry. </w:t>
      </w:r>
    </w:p>
    <w:p>
      <w:pPr>
        <w:pStyle w:val="2"/>
        <w:spacing w:line="360" w:lineRule="auto"/>
        <w:rPr>
          <w:rFonts w:ascii="Times New Roman" w:hAnsi="Times New Roman"/>
          <w:b/>
          <w:color w:val="auto"/>
          <w:sz w:val="22"/>
          <w:szCs w:val="22"/>
        </w:rPr>
      </w:pPr>
      <w:bookmarkStart w:id="12" w:name="_Toc130494718"/>
      <w:r>
        <w:rPr>
          <w:rFonts w:ascii="Times New Roman" w:hAnsi="Times New Roman"/>
          <w:b/>
          <w:color w:val="auto"/>
          <w:sz w:val="22"/>
          <w:szCs w:val="22"/>
        </w:rPr>
        <w:t>Benefits of improving the priority area</w:t>
      </w:r>
      <w:bookmarkEnd w:id="12"/>
    </w:p>
    <w:p>
      <w:pPr>
        <w:spacing w:after="0" w:line="360" w:lineRule="auto"/>
        <w:ind w:firstLine="720"/>
        <w:jc w:val="both"/>
        <w:rPr>
          <w:rFonts w:ascii="Times New Roman" w:hAnsi="Times New Roman"/>
        </w:rPr>
      </w:pPr>
      <w:r>
        <w:rPr>
          <w:rFonts w:ascii="Times New Roman" w:hAnsi="Times New Roman"/>
        </w:rPr>
        <w:t xml:space="preserve">In order to improve the wellbeing of employees at the Bank of America, the key priority area is to improve the levels of engagement and communication mechanism. This analysis has identified that while the company had employee wellness programs, the HR division is not effectively communicating and engaging employees about the wellbeing programs; thus affecting the individual performance and overall productivity of the organisation. </w:t>
      </w:r>
    </w:p>
    <w:p>
      <w:pPr>
        <w:spacing w:after="0" w:line="360" w:lineRule="auto"/>
        <w:ind w:firstLine="720"/>
        <w:jc w:val="both"/>
        <w:rPr>
          <w:rFonts w:ascii="Times New Roman" w:hAnsi="Times New Roman"/>
        </w:rPr>
      </w:pPr>
      <w:r>
        <w:rPr>
          <w:rFonts w:ascii="Times New Roman" w:hAnsi="Times New Roman"/>
        </w:rPr>
        <w:t>However, by improving on the priority area, the employees, organisation and stakeholders will reap the benefits. At the individual level, the involvement and engagement of employees on the company’s benefits program, they will lead to increased commitment and loyalty to the organisation; thus making them more productive (Henderson, 2017). This is supported by research studies which show that organisation productivity can be accomplished through increased levels of employee engagement on programs that impact on their overall wellbeing (</w:t>
      </w:r>
      <w:r>
        <w:rPr>
          <w:rFonts w:ascii="Times New Roman" w:hAnsi="Times New Roman"/>
          <w:color w:val="222222"/>
          <w:shd w:val="clear" w:color="auto" w:fill="FFFFFF"/>
        </w:rPr>
        <w:t>Rasool et al. 2021</w:t>
      </w:r>
      <w:r>
        <w:rPr>
          <w:rFonts w:ascii="Times New Roman" w:hAnsi="Times New Roman"/>
        </w:rPr>
        <w:t>). Additionally, using the right mode and channel of communicating to employees will increase their awareness reading the benefits accessible to them; thus increasing their commitment levels.</w:t>
      </w:r>
    </w:p>
    <w:p>
      <w:pPr>
        <w:spacing w:after="0" w:line="360" w:lineRule="auto"/>
        <w:ind w:firstLine="720"/>
        <w:jc w:val="both"/>
        <w:rPr>
          <w:rFonts w:ascii="Times New Roman" w:hAnsi="Times New Roman"/>
        </w:rPr>
      </w:pPr>
      <w:r>
        <w:rPr>
          <w:rFonts w:ascii="Times New Roman" w:hAnsi="Times New Roman"/>
        </w:rPr>
        <w:t>The organisation in this context which is the Bank of America will also benefit from the increased engagement of employees regarding their benefits. Once all the employees are engaged and aware of their benefits including the different wellness programs, the rate of leaving the organisation will reduce. In this case, the organisation will benefit from reduced costs of staffing in terms of recruiting new workers to replace those who have left because of being unhappy with their benefits. Additionally, Armstrong (2020) observes that committed and full engaged employees become more productive and make the organisation competitive.</w:t>
      </w:r>
    </w:p>
    <w:p>
      <w:pPr>
        <w:spacing w:after="0" w:line="360" w:lineRule="auto"/>
        <w:ind w:firstLine="720"/>
        <w:jc w:val="both"/>
        <w:rPr>
          <w:rFonts w:ascii="Times New Roman" w:hAnsi="Times New Roman"/>
        </w:rPr>
      </w:pPr>
      <w:r>
        <w:rPr>
          <w:rFonts w:ascii="Times New Roman" w:hAnsi="Times New Roman"/>
        </w:rPr>
        <w:t>Finally, the stakeholders of the Bank of America including customers, investors and the community will also benefit once the priority areas are improved. For instance, employees who are engaged and committed to the organisation become motivated to treat the customers well by responding well to their issues and complaints. In addition to customer service, the community will also benefit from a productive workforce that will be activity engaged in corporate social responsibility programmes. The employees will also be willing to generate wealth for the investors through a proper advice on their investments; thereby making the organisation highly competitive and attract more customers and investors.</w:t>
      </w:r>
    </w:p>
    <w:p>
      <w:pPr>
        <w:pStyle w:val="2"/>
        <w:spacing w:line="360" w:lineRule="auto"/>
        <w:rPr>
          <w:rFonts w:ascii="Times New Roman" w:hAnsi="Times New Roman"/>
          <w:b/>
          <w:color w:val="auto"/>
          <w:sz w:val="22"/>
          <w:szCs w:val="22"/>
        </w:rPr>
      </w:pPr>
      <w:bookmarkStart w:id="13" w:name="_Toc130494719"/>
      <w:r>
        <w:rPr>
          <w:rFonts w:ascii="Times New Roman" w:hAnsi="Times New Roman"/>
          <w:b/>
          <w:color w:val="auto"/>
          <w:sz w:val="22"/>
          <w:szCs w:val="22"/>
        </w:rPr>
        <w:t>Conclusion</w:t>
      </w:r>
      <w:bookmarkEnd w:id="13"/>
      <w:r>
        <w:rPr>
          <w:rFonts w:ascii="Times New Roman" w:hAnsi="Times New Roman"/>
          <w:b/>
          <w:color w:val="auto"/>
          <w:sz w:val="22"/>
          <w:szCs w:val="22"/>
        </w:rPr>
        <w:t xml:space="preserve"> </w:t>
      </w:r>
    </w:p>
    <w:p>
      <w:pPr>
        <w:spacing w:after="0" w:line="360" w:lineRule="auto"/>
        <w:ind w:firstLine="720"/>
        <w:jc w:val="both"/>
        <w:rPr>
          <w:rFonts w:ascii="Times New Roman" w:hAnsi="Times New Roman"/>
        </w:rPr>
      </w:pPr>
      <w:r>
        <w:rPr>
          <w:rFonts w:ascii="Times New Roman" w:hAnsi="Times New Roman"/>
        </w:rPr>
        <w:t xml:space="preserve">This report has reviewed the issue of employee wellbeing at the Bank of America. The report found that while the HR function prioritises the issue of employee wellness through the various programs, there are still challenges of implementation including inadequate communication and the lack of employee engagement. What is working well for the organisation is that the HR has managed to design various programs that promote the wellbeing of employees and their families; which contribute to a positive work-life balance. </w:t>
      </w:r>
    </w:p>
    <w:p>
      <w:pPr>
        <w:spacing w:after="0" w:line="360" w:lineRule="auto"/>
        <w:ind w:firstLine="720"/>
        <w:jc w:val="both"/>
        <w:rPr>
          <w:rFonts w:ascii="Times New Roman" w:hAnsi="Times New Roman"/>
        </w:rPr>
      </w:pPr>
      <w:r>
        <w:rPr>
          <w:rFonts w:ascii="Times New Roman" w:hAnsi="Times New Roman"/>
        </w:rPr>
        <w:t>However, the current weakness of the lack of an effective employee benefits program which makes it difficult for the HR to engage and communicate to the employees concerning their benefits. Therefore, owing to this shortfall, the negative outcomes include managing a disengaged workforce, lack of commitment to work, and an increased number of employees reporting off days or leaving the organisation.</w:t>
      </w:r>
    </w:p>
    <w:p>
      <w:pPr>
        <w:spacing w:after="0" w:line="360" w:lineRule="auto"/>
        <w:ind w:firstLine="720"/>
        <w:jc w:val="both"/>
        <w:rPr>
          <w:rFonts w:ascii="Times New Roman" w:hAnsi="Times New Roman"/>
        </w:rPr>
      </w:pPr>
      <w:r>
        <w:rPr>
          <w:rFonts w:ascii="Times New Roman" w:hAnsi="Times New Roman"/>
        </w:rPr>
        <w:t xml:space="preserve">Therefore, what need to be improved is for the HR to increase the engagement levels among the employees through the use of proper communication modes and channels so they can become aware about the employment benefits program. In addition to the current wellness programs, the HR needs involve employees at all levels while developing the benefits programs so they can know the kind of help and resources at their disposal. </w:t>
      </w:r>
    </w:p>
    <w:p>
      <w:pPr>
        <w:spacing w:after="0" w:line="360" w:lineRule="auto"/>
        <w:ind w:firstLine="720"/>
        <w:jc w:val="both"/>
        <w:rPr>
          <w:rFonts w:ascii="Times New Roman" w:hAnsi="Times New Roman"/>
        </w:rPr>
      </w:pPr>
      <w:r>
        <w:rPr>
          <w:rFonts w:ascii="Times New Roman" w:hAnsi="Times New Roman"/>
        </w:rPr>
        <w:t>Once these areas have been improved, it is expected employees will reap the benefits of well-being by increasing their commitment levels towards their work and become more productive. Additionally, the organisation will benefit from reduced costs of managing the staff and have few workers leaving the organisation. Also, other stakeholders including the customers and investors will also benefit from a productive workforce; hence received improved customer service and growth in investments.</w:t>
      </w:r>
    </w:p>
    <w:p>
      <w:pPr>
        <w:pStyle w:val="2"/>
        <w:spacing w:line="360" w:lineRule="auto"/>
        <w:rPr>
          <w:rFonts w:ascii="Times New Roman" w:hAnsi="Times New Roman"/>
          <w:b/>
          <w:color w:val="auto"/>
          <w:sz w:val="22"/>
          <w:szCs w:val="22"/>
        </w:rPr>
      </w:pPr>
      <w:bookmarkStart w:id="14" w:name="_Toc130494720"/>
      <w:r>
        <w:rPr>
          <w:rFonts w:ascii="Times New Roman" w:hAnsi="Times New Roman"/>
          <w:b/>
          <w:color w:val="auto"/>
          <w:sz w:val="22"/>
          <w:szCs w:val="22"/>
        </w:rPr>
        <w:t>Recommendations</w:t>
      </w:r>
      <w:bookmarkEnd w:id="14"/>
    </w:p>
    <w:p>
      <w:pPr>
        <w:spacing w:line="360" w:lineRule="auto"/>
        <w:rPr>
          <w:rFonts w:ascii="Times New Roman" w:hAnsi="Times New Roman"/>
        </w:rPr>
      </w:pPr>
    </w:p>
    <w:p>
      <w:pPr>
        <w:spacing w:after="0" w:line="360" w:lineRule="auto"/>
        <w:jc w:val="both"/>
        <w:rPr>
          <w:rFonts w:ascii="Times New Roman" w:hAnsi="Times New Roman"/>
        </w:rPr>
      </w:pPr>
      <w:r>
        <w:rPr>
          <w:rFonts w:ascii="Times New Roman" w:hAnsi="Times New Roman"/>
        </w:rPr>
        <w:t xml:space="preserve">1) On the communication challenge, the HR should regularly communicate with employees regarding any new changes on the benefits that touch on their wellbeing. In addition to the use of emails and memos, the HR should consider having quarterly meetings to review the benefits program thereby encouraging participation by employees on their wellbeing issues. </w:t>
      </w:r>
    </w:p>
    <w:p>
      <w:pPr>
        <w:spacing w:after="0" w:line="360" w:lineRule="auto"/>
        <w:jc w:val="both"/>
        <w:rPr>
          <w:rFonts w:ascii="Times New Roman" w:hAnsi="Times New Roman"/>
        </w:rPr>
      </w:pPr>
      <w:r>
        <w:rPr>
          <w:rFonts w:ascii="Times New Roman" w:hAnsi="Times New Roman"/>
        </w:rPr>
        <w:t>2) On the priority are insufficient employee engagement, a key recommendation to overcome this challenge is involve employees at all levels by seeking their views and opinions regarding the employee benefits program. This will improve the success of the program because when they are involved, employees feel excited about their health and wellbeing issues and also feel part of the organisation. In addition, the HR should consider using a variety of communication channels as a way of increasing the engagement of employees to build a better understanding of their benefits.</w:t>
      </w:r>
    </w:p>
    <w:p>
      <w:pPr>
        <w:spacing w:after="0" w:line="360" w:lineRule="auto"/>
        <w:jc w:val="both"/>
        <w:rPr>
          <w:rFonts w:ascii="Times New Roman" w:hAnsi="Times New Roman"/>
        </w:rPr>
      </w:pPr>
    </w:p>
    <w:p>
      <w:pPr>
        <w:spacing w:after="0" w:line="360" w:lineRule="auto"/>
        <w:jc w:val="both"/>
        <w:rPr>
          <w:rFonts w:ascii="Times New Roman" w:hAnsi="Times New Roman"/>
        </w:rPr>
      </w:pPr>
      <w:r>
        <w:rPr>
          <w:rFonts w:ascii="Times New Roman" w:hAnsi="Times New Roman"/>
        </w:rPr>
        <w:t>In summary, the ethical issues involved in the implementation of this recommendations seeking consent from employees to get their full participation. This will curb the challenges of having a benefits program that seeks to promote the interests of the organisation at the expense of accomplishing the needs of employees. Besides, the bank will be able to cater for the costs of these recommendations as they are internal to the needs of the organisation and will not require outsourcing.</w:t>
      </w: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spacing w:after="0" w:line="360" w:lineRule="auto"/>
        <w:jc w:val="both"/>
        <w:rPr>
          <w:rFonts w:ascii="Times New Roman" w:hAnsi="Times New Roman"/>
        </w:rPr>
      </w:pPr>
    </w:p>
    <w:p>
      <w:pPr>
        <w:pStyle w:val="2"/>
        <w:spacing w:line="360" w:lineRule="auto"/>
        <w:rPr>
          <w:rFonts w:ascii="Times New Roman" w:hAnsi="Times New Roman"/>
          <w:b/>
          <w:color w:val="auto"/>
          <w:sz w:val="22"/>
          <w:szCs w:val="22"/>
        </w:rPr>
      </w:pPr>
      <w:bookmarkStart w:id="15" w:name="_Toc130494721"/>
      <w:r>
        <w:rPr>
          <w:rFonts w:ascii="Times New Roman" w:hAnsi="Times New Roman"/>
          <w:b/>
          <w:color w:val="auto"/>
          <w:sz w:val="22"/>
          <w:szCs w:val="22"/>
        </w:rPr>
        <w:t>References</w:t>
      </w:r>
      <w:bookmarkEnd w:id="15"/>
      <w:r>
        <w:rPr>
          <w:rFonts w:ascii="Times New Roman" w:hAnsi="Times New Roman"/>
          <w:b/>
          <w:color w:val="auto"/>
          <w:sz w:val="22"/>
          <w:szCs w:val="22"/>
        </w:rPr>
        <w:t xml:space="preserve"> </w:t>
      </w:r>
    </w:p>
    <w:p>
      <w:pPr>
        <w:spacing w:line="360" w:lineRule="auto"/>
        <w:rPr>
          <w:rFonts w:ascii="Times New Roman" w:hAnsi="Times New Roman"/>
        </w:rPr>
      </w:pPr>
    </w:p>
    <w:p>
      <w:pPr>
        <w:pStyle w:val="20"/>
        <w:spacing w:after="120" w:line="360" w:lineRule="auto"/>
        <w:jc w:val="both"/>
        <w:rPr>
          <w:rFonts w:ascii="Times New Roman" w:hAnsi="Times New Roman"/>
          <w:sz w:val="22"/>
          <w:szCs w:val="22"/>
        </w:rPr>
      </w:pPr>
      <w:r>
        <w:rPr>
          <w:rFonts w:ascii="Times New Roman" w:hAnsi="Times New Roman"/>
          <w:sz w:val="22"/>
          <w:szCs w:val="22"/>
        </w:rPr>
        <w:t xml:space="preserve">Armstrong, M. (2020) </w:t>
      </w:r>
      <w:r>
        <w:rPr>
          <w:rFonts w:ascii="Times New Roman" w:hAnsi="Times New Roman"/>
          <w:i/>
          <w:iCs/>
          <w:sz w:val="22"/>
          <w:szCs w:val="22"/>
        </w:rPr>
        <w:t>Armstrong's Handbook of Human Resource Management Practice.</w:t>
      </w:r>
      <w:r>
        <w:rPr>
          <w:rFonts w:ascii="Times New Roman" w:hAnsi="Times New Roman"/>
          <w:sz w:val="22"/>
          <w:szCs w:val="22"/>
        </w:rPr>
        <w:t xml:space="preserve"> 15</w:t>
      </w:r>
      <w:r>
        <w:rPr>
          <w:rFonts w:ascii="Times New Roman" w:hAnsi="Times New Roman"/>
          <w:sz w:val="22"/>
          <w:szCs w:val="22"/>
          <w:vertAlign w:val="superscript"/>
        </w:rPr>
        <w:t>th</w:t>
      </w:r>
      <w:r>
        <w:rPr>
          <w:rFonts w:ascii="Times New Roman" w:hAnsi="Times New Roman"/>
          <w:sz w:val="22"/>
          <w:szCs w:val="22"/>
        </w:rPr>
        <w:t xml:space="preserve"> Ed. London: Konan Page</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 xml:space="preserve">Bank of America (n.d.) Company Profile. Available at https://investor.bankofamerica.com/profile </w:t>
      </w:r>
      <w:r>
        <w:rPr>
          <w:rFonts w:ascii="Times New Roman" w:hAnsi="Times New Roman"/>
        </w:rPr>
        <w:t>[Accessed March 16, 2023].</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Bank of America (n.d.). ‘</w:t>
      </w:r>
      <w:r>
        <w:rPr>
          <w:rFonts w:ascii="Times New Roman" w:hAnsi="Times New Roman"/>
          <w:i/>
          <w:color w:val="222222"/>
          <w:shd w:val="clear" w:color="auto" w:fill="FFFFFF"/>
        </w:rPr>
        <w:t>Prioritizing your emotional wellness’</w:t>
      </w:r>
      <w:r>
        <w:rPr>
          <w:rFonts w:ascii="Times New Roman" w:hAnsi="Times New Roman"/>
          <w:color w:val="222222"/>
          <w:shd w:val="clear" w:color="auto" w:fill="FFFFFF"/>
        </w:rPr>
        <w:t xml:space="preserve"> Available at https://www.bankofamerica.com/content/documents/employees/Prioritizing_emotional_wellness.pdf </w:t>
      </w:r>
      <w:r>
        <w:rPr>
          <w:rFonts w:ascii="Times New Roman" w:hAnsi="Times New Roman"/>
        </w:rPr>
        <w:t>[Accessed March 12, 2023].</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Cooper, B., Wang, J., Bartram, T., &amp; Cooke, F. L. (2019). Well‐being‐oriented human resource management practices and employee performance in the Chinese banking sector: The role of social climate and resilience. </w:t>
      </w:r>
      <w:r>
        <w:rPr>
          <w:rFonts w:ascii="Times New Roman" w:hAnsi="Times New Roman"/>
          <w:i/>
          <w:iCs/>
          <w:color w:val="222222"/>
          <w:shd w:val="clear" w:color="auto" w:fill="FFFFFF"/>
        </w:rPr>
        <w:t>Human Resource Management</w:t>
      </w:r>
      <w:r>
        <w:rPr>
          <w:rFonts w:ascii="Times New Roman" w:hAnsi="Times New Roman"/>
          <w:color w:val="222222"/>
          <w:shd w:val="clear" w:color="auto" w:fill="FFFFFF"/>
        </w:rPr>
        <w:t>, </w:t>
      </w:r>
      <w:r>
        <w:rPr>
          <w:rFonts w:ascii="Times New Roman" w:hAnsi="Times New Roman"/>
          <w:i/>
          <w:iCs/>
          <w:color w:val="222222"/>
          <w:shd w:val="clear" w:color="auto" w:fill="FFFFFF"/>
        </w:rPr>
        <w:t>58</w:t>
      </w:r>
      <w:r>
        <w:rPr>
          <w:rFonts w:ascii="Times New Roman" w:hAnsi="Times New Roman"/>
          <w:color w:val="222222"/>
          <w:shd w:val="clear" w:color="auto" w:fill="FFFFFF"/>
        </w:rPr>
        <w:t>(1), 85-97.</w:t>
      </w:r>
    </w:p>
    <w:p>
      <w:pPr>
        <w:pStyle w:val="20"/>
        <w:spacing w:after="120" w:line="360" w:lineRule="auto"/>
        <w:jc w:val="both"/>
        <w:rPr>
          <w:rFonts w:ascii="Times New Roman" w:hAnsi="Times New Roman"/>
          <w:spacing w:val="-2"/>
          <w:sz w:val="22"/>
          <w:szCs w:val="22"/>
        </w:rPr>
      </w:pPr>
      <w:r>
        <w:rPr>
          <w:rFonts w:ascii="Times New Roman" w:hAnsi="Times New Roman"/>
          <w:spacing w:val="-1"/>
          <w:sz w:val="22"/>
          <w:szCs w:val="22"/>
        </w:rPr>
        <w:t>Edwards, T. and Rees, C. (2016)</w:t>
      </w:r>
      <w:r>
        <w:rPr>
          <w:rFonts w:ascii="Times New Roman" w:hAnsi="Times New Roman"/>
          <w:i/>
          <w:iCs/>
          <w:spacing w:val="-1"/>
          <w:sz w:val="22"/>
          <w:szCs w:val="22"/>
        </w:rPr>
        <w:t xml:space="preserve"> International Human Resource Management: globalisation, national </w:t>
      </w:r>
      <w:r>
        <w:rPr>
          <w:rFonts w:ascii="Times New Roman" w:hAnsi="Times New Roman"/>
          <w:i/>
          <w:iCs/>
          <w:spacing w:val="-2"/>
          <w:sz w:val="22"/>
          <w:szCs w:val="22"/>
        </w:rPr>
        <w:t>systems and multinational companies.</w:t>
      </w:r>
      <w:r>
        <w:rPr>
          <w:rFonts w:ascii="Times New Roman" w:hAnsi="Times New Roman"/>
          <w:spacing w:val="-2"/>
          <w:sz w:val="22"/>
          <w:szCs w:val="22"/>
        </w:rPr>
        <w:t xml:space="preserve"> 3</w:t>
      </w:r>
      <w:r>
        <w:rPr>
          <w:rFonts w:ascii="Times New Roman" w:hAnsi="Times New Roman"/>
          <w:spacing w:val="-2"/>
          <w:sz w:val="22"/>
          <w:szCs w:val="22"/>
          <w:vertAlign w:val="superscript"/>
        </w:rPr>
        <w:t>rd</w:t>
      </w:r>
      <w:r>
        <w:rPr>
          <w:rFonts w:ascii="Times New Roman" w:hAnsi="Times New Roman"/>
          <w:spacing w:val="-2"/>
          <w:sz w:val="22"/>
          <w:szCs w:val="22"/>
        </w:rPr>
        <w:t xml:space="preserve"> Ed. Essex: Palgrave </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Goetzel, R.Z., Ozminkowski, R.J., Sederer, L.I. and Mark, T.L. (2012). The business case for quality mental health services: why employers should care about the mental health and well-being of their employees. </w:t>
      </w:r>
      <w:r>
        <w:rPr>
          <w:rFonts w:ascii="Times New Roman" w:hAnsi="Times New Roman"/>
          <w:i/>
          <w:iCs/>
          <w:color w:val="222222"/>
          <w:shd w:val="clear" w:color="auto" w:fill="FFFFFF"/>
        </w:rPr>
        <w:t>Journal of occupational and environmental medicine</w:t>
      </w:r>
      <w:r>
        <w:rPr>
          <w:rFonts w:ascii="Times New Roman" w:hAnsi="Times New Roman"/>
          <w:color w:val="222222"/>
          <w:shd w:val="clear" w:color="auto" w:fill="FFFFFF"/>
        </w:rPr>
        <w:t>, pp.320-330.</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Gulzar, S., Ghauri, S., Abbas, Z., Hussain, K. and Jibril, A.B. (2020). Antecedents of employee wellbeing in the banking sector: The moderating role of working environment.‖ Problems and Perspectives in Management, 18 (4), 448–460.</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Juniper, B. (2011). Defining employee wellbeing. </w:t>
      </w:r>
      <w:r>
        <w:rPr>
          <w:rFonts w:ascii="Times New Roman" w:hAnsi="Times New Roman"/>
          <w:i/>
          <w:iCs/>
          <w:color w:val="222222"/>
          <w:shd w:val="clear" w:color="auto" w:fill="FFFFFF"/>
        </w:rPr>
        <w:t>Occupational Health &amp; Wellbeing</w:t>
      </w:r>
      <w:r>
        <w:rPr>
          <w:rFonts w:ascii="Times New Roman" w:hAnsi="Times New Roman"/>
          <w:color w:val="222222"/>
          <w:shd w:val="clear" w:color="auto" w:fill="FFFFFF"/>
        </w:rPr>
        <w:t>, </w:t>
      </w:r>
      <w:r>
        <w:rPr>
          <w:rFonts w:ascii="Times New Roman" w:hAnsi="Times New Roman"/>
          <w:i/>
          <w:iCs/>
          <w:color w:val="222222"/>
          <w:shd w:val="clear" w:color="auto" w:fill="FFFFFF"/>
        </w:rPr>
        <w:t>63</w:t>
      </w:r>
      <w:r>
        <w:rPr>
          <w:rFonts w:ascii="Times New Roman" w:hAnsi="Times New Roman"/>
          <w:color w:val="222222"/>
          <w:shd w:val="clear" w:color="auto" w:fill="FFFFFF"/>
        </w:rPr>
        <w:t>(10), p.25.</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Kaur, R. P., &amp; Sharma, P. G. (2016). Stress management in the banking sector. </w:t>
      </w:r>
      <w:r>
        <w:rPr>
          <w:rFonts w:ascii="Times New Roman" w:hAnsi="Times New Roman"/>
          <w:i/>
          <w:iCs/>
          <w:color w:val="222222"/>
          <w:shd w:val="clear" w:color="auto" w:fill="FFFFFF"/>
        </w:rPr>
        <w:t>Imperial Journal of Interdisciplinary research</w:t>
      </w:r>
      <w:r>
        <w:rPr>
          <w:rFonts w:ascii="Times New Roman" w:hAnsi="Times New Roman"/>
          <w:color w:val="222222"/>
          <w:shd w:val="clear" w:color="auto" w:fill="FFFFFF"/>
        </w:rPr>
        <w:t>, </w:t>
      </w:r>
      <w:r>
        <w:rPr>
          <w:rFonts w:ascii="Times New Roman" w:hAnsi="Times New Roman"/>
          <w:i/>
          <w:iCs/>
          <w:color w:val="222222"/>
          <w:shd w:val="clear" w:color="auto" w:fill="FFFFFF"/>
        </w:rPr>
        <w:t>2</w:t>
      </w:r>
      <w:r>
        <w:rPr>
          <w:rFonts w:ascii="Times New Roman" w:hAnsi="Times New Roman"/>
          <w:color w:val="222222"/>
          <w:shd w:val="clear" w:color="auto" w:fill="FFFFFF"/>
        </w:rPr>
        <w:t>(3), 113-117.</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Krekel, C., Ward, G., &amp; De Neve, J. E. (2019). Employee well-being, productivity, and firm performance: Evidence and case studies. </w:t>
      </w:r>
      <w:r>
        <w:rPr>
          <w:rFonts w:ascii="Times New Roman" w:hAnsi="Times New Roman"/>
          <w:i/>
          <w:iCs/>
          <w:color w:val="222222"/>
          <w:shd w:val="clear" w:color="auto" w:fill="FFFFFF"/>
        </w:rPr>
        <w:t>Global happiness and wellbeing</w:t>
      </w:r>
      <w:r>
        <w:rPr>
          <w:rFonts w:ascii="Times New Roman" w:hAnsi="Times New Roman"/>
          <w:color w:val="222222"/>
          <w:shd w:val="clear" w:color="auto" w:fill="FFFFFF"/>
        </w:rPr>
        <w:t>.</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Kooij, D.T., Guest, D.E., Clinton, M., Knight, T., Jansen, P.G. and Dikkers, J.S. (2013). How the impact of HR practices on employee well‐being and performance changes with age. </w:t>
      </w:r>
      <w:r>
        <w:rPr>
          <w:rFonts w:ascii="Times New Roman" w:hAnsi="Times New Roman"/>
          <w:i/>
          <w:iCs/>
          <w:color w:val="222222"/>
          <w:shd w:val="clear" w:color="auto" w:fill="FFFFFF"/>
        </w:rPr>
        <w:t>Human Resource Management Journal</w:t>
      </w:r>
      <w:r>
        <w:rPr>
          <w:rFonts w:ascii="Times New Roman" w:hAnsi="Times New Roman"/>
          <w:color w:val="222222"/>
          <w:shd w:val="clear" w:color="auto" w:fill="FFFFFF"/>
        </w:rPr>
        <w:t>, </w:t>
      </w:r>
      <w:r>
        <w:rPr>
          <w:rFonts w:ascii="Times New Roman" w:hAnsi="Times New Roman"/>
          <w:i/>
          <w:iCs/>
          <w:color w:val="222222"/>
          <w:shd w:val="clear" w:color="auto" w:fill="FFFFFF"/>
        </w:rPr>
        <w:t>23</w:t>
      </w:r>
      <w:r>
        <w:rPr>
          <w:rFonts w:ascii="Times New Roman" w:hAnsi="Times New Roman"/>
          <w:color w:val="222222"/>
          <w:shd w:val="clear" w:color="auto" w:fill="FFFFFF"/>
        </w:rPr>
        <w:t>(1), pp.18-35.</w:t>
      </w:r>
    </w:p>
    <w:p>
      <w:pPr>
        <w:pStyle w:val="20"/>
        <w:spacing w:after="120" w:line="360" w:lineRule="auto"/>
        <w:jc w:val="both"/>
        <w:rPr>
          <w:rFonts w:ascii="Times New Roman" w:hAnsi="Times New Roman"/>
          <w:spacing w:val="-18"/>
          <w:sz w:val="22"/>
          <w:szCs w:val="22"/>
        </w:rPr>
      </w:pPr>
      <w:r>
        <w:rPr>
          <w:rFonts w:ascii="Times New Roman" w:hAnsi="Times New Roman"/>
          <w:sz w:val="22"/>
          <w:szCs w:val="22"/>
        </w:rPr>
        <w:t xml:space="preserve">Marchington, M. and Wilkinson, A. (2016) </w:t>
      </w:r>
      <w:r>
        <w:rPr>
          <w:rFonts w:ascii="Times New Roman" w:hAnsi="Times New Roman"/>
          <w:i/>
          <w:iCs/>
          <w:sz w:val="22"/>
          <w:szCs w:val="22"/>
        </w:rPr>
        <w:t>Human Resource Management at Work.</w:t>
      </w:r>
      <w:r>
        <w:rPr>
          <w:rFonts w:ascii="Times New Roman" w:hAnsi="Times New Roman"/>
          <w:sz w:val="22"/>
          <w:szCs w:val="22"/>
        </w:rPr>
        <w:t xml:space="preserve"> 6</w:t>
      </w:r>
      <w:r>
        <w:rPr>
          <w:rFonts w:ascii="Times New Roman" w:hAnsi="Times New Roman"/>
          <w:sz w:val="22"/>
          <w:szCs w:val="22"/>
          <w:vertAlign w:val="superscript"/>
        </w:rPr>
        <w:t>th</w:t>
      </w:r>
      <w:r>
        <w:rPr>
          <w:rFonts w:ascii="Times New Roman" w:hAnsi="Times New Roman"/>
          <w:sz w:val="22"/>
          <w:szCs w:val="22"/>
        </w:rPr>
        <w:t xml:space="preserve"> Ed. Wiltshire: </w:t>
      </w:r>
      <w:r>
        <w:rPr>
          <w:rFonts w:ascii="Times New Roman" w:hAnsi="Times New Roman"/>
          <w:spacing w:val="-18"/>
          <w:sz w:val="22"/>
          <w:szCs w:val="22"/>
        </w:rPr>
        <w:t xml:space="preserve">CIPD </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Nielsen, K., Nielsen, M.B., Ogbonnaya, C., Känsälä, M., Saari, E. and Isaksson, K. (2017). Workplace resources to improve both employee well-being and performance: A systematic review and meta-analysis. </w:t>
      </w:r>
      <w:r>
        <w:rPr>
          <w:rFonts w:ascii="Times New Roman" w:hAnsi="Times New Roman"/>
          <w:i/>
          <w:iCs/>
          <w:color w:val="222222"/>
          <w:shd w:val="clear" w:color="auto" w:fill="FFFFFF"/>
        </w:rPr>
        <w:t>Work &amp; Stress</w:t>
      </w:r>
      <w:r>
        <w:rPr>
          <w:rFonts w:ascii="Times New Roman" w:hAnsi="Times New Roman"/>
          <w:color w:val="222222"/>
          <w:shd w:val="clear" w:color="auto" w:fill="FFFFFF"/>
        </w:rPr>
        <w:t>, </w:t>
      </w:r>
      <w:r>
        <w:rPr>
          <w:rFonts w:ascii="Times New Roman" w:hAnsi="Times New Roman"/>
          <w:i/>
          <w:iCs/>
          <w:color w:val="222222"/>
          <w:shd w:val="clear" w:color="auto" w:fill="FFFFFF"/>
        </w:rPr>
        <w:t>31</w:t>
      </w:r>
      <w:r>
        <w:rPr>
          <w:rFonts w:ascii="Times New Roman" w:hAnsi="Times New Roman"/>
          <w:color w:val="222222"/>
          <w:shd w:val="clear" w:color="auto" w:fill="FFFFFF"/>
        </w:rPr>
        <w:t>(2), pp.101-120.</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Rasool, S. F., Wang, M., Tang, M., Saeed, A., &amp; Iqbal, J. (2021). How toxic workplace environment effects the employee engagement: The mediating role of organizational support and employee wellbeing. </w:t>
      </w:r>
      <w:r>
        <w:rPr>
          <w:rFonts w:ascii="Times New Roman" w:hAnsi="Times New Roman"/>
          <w:i/>
          <w:iCs/>
          <w:color w:val="222222"/>
          <w:shd w:val="clear" w:color="auto" w:fill="FFFFFF"/>
        </w:rPr>
        <w:t>International journal of environmental research and public health</w:t>
      </w:r>
      <w:r>
        <w:rPr>
          <w:rFonts w:ascii="Times New Roman" w:hAnsi="Times New Roman"/>
          <w:color w:val="222222"/>
          <w:shd w:val="clear" w:color="auto" w:fill="FFFFFF"/>
        </w:rPr>
        <w:t>, </w:t>
      </w:r>
      <w:r>
        <w:rPr>
          <w:rFonts w:ascii="Times New Roman" w:hAnsi="Times New Roman"/>
          <w:i/>
          <w:iCs/>
          <w:color w:val="222222"/>
          <w:shd w:val="clear" w:color="auto" w:fill="FFFFFF"/>
        </w:rPr>
        <w:t>18</w:t>
      </w:r>
      <w:r>
        <w:rPr>
          <w:rFonts w:ascii="Times New Roman" w:hAnsi="Times New Roman"/>
          <w:color w:val="222222"/>
          <w:shd w:val="clear" w:color="auto" w:fill="FFFFFF"/>
        </w:rPr>
        <w:t>(5), 2294.</w:t>
      </w:r>
    </w:p>
    <w:p>
      <w:pPr>
        <w:spacing w:after="120" w:line="360" w:lineRule="auto"/>
        <w:rPr>
          <w:rFonts w:ascii="Times New Roman" w:hAnsi="Times New Roman"/>
          <w:color w:val="222222"/>
          <w:shd w:val="clear" w:color="auto" w:fill="FFFFFF"/>
        </w:rPr>
      </w:pPr>
      <w:r>
        <w:rPr>
          <w:rFonts w:ascii="Times New Roman" w:hAnsi="Times New Roman"/>
          <w:color w:val="222222"/>
          <w:shd w:val="clear" w:color="auto" w:fill="FFFFFF"/>
        </w:rPr>
        <w:t>Renwick, D. (2013). HR managers: guardians of employee wellbeing?. </w:t>
      </w:r>
      <w:r>
        <w:rPr>
          <w:rFonts w:ascii="Times New Roman" w:hAnsi="Times New Roman"/>
          <w:i/>
          <w:iCs/>
          <w:color w:val="222222"/>
          <w:shd w:val="clear" w:color="auto" w:fill="FFFFFF"/>
        </w:rPr>
        <w:t>Personnel Review</w:t>
      </w:r>
      <w:r>
        <w:rPr>
          <w:rFonts w:ascii="Times New Roman" w:hAnsi="Times New Roman"/>
          <w:color w:val="222222"/>
          <w:shd w:val="clear" w:color="auto" w:fill="FFFFFF"/>
        </w:rPr>
        <w:t>.</w:t>
      </w:r>
    </w:p>
    <w:p>
      <w:pPr>
        <w:spacing w:after="120" w:line="360" w:lineRule="auto"/>
        <w:rPr>
          <w:rFonts w:ascii="Times New Roman" w:hAnsi="Times New Roman"/>
          <w:color w:val="222222"/>
          <w:shd w:val="clear" w:color="auto" w:fill="FFFFFF"/>
        </w:rPr>
      </w:pPr>
      <w:r>
        <w:rPr>
          <w:rFonts w:ascii="Times New Roman" w:hAnsi="Times New Roman"/>
        </w:rPr>
        <w:t xml:space="preserve">Statista Research Department (2021). </w:t>
      </w:r>
      <w:r>
        <w:rPr>
          <w:rFonts w:ascii="Times New Roman" w:hAnsi="Times New Roman"/>
          <w:i/>
        </w:rPr>
        <w:t>Leading banks in the U.S. 2021, by number of employees</w:t>
      </w:r>
      <w:r>
        <w:rPr>
          <w:rFonts w:ascii="Times New Roman" w:hAnsi="Times New Roman"/>
        </w:rPr>
        <w:t>. Available at https://www.statista.com/statistics/250220/ranking-of-united-states-banks-by-number-of-employees-in-2012/ [Accessed March 14, 2023].</w:t>
      </w:r>
    </w:p>
    <w:p>
      <w:pPr>
        <w:spacing w:after="120" w:line="360" w:lineRule="auto"/>
        <w:jc w:val="both"/>
        <w:rPr>
          <w:rFonts w:ascii="Times New Roman" w:hAnsi="Times New Roman"/>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altName w:val="宋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fldChar w:fldCharType="begin"/>
    </w:r>
    <w:r>
      <w:rPr>
        <w:rFonts w:ascii="Times New Roman" w:hAnsi="Times New Roman"/>
        <w:sz w:val="24"/>
        <w:szCs w:val="24"/>
      </w:rPr>
      <w:instrText xml:space="preserve"> PAGE   \* MERGEFORMAT </w:instrText>
    </w:r>
    <w:r>
      <w:rPr>
        <w:rFonts w:ascii="Times New Roman" w:hAnsi="Times New Roman"/>
        <w:sz w:val="24"/>
        <w:szCs w:val="24"/>
      </w:rPr>
      <w:fldChar w:fldCharType="separate"/>
    </w:r>
    <w:r>
      <w:rPr>
        <w:rFonts w:ascii="Times New Roman" w:hAnsi="Times New Roman"/>
        <w:sz w:val="24"/>
        <w:szCs w:val="24"/>
      </w:rPr>
      <w:t>13</w:t>
    </w:r>
    <w:r>
      <w:rPr>
        <w:rFonts w:ascii="Times New Roman" w:hAnsi="Times New Roman"/>
        <w:sz w:val="24"/>
        <w:szCs w:val="24"/>
      </w:rPr>
      <w:fldChar w:fldCharType="end"/>
    </w:r>
  </w:p>
  <w:p>
    <w:pPr>
      <w:pStyle w:val="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IwYWFkMDAzYTA0MGVkZTkxNDY2YWU3MmY2M2ViYjIifQ=="/>
  </w:docVars>
  <w:rsids>
    <w:rsidRoot w:val="002E15DE"/>
    <w:rsid w:val="00001068"/>
    <w:rsid w:val="00020FB1"/>
    <w:rsid w:val="000264C3"/>
    <w:rsid w:val="00027D86"/>
    <w:rsid w:val="00031A6D"/>
    <w:rsid w:val="00050D2B"/>
    <w:rsid w:val="0005180B"/>
    <w:rsid w:val="0005738A"/>
    <w:rsid w:val="00065030"/>
    <w:rsid w:val="0006612C"/>
    <w:rsid w:val="0007585E"/>
    <w:rsid w:val="0009634D"/>
    <w:rsid w:val="00097ECF"/>
    <w:rsid w:val="000B1BCF"/>
    <w:rsid w:val="000B3A36"/>
    <w:rsid w:val="000B4EE7"/>
    <w:rsid w:val="000C799A"/>
    <w:rsid w:val="000D0964"/>
    <w:rsid w:val="000D12F4"/>
    <w:rsid w:val="000D6D83"/>
    <w:rsid w:val="000D6F62"/>
    <w:rsid w:val="000E0A70"/>
    <w:rsid w:val="000E42C2"/>
    <w:rsid w:val="000F007F"/>
    <w:rsid w:val="000F1F0B"/>
    <w:rsid w:val="000F585C"/>
    <w:rsid w:val="000F7CE3"/>
    <w:rsid w:val="00115A2D"/>
    <w:rsid w:val="0012374A"/>
    <w:rsid w:val="00124103"/>
    <w:rsid w:val="00124FFC"/>
    <w:rsid w:val="00126A7F"/>
    <w:rsid w:val="00132FA5"/>
    <w:rsid w:val="0013512C"/>
    <w:rsid w:val="00142C1D"/>
    <w:rsid w:val="001517FA"/>
    <w:rsid w:val="001572BE"/>
    <w:rsid w:val="00162870"/>
    <w:rsid w:val="00162DD3"/>
    <w:rsid w:val="0016626C"/>
    <w:rsid w:val="0017280A"/>
    <w:rsid w:val="00182D9D"/>
    <w:rsid w:val="00186D6E"/>
    <w:rsid w:val="001907E6"/>
    <w:rsid w:val="001A7D25"/>
    <w:rsid w:val="001B1AA3"/>
    <w:rsid w:val="001B1EE5"/>
    <w:rsid w:val="001B3176"/>
    <w:rsid w:val="001C210A"/>
    <w:rsid w:val="001C5E71"/>
    <w:rsid w:val="001D1104"/>
    <w:rsid w:val="001D15F5"/>
    <w:rsid w:val="001D6D13"/>
    <w:rsid w:val="001D7971"/>
    <w:rsid w:val="001E42BC"/>
    <w:rsid w:val="001E7DD0"/>
    <w:rsid w:val="001F4E0B"/>
    <w:rsid w:val="001F5EC0"/>
    <w:rsid w:val="001F7D08"/>
    <w:rsid w:val="002069AB"/>
    <w:rsid w:val="00206F42"/>
    <w:rsid w:val="00217922"/>
    <w:rsid w:val="002208DF"/>
    <w:rsid w:val="002273C8"/>
    <w:rsid w:val="00230D40"/>
    <w:rsid w:val="00237F74"/>
    <w:rsid w:val="002431AB"/>
    <w:rsid w:val="00252F8D"/>
    <w:rsid w:val="00260CE1"/>
    <w:rsid w:val="00266191"/>
    <w:rsid w:val="0027301B"/>
    <w:rsid w:val="002742E8"/>
    <w:rsid w:val="00275363"/>
    <w:rsid w:val="002855AC"/>
    <w:rsid w:val="0029014A"/>
    <w:rsid w:val="00292A42"/>
    <w:rsid w:val="00293DF3"/>
    <w:rsid w:val="002A036C"/>
    <w:rsid w:val="002A3927"/>
    <w:rsid w:val="002B11E8"/>
    <w:rsid w:val="002B1373"/>
    <w:rsid w:val="002B274E"/>
    <w:rsid w:val="002B276A"/>
    <w:rsid w:val="002C0D92"/>
    <w:rsid w:val="002E15DE"/>
    <w:rsid w:val="002E54D2"/>
    <w:rsid w:val="002E78EF"/>
    <w:rsid w:val="002F13D4"/>
    <w:rsid w:val="00305D60"/>
    <w:rsid w:val="0031078C"/>
    <w:rsid w:val="0031141A"/>
    <w:rsid w:val="003175A0"/>
    <w:rsid w:val="00321DD6"/>
    <w:rsid w:val="00324E76"/>
    <w:rsid w:val="00325090"/>
    <w:rsid w:val="00341793"/>
    <w:rsid w:val="00342004"/>
    <w:rsid w:val="00342CEE"/>
    <w:rsid w:val="00346A04"/>
    <w:rsid w:val="00346B3F"/>
    <w:rsid w:val="00347DA3"/>
    <w:rsid w:val="00347FA4"/>
    <w:rsid w:val="00352CF0"/>
    <w:rsid w:val="00353F93"/>
    <w:rsid w:val="003607C8"/>
    <w:rsid w:val="0036274B"/>
    <w:rsid w:val="00371866"/>
    <w:rsid w:val="00371CF4"/>
    <w:rsid w:val="003859B6"/>
    <w:rsid w:val="00387AA4"/>
    <w:rsid w:val="003908F4"/>
    <w:rsid w:val="003933B9"/>
    <w:rsid w:val="00394797"/>
    <w:rsid w:val="003A139C"/>
    <w:rsid w:val="003A1BED"/>
    <w:rsid w:val="003A2E53"/>
    <w:rsid w:val="003A42D1"/>
    <w:rsid w:val="003A5311"/>
    <w:rsid w:val="003A69E2"/>
    <w:rsid w:val="003C1C5C"/>
    <w:rsid w:val="003C2553"/>
    <w:rsid w:val="003C2B7A"/>
    <w:rsid w:val="003C6A97"/>
    <w:rsid w:val="003D120F"/>
    <w:rsid w:val="003E4360"/>
    <w:rsid w:val="003E466D"/>
    <w:rsid w:val="003E54F9"/>
    <w:rsid w:val="003E6165"/>
    <w:rsid w:val="003E728A"/>
    <w:rsid w:val="003E735C"/>
    <w:rsid w:val="003E75E3"/>
    <w:rsid w:val="003F7D7F"/>
    <w:rsid w:val="00402713"/>
    <w:rsid w:val="004040C3"/>
    <w:rsid w:val="00410230"/>
    <w:rsid w:val="00411CE3"/>
    <w:rsid w:val="00421E8A"/>
    <w:rsid w:val="00425035"/>
    <w:rsid w:val="00425977"/>
    <w:rsid w:val="00430B7F"/>
    <w:rsid w:val="00441034"/>
    <w:rsid w:val="00445585"/>
    <w:rsid w:val="00445982"/>
    <w:rsid w:val="00446C0F"/>
    <w:rsid w:val="0045147E"/>
    <w:rsid w:val="004563E7"/>
    <w:rsid w:val="00462BEC"/>
    <w:rsid w:val="004731D7"/>
    <w:rsid w:val="004756EA"/>
    <w:rsid w:val="00481682"/>
    <w:rsid w:val="004843AD"/>
    <w:rsid w:val="00486929"/>
    <w:rsid w:val="00487A31"/>
    <w:rsid w:val="00491FE5"/>
    <w:rsid w:val="004967A4"/>
    <w:rsid w:val="004A4A5D"/>
    <w:rsid w:val="004A50DD"/>
    <w:rsid w:val="004A5480"/>
    <w:rsid w:val="004B4A48"/>
    <w:rsid w:val="004C3E37"/>
    <w:rsid w:val="004C5DA6"/>
    <w:rsid w:val="004D0542"/>
    <w:rsid w:val="004D3A4D"/>
    <w:rsid w:val="004E3172"/>
    <w:rsid w:val="004F0A3E"/>
    <w:rsid w:val="004F776D"/>
    <w:rsid w:val="004F783F"/>
    <w:rsid w:val="005048A2"/>
    <w:rsid w:val="00521E74"/>
    <w:rsid w:val="00523C2E"/>
    <w:rsid w:val="0052408D"/>
    <w:rsid w:val="0052735B"/>
    <w:rsid w:val="0053022F"/>
    <w:rsid w:val="00530506"/>
    <w:rsid w:val="005412AC"/>
    <w:rsid w:val="0055126F"/>
    <w:rsid w:val="00555B99"/>
    <w:rsid w:val="00556D07"/>
    <w:rsid w:val="00565173"/>
    <w:rsid w:val="00565184"/>
    <w:rsid w:val="00565FA6"/>
    <w:rsid w:val="0056665F"/>
    <w:rsid w:val="00570522"/>
    <w:rsid w:val="00577637"/>
    <w:rsid w:val="00580EB6"/>
    <w:rsid w:val="005829D0"/>
    <w:rsid w:val="00585663"/>
    <w:rsid w:val="0058781D"/>
    <w:rsid w:val="0059055E"/>
    <w:rsid w:val="00590F46"/>
    <w:rsid w:val="005924FC"/>
    <w:rsid w:val="00593019"/>
    <w:rsid w:val="005934CA"/>
    <w:rsid w:val="005A39EC"/>
    <w:rsid w:val="005B57B8"/>
    <w:rsid w:val="005B6932"/>
    <w:rsid w:val="005D1011"/>
    <w:rsid w:val="005D2797"/>
    <w:rsid w:val="005D6387"/>
    <w:rsid w:val="005E038E"/>
    <w:rsid w:val="005E1123"/>
    <w:rsid w:val="005E11B3"/>
    <w:rsid w:val="005E375A"/>
    <w:rsid w:val="005E637D"/>
    <w:rsid w:val="005E64EE"/>
    <w:rsid w:val="00604142"/>
    <w:rsid w:val="006237EB"/>
    <w:rsid w:val="006251B6"/>
    <w:rsid w:val="00625AB2"/>
    <w:rsid w:val="00626801"/>
    <w:rsid w:val="006300A8"/>
    <w:rsid w:val="00641E12"/>
    <w:rsid w:val="006422D7"/>
    <w:rsid w:val="00643044"/>
    <w:rsid w:val="00650B20"/>
    <w:rsid w:val="00655026"/>
    <w:rsid w:val="00672E3C"/>
    <w:rsid w:val="00675875"/>
    <w:rsid w:val="00676B5E"/>
    <w:rsid w:val="0067759C"/>
    <w:rsid w:val="00684B0C"/>
    <w:rsid w:val="00686BE0"/>
    <w:rsid w:val="0069331A"/>
    <w:rsid w:val="006963FE"/>
    <w:rsid w:val="006A3355"/>
    <w:rsid w:val="006A5CDD"/>
    <w:rsid w:val="006B52D9"/>
    <w:rsid w:val="006B5429"/>
    <w:rsid w:val="006D3FEB"/>
    <w:rsid w:val="006E3514"/>
    <w:rsid w:val="006E5DA6"/>
    <w:rsid w:val="006F1430"/>
    <w:rsid w:val="006F3D39"/>
    <w:rsid w:val="0070312B"/>
    <w:rsid w:val="00715C6D"/>
    <w:rsid w:val="00722866"/>
    <w:rsid w:val="00723481"/>
    <w:rsid w:val="00727855"/>
    <w:rsid w:val="00731867"/>
    <w:rsid w:val="00731E39"/>
    <w:rsid w:val="0073294B"/>
    <w:rsid w:val="00740CEB"/>
    <w:rsid w:val="00741611"/>
    <w:rsid w:val="00741912"/>
    <w:rsid w:val="00752BBE"/>
    <w:rsid w:val="00767949"/>
    <w:rsid w:val="00767C6B"/>
    <w:rsid w:val="00772FBE"/>
    <w:rsid w:val="00775ED1"/>
    <w:rsid w:val="0078540C"/>
    <w:rsid w:val="0078639C"/>
    <w:rsid w:val="007869DA"/>
    <w:rsid w:val="00790201"/>
    <w:rsid w:val="007955A8"/>
    <w:rsid w:val="007A11B2"/>
    <w:rsid w:val="007A1CC2"/>
    <w:rsid w:val="007A1E3D"/>
    <w:rsid w:val="007A4C2E"/>
    <w:rsid w:val="007A4EF7"/>
    <w:rsid w:val="007B131B"/>
    <w:rsid w:val="007B2410"/>
    <w:rsid w:val="007B2C5B"/>
    <w:rsid w:val="007B3395"/>
    <w:rsid w:val="007B6728"/>
    <w:rsid w:val="007C1019"/>
    <w:rsid w:val="007C5791"/>
    <w:rsid w:val="007D4006"/>
    <w:rsid w:val="007D5E9A"/>
    <w:rsid w:val="007F4953"/>
    <w:rsid w:val="00806AE1"/>
    <w:rsid w:val="00806DFE"/>
    <w:rsid w:val="008169BB"/>
    <w:rsid w:val="00820C9E"/>
    <w:rsid w:val="00821BA0"/>
    <w:rsid w:val="00821F2D"/>
    <w:rsid w:val="00823572"/>
    <w:rsid w:val="0082394A"/>
    <w:rsid w:val="00827157"/>
    <w:rsid w:val="00827991"/>
    <w:rsid w:val="00833801"/>
    <w:rsid w:val="00836910"/>
    <w:rsid w:val="008377C3"/>
    <w:rsid w:val="008468CB"/>
    <w:rsid w:val="00847A74"/>
    <w:rsid w:val="008610BC"/>
    <w:rsid w:val="00862CFC"/>
    <w:rsid w:val="00863541"/>
    <w:rsid w:val="00866A17"/>
    <w:rsid w:val="00871297"/>
    <w:rsid w:val="008735D8"/>
    <w:rsid w:val="00877F05"/>
    <w:rsid w:val="00877FF0"/>
    <w:rsid w:val="008870E6"/>
    <w:rsid w:val="0089369F"/>
    <w:rsid w:val="008A24A4"/>
    <w:rsid w:val="008A2D8E"/>
    <w:rsid w:val="008A56A8"/>
    <w:rsid w:val="008C37CD"/>
    <w:rsid w:val="008C740F"/>
    <w:rsid w:val="008C7AD6"/>
    <w:rsid w:val="008D17D1"/>
    <w:rsid w:val="008D5000"/>
    <w:rsid w:val="008D5E80"/>
    <w:rsid w:val="008D5EF8"/>
    <w:rsid w:val="008E1C6E"/>
    <w:rsid w:val="008E1E96"/>
    <w:rsid w:val="008E461B"/>
    <w:rsid w:val="008F5577"/>
    <w:rsid w:val="008F5BF9"/>
    <w:rsid w:val="008F6F81"/>
    <w:rsid w:val="00901EC3"/>
    <w:rsid w:val="0090681B"/>
    <w:rsid w:val="009227D6"/>
    <w:rsid w:val="009238EA"/>
    <w:rsid w:val="00926679"/>
    <w:rsid w:val="0092717D"/>
    <w:rsid w:val="00927470"/>
    <w:rsid w:val="00927916"/>
    <w:rsid w:val="00931C31"/>
    <w:rsid w:val="009359B7"/>
    <w:rsid w:val="00942BF1"/>
    <w:rsid w:val="00945FCD"/>
    <w:rsid w:val="00946645"/>
    <w:rsid w:val="00951B65"/>
    <w:rsid w:val="00953343"/>
    <w:rsid w:val="0095591E"/>
    <w:rsid w:val="00961A4C"/>
    <w:rsid w:val="00961CAB"/>
    <w:rsid w:val="00961D97"/>
    <w:rsid w:val="00961F40"/>
    <w:rsid w:val="00963BDE"/>
    <w:rsid w:val="00964EC6"/>
    <w:rsid w:val="00966E3D"/>
    <w:rsid w:val="00973126"/>
    <w:rsid w:val="00977175"/>
    <w:rsid w:val="009801B6"/>
    <w:rsid w:val="00983826"/>
    <w:rsid w:val="00983A3F"/>
    <w:rsid w:val="00990C0D"/>
    <w:rsid w:val="009914CC"/>
    <w:rsid w:val="0099594A"/>
    <w:rsid w:val="00997D17"/>
    <w:rsid w:val="009A04A8"/>
    <w:rsid w:val="009A2243"/>
    <w:rsid w:val="009A25AD"/>
    <w:rsid w:val="009A39D2"/>
    <w:rsid w:val="009A63CF"/>
    <w:rsid w:val="009A7B74"/>
    <w:rsid w:val="009C20A4"/>
    <w:rsid w:val="009C37EF"/>
    <w:rsid w:val="009C6609"/>
    <w:rsid w:val="009C6C1C"/>
    <w:rsid w:val="009C6FB4"/>
    <w:rsid w:val="009D239E"/>
    <w:rsid w:val="009D7024"/>
    <w:rsid w:val="009E121B"/>
    <w:rsid w:val="009E1793"/>
    <w:rsid w:val="009F452D"/>
    <w:rsid w:val="00A00C9C"/>
    <w:rsid w:val="00A02888"/>
    <w:rsid w:val="00A0561B"/>
    <w:rsid w:val="00A107D1"/>
    <w:rsid w:val="00A1122E"/>
    <w:rsid w:val="00A114C4"/>
    <w:rsid w:val="00A126C9"/>
    <w:rsid w:val="00A1611C"/>
    <w:rsid w:val="00A166F9"/>
    <w:rsid w:val="00A16851"/>
    <w:rsid w:val="00A169B1"/>
    <w:rsid w:val="00A35015"/>
    <w:rsid w:val="00A353E6"/>
    <w:rsid w:val="00A54D3B"/>
    <w:rsid w:val="00A61A7F"/>
    <w:rsid w:val="00A664A0"/>
    <w:rsid w:val="00A70001"/>
    <w:rsid w:val="00A7099C"/>
    <w:rsid w:val="00A75173"/>
    <w:rsid w:val="00A8470A"/>
    <w:rsid w:val="00A9121B"/>
    <w:rsid w:val="00A934F8"/>
    <w:rsid w:val="00A94BAC"/>
    <w:rsid w:val="00A95797"/>
    <w:rsid w:val="00A95CCD"/>
    <w:rsid w:val="00A97DC5"/>
    <w:rsid w:val="00AA0505"/>
    <w:rsid w:val="00AA34DA"/>
    <w:rsid w:val="00AA4AF5"/>
    <w:rsid w:val="00AB535B"/>
    <w:rsid w:val="00AC5D62"/>
    <w:rsid w:val="00AD0179"/>
    <w:rsid w:val="00AD3137"/>
    <w:rsid w:val="00AD5269"/>
    <w:rsid w:val="00AD77FE"/>
    <w:rsid w:val="00AE6D76"/>
    <w:rsid w:val="00AF3365"/>
    <w:rsid w:val="00AF383D"/>
    <w:rsid w:val="00AF564A"/>
    <w:rsid w:val="00B07FEB"/>
    <w:rsid w:val="00B163E9"/>
    <w:rsid w:val="00B23DE7"/>
    <w:rsid w:val="00B365D3"/>
    <w:rsid w:val="00B37B12"/>
    <w:rsid w:val="00B4392E"/>
    <w:rsid w:val="00B476A5"/>
    <w:rsid w:val="00B47EC7"/>
    <w:rsid w:val="00B50AF0"/>
    <w:rsid w:val="00B522BC"/>
    <w:rsid w:val="00B678EC"/>
    <w:rsid w:val="00B70F10"/>
    <w:rsid w:val="00B8120E"/>
    <w:rsid w:val="00B82C93"/>
    <w:rsid w:val="00B83360"/>
    <w:rsid w:val="00B8509E"/>
    <w:rsid w:val="00B96C3A"/>
    <w:rsid w:val="00B97113"/>
    <w:rsid w:val="00BA5D68"/>
    <w:rsid w:val="00BC03AD"/>
    <w:rsid w:val="00BC7533"/>
    <w:rsid w:val="00BC77EE"/>
    <w:rsid w:val="00BD4CDD"/>
    <w:rsid w:val="00BE7B3A"/>
    <w:rsid w:val="00BF6D67"/>
    <w:rsid w:val="00C04821"/>
    <w:rsid w:val="00C067A9"/>
    <w:rsid w:val="00C2109F"/>
    <w:rsid w:val="00C2156F"/>
    <w:rsid w:val="00C24242"/>
    <w:rsid w:val="00C25CF8"/>
    <w:rsid w:val="00C30ED3"/>
    <w:rsid w:val="00C31079"/>
    <w:rsid w:val="00C31BE6"/>
    <w:rsid w:val="00C4063A"/>
    <w:rsid w:val="00C40739"/>
    <w:rsid w:val="00C40A2E"/>
    <w:rsid w:val="00C42BAD"/>
    <w:rsid w:val="00C452EF"/>
    <w:rsid w:val="00C47DF5"/>
    <w:rsid w:val="00C65763"/>
    <w:rsid w:val="00C67DB0"/>
    <w:rsid w:val="00C954CC"/>
    <w:rsid w:val="00CA36C0"/>
    <w:rsid w:val="00CA669F"/>
    <w:rsid w:val="00CA781B"/>
    <w:rsid w:val="00CA7CBE"/>
    <w:rsid w:val="00CB1AE3"/>
    <w:rsid w:val="00CB47E4"/>
    <w:rsid w:val="00CC35BF"/>
    <w:rsid w:val="00CD10A9"/>
    <w:rsid w:val="00CD158A"/>
    <w:rsid w:val="00CD7472"/>
    <w:rsid w:val="00CE0CC7"/>
    <w:rsid w:val="00CE6E7E"/>
    <w:rsid w:val="00CF3BE6"/>
    <w:rsid w:val="00CF44FD"/>
    <w:rsid w:val="00CF7150"/>
    <w:rsid w:val="00D164D0"/>
    <w:rsid w:val="00D17853"/>
    <w:rsid w:val="00D230E1"/>
    <w:rsid w:val="00D30B2D"/>
    <w:rsid w:val="00D35AE5"/>
    <w:rsid w:val="00D3704E"/>
    <w:rsid w:val="00D3715D"/>
    <w:rsid w:val="00D41B4F"/>
    <w:rsid w:val="00D435D5"/>
    <w:rsid w:val="00D45BDC"/>
    <w:rsid w:val="00D5094B"/>
    <w:rsid w:val="00D5297D"/>
    <w:rsid w:val="00D52D99"/>
    <w:rsid w:val="00D537DB"/>
    <w:rsid w:val="00D54AA7"/>
    <w:rsid w:val="00D54B8A"/>
    <w:rsid w:val="00D5640F"/>
    <w:rsid w:val="00D61160"/>
    <w:rsid w:val="00D6229F"/>
    <w:rsid w:val="00D679BD"/>
    <w:rsid w:val="00D70E77"/>
    <w:rsid w:val="00D809B5"/>
    <w:rsid w:val="00D82344"/>
    <w:rsid w:val="00D82C0E"/>
    <w:rsid w:val="00D83543"/>
    <w:rsid w:val="00D86D2B"/>
    <w:rsid w:val="00D86F15"/>
    <w:rsid w:val="00D909E2"/>
    <w:rsid w:val="00D96B4D"/>
    <w:rsid w:val="00DA02E6"/>
    <w:rsid w:val="00DA7B4D"/>
    <w:rsid w:val="00DB059C"/>
    <w:rsid w:val="00DB1809"/>
    <w:rsid w:val="00DC1A9E"/>
    <w:rsid w:val="00DC1B06"/>
    <w:rsid w:val="00DC2088"/>
    <w:rsid w:val="00DC5A76"/>
    <w:rsid w:val="00DC6093"/>
    <w:rsid w:val="00DC60D1"/>
    <w:rsid w:val="00DC62CF"/>
    <w:rsid w:val="00DC767C"/>
    <w:rsid w:val="00DD3B19"/>
    <w:rsid w:val="00DD469B"/>
    <w:rsid w:val="00DD4D25"/>
    <w:rsid w:val="00DD7C76"/>
    <w:rsid w:val="00DE0B72"/>
    <w:rsid w:val="00DF031E"/>
    <w:rsid w:val="00DF36F3"/>
    <w:rsid w:val="00DF6704"/>
    <w:rsid w:val="00DF6F54"/>
    <w:rsid w:val="00E01870"/>
    <w:rsid w:val="00E2223E"/>
    <w:rsid w:val="00E225CC"/>
    <w:rsid w:val="00E3414E"/>
    <w:rsid w:val="00E34A8A"/>
    <w:rsid w:val="00E354EF"/>
    <w:rsid w:val="00E3677D"/>
    <w:rsid w:val="00E411BF"/>
    <w:rsid w:val="00E4200E"/>
    <w:rsid w:val="00E434A3"/>
    <w:rsid w:val="00E501E9"/>
    <w:rsid w:val="00E52C0B"/>
    <w:rsid w:val="00E53AAB"/>
    <w:rsid w:val="00E5489B"/>
    <w:rsid w:val="00E641DB"/>
    <w:rsid w:val="00E64C84"/>
    <w:rsid w:val="00E675E8"/>
    <w:rsid w:val="00E749D7"/>
    <w:rsid w:val="00E7636F"/>
    <w:rsid w:val="00E774D6"/>
    <w:rsid w:val="00E8138C"/>
    <w:rsid w:val="00E813B6"/>
    <w:rsid w:val="00E83F47"/>
    <w:rsid w:val="00E93862"/>
    <w:rsid w:val="00EA286C"/>
    <w:rsid w:val="00EA65C3"/>
    <w:rsid w:val="00EB28B1"/>
    <w:rsid w:val="00EB5FA0"/>
    <w:rsid w:val="00EB63BF"/>
    <w:rsid w:val="00EB6A4B"/>
    <w:rsid w:val="00EC5F33"/>
    <w:rsid w:val="00EC6BB9"/>
    <w:rsid w:val="00ED110B"/>
    <w:rsid w:val="00ED167B"/>
    <w:rsid w:val="00ED5BAD"/>
    <w:rsid w:val="00EE1803"/>
    <w:rsid w:val="00EE2EB2"/>
    <w:rsid w:val="00EE44D9"/>
    <w:rsid w:val="00EE54F0"/>
    <w:rsid w:val="00EE677A"/>
    <w:rsid w:val="00EE74B0"/>
    <w:rsid w:val="00EF2076"/>
    <w:rsid w:val="00EF380C"/>
    <w:rsid w:val="00EF7407"/>
    <w:rsid w:val="00F10F12"/>
    <w:rsid w:val="00F13844"/>
    <w:rsid w:val="00F20F1A"/>
    <w:rsid w:val="00F31F20"/>
    <w:rsid w:val="00F321C6"/>
    <w:rsid w:val="00F32FB4"/>
    <w:rsid w:val="00F33D1E"/>
    <w:rsid w:val="00F3456E"/>
    <w:rsid w:val="00F43A37"/>
    <w:rsid w:val="00F53782"/>
    <w:rsid w:val="00F615E1"/>
    <w:rsid w:val="00F61C99"/>
    <w:rsid w:val="00F64C53"/>
    <w:rsid w:val="00F66A6A"/>
    <w:rsid w:val="00F66AFC"/>
    <w:rsid w:val="00F72E0C"/>
    <w:rsid w:val="00F76E91"/>
    <w:rsid w:val="00F840FE"/>
    <w:rsid w:val="00F85C2B"/>
    <w:rsid w:val="00F921A2"/>
    <w:rsid w:val="00F9580E"/>
    <w:rsid w:val="00F96303"/>
    <w:rsid w:val="00FA1C8D"/>
    <w:rsid w:val="00FB4FBA"/>
    <w:rsid w:val="00FC5173"/>
    <w:rsid w:val="00FC617C"/>
    <w:rsid w:val="00FD0EA0"/>
    <w:rsid w:val="00FD3E86"/>
    <w:rsid w:val="00FD47BC"/>
    <w:rsid w:val="00FD4B39"/>
    <w:rsid w:val="00FD641C"/>
    <w:rsid w:val="00FE2D88"/>
    <w:rsid w:val="00FE64D6"/>
    <w:rsid w:val="00FE7013"/>
    <w:rsid w:val="049359B7"/>
    <w:rsid w:val="26A30ECB"/>
    <w:rsid w:val="2ED3590C"/>
    <w:rsid w:val="379136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cs="Times New Roman" w:eastAsiaTheme="minorEastAsia"/>
      <w:sz w:val="22"/>
      <w:szCs w:val="22"/>
      <w:lang w:val="en-GB" w:eastAsia="en-US" w:bidi="ar-SA"/>
    </w:rPr>
  </w:style>
  <w:style w:type="paragraph" w:styleId="2">
    <w:name w:val="heading 1"/>
    <w:basedOn w:val="1"/>
    <w:next w:val="1"/>
    <w:link w:val="16"/>
    <w:qFormat/>
    <w:uiPriority w:val="9"/>
    <w:pPr>
      <w:keepNext/>
      <w:keepLines/>
      <w:spacing w:before="240" w:after="0"/>
      <w:outlineLvl w:val="0"/>
    </w:pPr>
    <w:rPr>
      <w:rFonts w:ascii="Calibri Light" w:hAnsi="Calibri Light" w:eastAsia="Times New Roman"/>
      <w:color w:val="2E74B5"/>
      <w:sz w:val="32"/>
      <w:szCs w:val="32"/>
    </w:rPr>
  </w:style>
  <w:style w:type="paragraph" w:styleId="3">
    <w:name w:val="heading 2"/>
    <w:basedOn w:val="1"/>
    <w:next w:val="1"/>
    <w:link w:val="18"/>
    <w:unhideWhenUsed/>
    <w:qFormat/>
    <w:uiPriority w:val="9"/>
    <w:pPr>
      <w:keepNext/>
      <w:spacing w:before="240" w:after="60"/>
      <w:outlineLvl w:val="1"/>
    </w:pPr>
    <w:rPr>
      <w:rFonts w:ascii="Calibri Light" w:hAnsi="Calibri Light" w:eastAsia="Times New Roman"/>
      <w:b/>
      <w:bCs/>
      <w:i/>
      <w:iCs/>
      <w:sz w:val="28"/>
      <w:szCs w:val="28"/>
    </w:rPr>
  </w:style>
  <w:style w:type="paragraph" w:styleId="4">
    <w:name w:val="heading 3"/>
    <w:basedOn w:val="1"/>
    <w:next w:val="1"/>
    <w:link w:val="19"/>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0">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5"/>
    <w:unhideWhenUsed/>
    <w:qFormat/>
    <w:uiPriority w:val="99"/>
    <w:pPr>
      <w:tabs>
        <w:tab w:val="center" w:pos="4680"/>
        <w:tab w:val="right" w:pos="9360"/>
      </w:tabs>
      <w:spacing w:after="0" w:line="240" w:lineRule="auto"/>
    </w:pPr>
  </w:style>
  <w:style w:type="paragraph" w:styleId="6">
    <w:name w:val="header"/>
    <w:basedOn w:val="1"/>
    <w:link w:val="14"/>
    <w:unhideWhenUsed/>
    <w:qFormat/>
    <w:uiPriority w:val="99"/>
    <w:pPr>
      <w:tabs>
        <w:tab w:val="center" w:pos="4680"/>
        <w:tab w:val="right" w:pos="9360"/>
      </w:tabs>
      <w:spacing w:after="0" w:line="240" w:lineRule="auto"/>
    </w:pPr>
  </w:style>
  <w:style w:type="paragraph" w:styleId="7">
    <w:name w:val="toc 1"/>
    <w:basedOn w:val="1"/>
    <w:next w:val="1"/>
    <w:unhideWhenUsed/>
    <w:qFormat/>
    <w:uiPriority w:val="39"/>
  </w:style>
  <w:style w:type="paragraph" w:styleId="8">
    <w:name w:val="toc 2"/>
    <w:basedOn w:val="1"/>
    <w:next w:val="1"/>
    <w:unhideWhenUsed/>
    <w:qFormat/>
    <w:uiPriority w:val="39"/>
    <w:pPr>
      <w:ind w:left="220"/>
    </w:pPr>
  </w:style>
  <w:style w:type="character" w:styleId="11">
    <w:name w:val="Strong"/>
    <w:basedOn w:val="10"/>
    <w:qFormat/>
    <w:uiPriority w:val="22"/>
    <w:rPr>
      <w:b/>
      <w:bCs/>
    </w:rPr>
  </w:style>
  <w:style w:type="character" w:styleId="12">
    <w:name w:val="Hyperlink"/>
    <w:unhideWhenUsed/>
    <w:qFormat/>
    <w:uiPriority w:val="99"/>
    <w:rPr>
      <w:color w:val="0563C1"/>
      <w:u w:val="single"/>
    </w:rPr>
  </w:style>
  <w:style w:type="paragraph" w:styleId="13">
    <w:name w:val="List Paragraph"/>
    <w:basedOn w:val="1"/>
    <w:qFormat/>
    <w:uiPriority w:val="34"/>
    <w:pPr>
      <w:ind w:left="720"/>
      <w:contextualSpacing/>
    </w:pPr>
  </w:style>
  <w:style w:type="character" w:customStyle="1" w:styleId="14">
    <w:name w:val="页眉 字符"/>
    <w:basedOn w:val="10"/>
    <w:link w:val="6"/>
    <w:qFormat/>
    <w:uiPriority w:val="99"/>
  </w:style>
  <w:style w:type="character" w:customStyle="1" w:styleId="15">
    <w:name w:val="页脚 字符"/>
    <w:basedOn w:val="10"/>
    <w:link w:val="5"/>
    <w:qFormat/>
    <w:uiPriority w:val="99"/>
  </w:style>
  <w:style w:type="character" w:customStyle="1" w:styleId="16">
    <w:name w:val="标题 1 字符"/>
    <w:link w:val="2"/>
    <w:qFormat/>
    <w:uiPriority w:val="9"/>
    <w:rPr>
      <w:rFonts w:ascii="Calibri Light" w:hAnsi="Calibri Light" w:eastAsia="Times New Roman"/>
      <w:color w:val="2E74B5"/>
      <w:sz w:val="32"/>
      <w:szCs w:val="32"/>
      <w:lang w:val="en-GB"/>
    </w:rPr>
  </w:style>
  <w:style w:type="paragraph" w:customStyle="1" w:styleId="17">
    <w:name w:val="TOC Heading"/>
    <w:basedOn w:val="2"/>
    <w:next w:val="1"/>
    <w:unhideWhenUsed/>
    <w:qFormat/>
    <w:uiPriority w:val="39"/>
    <w:pPr>
      <w:outlineLvl w:val="9"/>
    </w:pPr>
    <w:rPr>
      <w:lang w:val="en-US"/>
    </w:rPr>
  </w:style>
  <w:style w:type="character" w:customStyle="1" w:styleId="18">
    <w:name w:val="标题 2 字符"/>
    <w:link w:val="3"/>
    <w:qFormat/>
    <w:uiPriority w:val="9"/>
    <w:rPr>
      <w:rFonts w:ascii="Calibri Light" w:hAnsi="Calibri Light" w:eastAsia="Times New Roman" w:cs="Times New Roman"/>
      <w:b/>
      <w:bCs/>
      <w:i/>
      <w:iCs/>
      <w:sz w:val="28"/>
      <w:szCs w:val="28"/>
      <w:lang w:val="en-GB"/>
    </w:rPr>
  </w:style>
  <w:style w:type="character" w:customStyle="1" w:styleId="19">
    <w:name w:val="标题 3 字符"/>
    <w:basedOn w:val="10"/>
    <w:link w:val="4"/>
    <w:qFormat/>
    <w:uiPriority w:val="9"/>
    <w:rPr>
      <w:rFonts w:asciiTheme="majorHAnsi" w:hAnsiTheme="majorHAnsi" w:eastAsiaTheme="majorEastAsia" w:cstheme="majorBidi"/>
      <w:color w:val="1F4E79" w:themeColor="accent1" w:themeShade="80"/>
      <w:sz w:val="24"/>
      <w:szCs w:val="24"/>
      <w:lang w:val="en-GB"/>
    </w:rPr>
  </w:style>
  <w:style w:type="paragraph" w:styleId="20">
    <w:name w:val="No Spacing"/>
    <w:qFormat/>
    <w:uiPriority w:val="1"/>
    <w:rPr>
      <w:rFonts w:ascii="Arial" w:hAnsi="Arial" w:cs="Times New Roman" w:eastAsiaTheme="minorEastAsia"/>
      <w:sz w:val="24"/>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258E9-7F2E-4876-BC87-22798AC7CC43}">
  <ds:schemaRefs/>
</ds:datastoreItem>
</file>

<file path=docProps/app.xml><?xml version="1.0" encoding="utf-8"?>
<Properties xmlns="http://schemas.openxmlformats.org/officeDocument/2006/extended-properties" xmlns:vt="http://schemas.openxmlformats.org/officeDocument/2006/docPropsVTypes">
  <Template>Normal.dotm</Template>
  <Pages>11</Pages>
  <Words>3066</Words>
  <Characters>17951</Characters>
  <Lines>153</Lines>
  <Paragraphs>43</Paragraphs>
  <TotalTime>12</TotalTime>
  <ScaleCrop>false</ScaleCrop>
  <LinksUpToDate>false</LinksUpToDate>
  <CharactersWithSpaces>20971</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2023-03-20T02:06:00Z</dcterms:created>
  <dcterms:modified xsi:type="dcterms:W3CDTF">2023-03-24T07:26:45Z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76715E5F39A842F2A134AB12C6CE2034</vt:lpwstr>
  </property>
</Properties>
</file>