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462ABD" w:rsidRDefault="00462ABD">
      <w:pPr>
        <w:jc w:val="center"/>
      </w:pPr>
    </w:p>
    <w:p w:rsidR="001123B8" w:rsidRDefault="001123B8">
      <w:pPr>
        <w:jc w:val="center"/>
      </w:pPr>
    </w:p>
    <w:p w:rsidR="001123B8" w:rsidRDefault="001123B8">
      <w:pPr>
        <w:jc w:val="center"/>
      </w:pPr>
    </w:p>
    <w:tbl>
      <w:tblPr>
        <w:tblStyle w:val="TableGrid"/>
        <w:tblpPr w:leftFromText="180" w:rightFromText="180" w:vertAnchor="page" w:horzAnchor="page" w:tblpXSpec="center" w:tblpY="3414"/>
        <w:tblW w:w="0" w:type="auto"/>
        <w:tblLook w:val="04A0" w:firstRow="1" w:lastRow="0" w:firstColumn="1" w:lastColumn="0" w:noHBand="0" w:noVBand="1"/>
      </w:tblPr>
      <w:tblGrid>
        <w:gridCol w:w="2230"/>
        <w:gridCol w:w="4466"/>
      </w:tblGrid>
      <w:tr w:rsidR="001123B8" w:rsidTr="00BC5D3B">
        <w:trPr>
          <w:trHeight w:val="499"/>
        </w:trPr>
        <w:tc>
          <w:tcPr>
            <w:tcW w:w="2230" w:type="dxa"/>
          </w:tcPr>
          <w:p w:rsidR="001123B8" w:rsidRPr="00D26A22" w:rsidRDefault="001123B8" w:rsidP="00BC5D3B">
            <w:pPr>
              <w:spacing w:line="360" w:lineRule="atLeast"/>
              <w:jc w:val="center"/>
              <w:rPr>
                <w:rFonts w:cstheme="minorHAnsi"/>
                <w:b/>
                <w:color w:val="000000" w:themeColor="text1"/>
                <w:spacing w:val="10"/>
              </w:rPr>
            </w:pPr>
            <w:r w:rsidRPr="00D26A22">
              <w:rPr>
                <w:rFonts w:cstheme="minorHAnsi"/>
                <w:b/>
                <w:color w:val="000000" w:themeColor="text1"/>
                <w:spacing w:val="10"/>
              </w:rPr>
              <w:t>Student Name</w:t>
            </w:r>
          </w:p>
        </w:tc>
        <w:tc>
          <w:tcPr>
            <w:tcW w:w="4466" w:type="dxa"/>
          </w:tcPr>
          <w:p w:rsidR="001123B8" w:rsidRPr="00D26A22" w:rsidRDefault="00DF6A77" w:rsidP="00BC5D3B">
            <w:pPr>
              <w:spacing w:line="360" w:lineRule="atLeast"/>
              <w:jc w:val="center"/>
              <w:rPr>
                <w:rFonts w:cstheme="minorHAnsi"/>
                <w:b/>
                <w:color w:val="000000" w:themeColor="text1"/>
                <w:spacing w:val="10"/>
              </w:rPr>
            </w:pPr>
            <w:r>
              <w:rPr>
                <w:rFonts w:cstheme="minorHAnsi"/>
                <w:b/>
                <w:color w:val="000000" w:themeColor="text1"/>
                <w:spacing w:val="10"/>
              </w:rPr>
              <w:t>MD JUEL MIAH</w:t>
            </w:r>
          </w:p>
        </w:tc>
      </w:tr>
      <w:tr w:rsidR="001123B8" w:rsidRPr="00D26A22" w:rsidTr="00BC5D3B">
        <w:trPr>
          <w:trHeight w:val="538"/>
        </w:trPr>
        <w:tc>
          <w:tcPr>
            <w:tcW w:w="2230" w:type="dxa"/>
          </w:tcPr>
          <w:p w:rsidR="001123B8" w:rsidRPr="00D26A22" w:rsidRDefault="001123B8" w:rsidP="00BC5D3B">
            <w:pPr>
              <w:spacing w:line="360" w:lineRule="atLeast"/>
              <w:jc w:val="center"/>
              <w:rPr>
                <w:rFonts w:cstheme="minorHAnsi"/>
                <w:b/>
                <w:color w:val="000000" w:themeColor="text1"/>
                <w:spacing w:val="10"/>
              </w:rPr>
            </w:pPr>
            <w:r w:rsidRPr="00D26A22">
              <w:rPr>
                <w:rFonts w:cstheme="minorHAnsi"/>
                <w:b/>
                <w:color w:val="000000" w:themeColor="text1"/>
                <w:spacing w:val="10"/>
              </w:rPr>
              <w:t>Student ID Number</w:t>
            </w:r>
          </w:p>
        </w:tc>
        <w:tc>
          <w:tcPr>
            <w:tcW w:w="4466" w:type="dxa"/>
          </w:tcPr>
          <w:p w:rsidR="001123B8" w:rsidRPr="00D26A22" w:rsidRDefault="00DF6A77" w:rsidP="00BC5D3B">
            <w:pPr>
              <w:spacing w:line="360" w:lineRule="atLeast"/>
              <w:jc w:val="center"/>
              <w:rPr>
                <w:rFonts w:cstheme="minorHAnsi"/>
                <w:b/>
                <w:color w:val="000000" w:themeColor="text1"/>
                <w:spacing w:val="10"/>
              </w:rPr>
            </w:pPr>
            <w:r>
              <w:rPr>
                <w:rFonts w:cstheme="minorHAnsi"/>
                <w:b/>
                <w:color w:val="000000" w:themeColor="text1"/>
                <w:spacing w:val="10"/>
              </w:rPr>
              <w:t>2522339</w:t>
            </w:r>
          </w:p>
        </w:tc>
      </w:tr>
      <w:tr w:rsidR="001123B8" w:rsidRPr="00D26A22" w:rsidTr="00BC5D3B">
        <w:trPr>
          <w:trHeight w:val="888"/>
        </w:trPr>
        <w:tc>
          <w:tcPr>
            <w:tcW w:w="2230" w:type="dxa"/>
          </w:tcPr>
          <w:p w:rsidR="001123B8" w:rsidRPr="00D26A22" w:rsidRDefault="001123B8" w:rsidP="00BC5D3B">
            <w:pPr>
              <w:spacing w:line="360" w:lineRule="atLeast"/>
              <w:jc w:val="center"/>
              <w:rPr>
                <w:rFonts w:cstheme="minorHAnsi"/>
                <w:b/>
                <w:color w:val="000000" w:themeColor="text1"/>
                <w:spacing w:val="10"/>
              </w:rPr>
            </w:pPr>
            <w:r w:rsidRPr="00D26A22">
              <w:rPr>
                <w:rFonts w:cstheme="minorHAnsi"/>
                <w:b/>
                <w:color w:val="000000" w:themeColor="text1"/>
                <w:spacing w:val="10"/>
              </w:rPr>
              <w:t>Module Title</w:t>
            </w:r>
          </w:p>
        </w:tc>
        <w:tc>
          <w:tcPr>
            <w:tcW w:w="4466" w:type="dxa"/>
          </w:tcPr>
          <w:p w:rsidR="001123B8" w:rsidRPr="001123B8" w:rsidRDefault="001123B8" w:rsidP="001123B8">
            <w:pPr>
              <w:spacing w:line="360" w:lineRule="atLeast"/>
              <w:jc w:val="center"/>
              <w:rPr>
                <w:rFonts w:cs="Arial"/>
                <w:b/>
                <w:bCs/>
                <w:color w:val="000000" w:themeColor="text1"/>
                <w:spacing w:val="10"/>
                <w:szCs w:val="24"/>
              </w:rPr>
            </w:pPr>
            <w:r w:rsidRPr="001123B8">
              <w:rPr>
                <w:rFonts w:cs="Arial"/>
                <w:b/>
                <w:bCs/>
                <w:szCs w:val="24"/>
              </w:rPr>
              <w:t>Human Capital Management</w:t>
            </w:r>
          </w:p>
        </w:tc>
      </w:tr>
      <w:tr w:rsidR="001123B8" w:rsidRPr="00D26A22" w:rsidTr="00BC5D3B">
        <w:trPr>
          <w:trHeight w:val="499"/>
        </w:trPr>
        <w:tc>
          <w:tcPr>
            <w:tcW w:w="2230" w:type="dxa"/>
          </w:tcPr>
          <w:p w:rsidR="001123B8" w:rsidRPr="00D26A22" w:rsidRDefault="001123B8" w:rsidP="00BC5D3B">
            <w:pPr>
              <w:spacing w:line="360" w:lineRule="atLeast"/>
              <w:jc w:val="center"/>
              <w:rPr>
                <w:rFonts w:cstheme="minorHAnsi"/>
                <w:b/>
                <w:color w:val="000000" w:themeColor="text1"/>
                <w:spacing w:val="10"/>
              </w:rPr>
            </w:pPr>
            <w:r w:rsidRPr="00D26A22">
              <w:rPr>
                <w:rFonts w:cstheme="minorHAnsi"/>
                <w:b/>
                <w:color w:val="000000" w:themeColor="text1"/>
                <w:spacing w:val="10"/>
              </w:rPr>
              <w:t>Module Code</w:t>
            </w:r>
          </w:p>
        </w:tc>
        <w:tc>
          <w:tcPr>
            <w:tcW w:w="4466" w:type="dxa"/>
          </w:tcPr>
          <w:p w:rsidR="001123B8" w:rsidRPr="001123B8" w:rsidRDefault="001123B8" w:rsidP="001123B8">
            <w:pPr>
              <w:spacing w:line="360" w:lineRule="atLeast"/>
              <w:jc w:val="center"/>
              <w:rPr>
                <w:rFonts w:cs="Arial"/>
                <w:b/>
                <w:bCs/>
                <w:color w:val="000000" w:themeColor="text1"/>
                <w:spacing w:val="10"/>
                <w:szCs w:val="24"/>
                <w:lang w:val="en-GB"/>
              </w:rPr>
            </w:pPr>
            <w:r w:rsidRPr="001123B8">
              <w:rPr>
                <w:rFonts w:cs="Arial"/>
                <w:b/>
                <w:bCs/>
                <w:szCs w:val="24"/>
              </w:rPr>
              <w:t>LCMB7023</w:t>
            </w:r>
          </w:p>
        </w:tc>
      </w:tr>
      <w:tr w:rsidR="001123B8" w:rsidRPr="00D26A22" w:rsidTr="00BC5D3B">
        <w:trPr>
          <w:trHeight w:val="499"/>
        </w:trPr>
        <w:tc>
          <w:tcPr>
            <w:tcW w:w="2230" w:type="dxa"/>
          </w:tcPr>
          <w:p w:rsidR="001123B8" w:rsidRPr="00D26A22" w:rsidRDefault="001123B8" w:rsidP="00BC5D3B">
            <w:pPr>
              <w:spacing w:line="360" w:lineRule="atLeast"/>
              <w:jc w:val="center"/>
              <w:rPr>
                <w:rFonts w:cstheme="minorHAnsi"/>
                <w:b/>
                <w:color w:val="000000" w:themeColor="text1"/>
                <w:spacing w:val="10"/>
              </w:rPr>
            </w:pPr>
            <w:r w:rsidRPr="00D26A22">
              <w:rPr>
                <w:rFonts w:cstheme="minorHAnsi"/>
                <w:b/>
                <w:color w:val="000000" w:themeColor="text1"/>
                <w:spacing w:val="10"/>
              </w:rPr>
              <w:t>Lecturer’s Name</w:t>
            </w:r>
          </w:p>
        </w:tc>
        <w:tc>
          <w:tcPr>
            <w:tcW w:w="4466" w:type="dxa"/>
          </w:tcPr>
          <w:p w:rsidR="001123B8" w:rsidRPr="001123B8" w:rsidRDefault="001123B8" w:rsidP="001123B8">
            <w:pPr>
              <w:spacing w:before="120"/>
              <w:jc w:val="center"/>
              <w:rPr>
                <w:rFonts w:cs="Arial"/>
                <w:b/>
                <w:bCs/>
                <w:szCs w:val="24"/>
              </w:rPr>
            </w:pPr>
            <w:r w:rsidRPr="001123B8">
              <w:rPr>
                <w:rFonts w:cs="Arial"/>
                <w:b/>
                <w:bCs/>
                <w:szCs w:val="24"/>
              </w:rPr>
              <w:t xml:space="preserve">Gladius Kulothungan Ejike </w:t>
            </w:r>
            <w:proofErr w:type="spellStart"/>
            <w:r w:rsidRPr="001123B8">
              <w:rPr>
                <w:rFonts w:cs="Arial"/>
                <w:b/>
                <w:bCs/>
                <w:szCs w:val="24"/>
              </w:rPr>
              <w:t>Udeogu</w:t>
            </w:r>
            <w:proofErr w:type="spellEnd"/>
          </w:p>
        </w:tc>
      </w:tr>
      <w:tr w:rsidR="001123B8" w:rsidRPr="00D26A22" w:rsidTr="00BC5D3B">
        <w:trPr>
          <w:trHeight w:val="1296"/>
        </w:trPr>
        <w:tc>
          <w:tcPr>
            <w:tcW w:w="2230" w:type="dxa"/>
          </w:tcPr>
          <w:p w:rsidR="001123B8" w:rsidRPr="00D26A22" w:rsidRDefault="001123B8" w:rsidP="00BC5D3B">
            <w:pPr>
              <w:spacing w:line="360" w:lineRule="atLeast"/>
              <w:jc w:val="center"/>
              <w:rPr>
                <w:rFonts w:cstheme="minorHAnsi"/>
                <w:b/>
                <w:color w:val="000000" w:themeColor="text1"/>
                <w:spacing w:val="10"/>
              </w:rPr>
            </w:pPr>
            <w:r w:rsidRPr="00D26A22">
              <w:rPr>
                <w:rFonts w:cstheme="minorHAnsi"/>
                <w:b/>
                <w:color w:val="000000" w:themeColor="text1"/>
                <w:spacing w:val="10"/>
              </w:rPr>
              <w:t>Assignment Title</w:t>
            </w:r>
          </w:p>
        </w:tc>
        <w:tc>
          <w:tcPr>
            <w:tcW w:w="4466" w:type="dxa"/>
          </w:tcPr>
          <w:p w:rsidR="001123B8" w:rsidRPr="001123B8" w:rsidRDefault="001123B8" w:rsidP="001123B8">
            <w:pPr>
              <w:spacing w:before="120"/>
              <w:jc w:val="center"/>
              <w:rPr>
                <w:rFonts w:cs="Arial"/>
                <w:b/>
                <w:bCs/>
                <w:szCs w:val="24"/>
              </w:rPr>
            </w:pPr>
            <w:r w:rsidRPr="001123B8">
              <w:rPr>
                <w:rFonts w:cs="Arial"/>
                <w:b/>
                <w:bCs/>
                <w:szCs w:val="24"/>
              </w:rPr>
              <w:t>Assessment component 1:</w:t>
            </w:r>
          </w:p>
          <w:p w:rsidR="001123B8" w:rsidRPr="001123B8" w:rsidRDefault="001123B8" w:rsidP="001123B8">
            <w:pPr>
              <w:jc w:val="center"/>
              <w:rPr>
                <w:rFonts w:cs="Arial"/>
                <w:b/>
                <w:bCs/>
                <w:color w:val="000000" w:themeColor="text1"/>
                <w:spacing w:val="10"/>
                <w:szCs w:val="24"/>
              </w:rPr>
            </w:pPr>
            <w:r w:rsidRPr="001123B8">
              <w:rPr>
                <w:rFonts w:cs="Arial"/>
                <w:b/>
                <w:bCs/>
                <w:szCs w:val="24"/>
              </w:rPr>
              <w:t xml:space="preserve">Individual report – </w:t>
            </w:r>
            <w:r w:rsidRPr="001123B8">
              <w:rPr>
                <w:rFonts w:eastAsia="SimSun" w:cs="Arial"/>
                <w:b/>
                <w:bCs/>
                <w:szCs w:val="24"/>
              </w:rPr>
              <w:t>HR strategy</w:t>
            </w:r>
          </w:p>
        </w:tc>
      </w:tr>
      <w:tr w:rsidR="001123B8" w:rsidRPr="00D26A22" w:rsidTr="00BC5D3B">
        <w:trPr>
          <w:trHeight w:val="499"/>
        </w:trPr>
        <w:tc>
          <w:tcPr>
            <w:tcW w:w="2230" w:type="dxa"/>
          </w:tcPr>
          <w:p w:rsidR="001123B8" w:rsidRPr="00D26A22" w:rsidRDefault="001123B8" w:rsidP="00BC5D3B">
            <w:pPr>
              <w:spacing w:line="360" w:lineRule="atLeast"/>
              <w:jc w:val="center"/>
              <w:rPr>
                <w:rFonts w:cstheme="minorHAnsi"/>
                <w:b/>
                <w:color w:val="000000" w:themeColor="text1"/>
                <w:spacing w:val="10"/>
              </w:rPr>
            </w:pPr>
            <w:r w:rsidRPr="00D26A22">
              <w:rPr>
                <w:rFonts w:cstheme="minorHAnsi"/>
                <w:b/>
                <w:color w:val="000000" w:themeColor="text1"/>
                <w:spacing w:val="10"/>
              </w:rPr>
              <w:t>Word Count (Actual)</w:t>
            </w:r>
          </w:p>
        </w:tc>
        <w:tc>
          <w:tcPr>
            <w:tcW w:w="4466" w:type="dxa"/>
          </w:tcPr>
          <w:p w:rsidR="001123B8" w:rsidRPr="00D26A22" w:rsidRDefault="002B742D" w:rsidP="00BC5D3B">
            <w:pPr>
              <w:spacing w:line="360" w:lineRule="atLeast"/>
              <w:jc w:val="center"/>
              <w:rPr>
                <w:rFonts w:cstheme="minorHAnsi"/>
                <w:b/>
                <w:color w:val="000000" w:themeColor="text1"/>
                <w:spacing w:val="10"/>
              </w:rPr>
            </w:pPr>
            <w:r>
              <w:rPr>
                <w:rFonts w:cstheme="minorHAnsi"/>
                <w:b/>
                <w:color w:val="000000" w:themeColor="text1"/>
                <w:spacing w:val="10"/>
              </w:rPr>
              <w:t>2667</w:t>
            </w:r>
          </w:p>
        </w:tc>
      </w:tr>
      <w:tr w:rsidR="001123B8" w:rsidRPr="00D26A22" w:rsidTr="00BC5D3B">
        <w:trPr>
          <w:trHeight w:val="538"/>
        </w:trPr>
        <w:tc>
          <w:tcPr>
            <w:tcW w:w="2230" w:type="dxa"/>
          </w:tcPr>
          <w:p w:rsidR="001123B8" w:rsidRPr="00D26A22" w:rsidRDefault="001123B8" w:rsidP="00BC5D3B">
            <w:pPr>
              <w:spacing w:line="360" w:lineRule="atLeast"/>
              <w:jc w:val="center"/>
              <w:rPr>
                <w:rFonts w:cstheme="minorHAnsi"/>
                <w:b/>
                <w:color w:val="000000" w:themeColor="text1"/>
                <w:spacing w:val="10"/>
              </w:rPr>
            </w:pPr>
            <w:r w:rsidRPr="00D26A22">
              <w:rPr>
                <w:rFonts w:cstheme="minorHAnsi"/>
                <w:b/>
                <w:color w:val="000000" w:themeColor="text1"/>
                <w:spacing w:val="10"/>
              </w:rPr>
              <w:t>Submission Date</w:t>
            </w:r>
          </w:p>
        </w:tc>
        <w:tc>
          <w:tcPr>
            <w:tcW w:w="4466" w:type="dxa"/>
          </w:tcPr>
          <w:p w:rsidR="001123B8" w:rsidRPr="00D26A22" w:rsidRDefault="00DF6A77" w:rsidP="00BC5D3B">
            <w:pPr>
              <w:spacing w:line="360" w:lineRule="atLeast"/>
              <w:jc w:val="center"/>
              <w:rPr>
                <w:rFonts w:cstheme="minorHAnsi"/>
                <w:b/>
                <w:color w:val="000000" w:themeColor="text1"/>
                <w:spacing w:val="10"/>
              </w:rPr>
            </w:pPr>
            <w:r>
              <w:rPr>
                <w:rFonts w:cstheme="minorHAnsi"/>
                <w:b/>
                <w:color w:val="000000" w:themeColor="text1"/>
                <w:spacing w:val="10"/>
              </w:rPr>
              <w:t>18/02/2026</w:t>
            </w:r>
          </w:p>
        </w:tc>
      </w:tr>
    </w:tbl>
    <w:p w:rsidR="001123B8" w:rsidRDefault="001123B8">
      <w:pPr>
        <w:jc w:val="center"/>
      </w:pPr>
    </w:p>
    <w:p w:rsidR="00462ABD" w:rsidRDefault="00462ABD"/>
    <w:p w:rsidR="00462ABD" w:rsidRDefault="00000000">
      <w:r>
        <w:br w:type="page"/>
      </w:r>
    </w:p>
    <w:sdt>
      <w:sdtPr>
        <w:rPr>
          <w:rFonts w:ascii="Arial" w:eastAsia="Arial" w:hAnsi="Arial" w:cstheme="minorBidi"/>
          <w:b w:val="0"/>
          <w:bCs w:val="0"/>
          <w:color w:val="auto"/>
          <w:sz w:val="24"/>
          <w:szCs w:val="22"/>
        </w:rPr>
        <w:id w:val="158361857"/>
        <w:docPartObj>
          <w:docPartGallery w:val="Table of Contents"/>
          <w:docPartUnique/>
        </w:docPartObj>
      </w:sdtPr>
      <w:sdtEndPr>
        <w:rPr>
          <w:noProof/>
        </w:rPr>
      </w:sdtEndPr>
      <w:sdtContent>
        <w:p w:rsidR="001123B8" w:rsidRPr="001123B8" w:rsidRDefault="001123B8" w:rsidP="001123B8">
          <w:pPr>
            <w:pStyle w:val="TOCHeading"/>
            <w:numPr>
              <w:ilvl w:val="0"/>
              <w:numId w:val="0"/>
            </w:numPr>
          </w:pPr>
          <w:r w:rsidRPr="001123B8">
            <w:t>Table of Contents</w:t>
          </w:r>
        </w:p>
        <w:p w:rsidR="0095630E" w:rsidRDefault="001123B8">
          <w:pPr>
            <w:pStyle w:val="TOC1"/>
            <w:tabs>
              <w:tab w:val="right" w:leader="dot" w:pos="9396"/>
            </w:tabs>
            <w:rPr>
              <w:rFonts w:asciiTheme="minorHAnsi" w:eastAsiaTheme="minorEastAsia" w:hAnsiTheme="minorHAnsi"/>
              <w:noProof/>
              <w:kern w:val="2"/>
              <w:szCs w:val="24"/>
              <w14:ligatures w14:val="standardContextual"/>
            </w:rPr>
          </w:pPr>
          <w:r>
            <w:fldChar w:fldCharType="begin"/>
          </w:r>
          <w:r>
            <w:instrText xml:space="preserve"> TOC \o "1-3" \h \z \u </w:instrText>
          </w:r>
          <w:r>
            <w:fldChar w:fldCharType="separate"/>
          </w:r>
          <w:hyperlink w:anchor="_Toc222260271" w:history="1">
            <w:r w:rsidR="0095630E" w:rsidRPr="006A1C6A">
              <w:rPr>
                <w:rStyle w:val="Hyperlink"/>
                <w:rFonts w:cs="Arial"/>
                <w:noProof/>
              </w:rPr>
              <w:t>Introduction</w:t>
            </w:r>
            <w:r w:rsidR="0095630E">
              <w:rPr>
                <w:noProof/>
                <w:webHidden/>
              </w:rPr>
              <w:tab/>
            </w:r>
            <w:r w:rsidR="0095630E">
              <w:rPr>
                <w:noProof/>
                <w:webHidden/>
              </w:rPr>
              <w:fldChar w:fldCharType="begin"/>
            </w:r>
            <w:r w:rsidR="0095630E">
              <w:rPr>
                <w:noProof/>
                <w:webHidden/>
              </w:rPr>
              <w:instrText xml:space="preserve"> PAGEREF _Toc222260271 \h </w:instrText>
            </w:r>
            <w:r w:rsidR="0095630E">
              <w:rPr>
                <w:noProof/>
                <w:webHidden/>
              </w:rPr>
            </w:r>
            <w:r w:rsidR="0095630E">
              <w:rPr>
                <w:noProof/>
                <w:webHidden/>
              </w:rPr>
              <w:fldChar w:fldCharType="separate"/>
            </w:r>
            <w:r w:rsidR="0095630E">
              <w:rPr>
                <w:noProof/>
                <w:webHidden/>
              </w:rPr>
              <w:t>3</w:t>
            </w:r>
            <w:r w:rsidR="0095630E">
              <w:rPr>
                <w:noProof/>
                <w:webHidden/>
              </w:rPr>
              <w:fldChar w:fldCharType="end"/>
            </w:r>
          </w:hyperlink>
        </w:p>
        <w:p w:rsidR="0095630E" w:rsidRDefault="0095630E">
          <w:pPr>
            <w:pStyle w:val="TOC1"/>
            <w:tabs>
              <w:tab w:val="right" w:leader="dot" w:pos="9396"/>
            </w:tabs>
            <w:rPr>
              <w:rFonts w:asciiTheme="minorHAnsi" w:eastAsiaTheme="minorEastAsia" w:hAnsiTheme="minorHAnsi"/>
              <w:noProof/>
              <w:kern w:val="2"/>
              <w:szCs w:val="24"/>
              <w14:ligatures w14:val="standardContextual"/>
            </w:rPr>
          </w:pPr>
          <w:hyperlink w:anchor="_Toc222260272" w:history="1">
            <w:r w:rsidRPr="006A1C6A">
              <w:rPr>
                <w:rStyle w:val="Hyperlink"/>
                <w:rFonts w:cs="Arial"/>
                <w:noProof/>
              </w:rPr>
              <w:t>1. Current practices in culture and work among tech companies</w:t>
            </w:r>
            <w:r>
              <w:rPr>
                <w:noProof/>
                <w:webHidden/>
              </w:rPr>
              <w:tab/>
            </w:r>
            <w:r>
              <w:rPr>
                <w:noProof/>
                <w:webHidden/>
              </w:rPr>
              <w:fldChar w:fldCharType="begin"/>
            </w:r>
            <w:r>
              <w:rPr>
                <w:noProof/>
                <w:webHidden/>
              </w:rPr>
              <w:instrText xml:space="preserve"> PAGEREF _Toc222260272 \h </w:instrText>
            </w:r>
            <w:r>
              <w:rPr>
                <w:noProof/>
                <w:webHidden/>
              </w:rPr>
            </w:r>
            <w:r>
              <w:rPr>
                <w:noProof/>
                <w:webHidden/>
              </w:rPr>
              <w:fldChar w:fldCharType="separate"/>
            </w:r>
            <w:r>
              <w:rPr>
                <w:noProof/>
                <w:webHidden/>
              </w:rPr>
              <w:t>3</w:t>
            </w:r>
            <w:r>
              <w:rPr>
                <w:noProof/>
                <w:webHidden/>
              </w:rPr>
              <w:fldChar w:fldCharType="end"/>
            </w:r>
          </w:hyperlink>
        </w:p>
        <w:p w:rsidR="0095630E" w:rsidRDefault="0095630E">
          <w:pPr>
            <w:pStyle w:val="TOC2"/>
            <w:tabs>
              <w:tab w:val="right" w:leader="dot" w:pos="9396"/>
            </w:tabs>
            <w:rPr>
              <w:rFonts w:asciiTheme="minorHAnsi" w:eastAsiaTheme="minorEastAsia" w:hAnsiTheme="minorHAnsi"/>
              <w:noProof/>
              <w:kern w:val="2"/>
              <w:szCs w:val="24"/>
              <w14:ligatures w14:val="standardContextual"/>
            </w:rPr>
          </w:pPr>
          <w:hyperlink w:anchor="_Toc222260273" w:history="1">
            <w:r w:rsidRPr="006A1C6A">
              <w:rPr>
                <w:rStyle w:val="Hyperlink"/>
                <w:rFonts w:cs="Arial"/>
                <w:noProof/>
              </w:rPr>
              <w:t>1.1 Diagnosis of Aether Innovations</w:t>
            </w:r>
            <w:r>
              <w:rPr>
                <w:noProof/>
                <w:webHidden/>
              </w:rPr>
              <w:tab/>
            </w:r>
            <w:r>
              <w:rPr>
                <w:noProof/>
                <w:webHidden/>
              </w:rPr>
              <w:fldChar w:fldCharType="begin"/>
            </w:r>
            <w:r>
              <w:rPr>
                <w:noProof/>
                <w:webHidden/>
              </w:rPr>
              <w:instrText xml:space="preserve"> PAGEREF _Toc222260273 \h </w:instrText>
            </w:r>
            <w:r>
              <w:rPr>
                <w:noProof/>
                <w:webHidden/>
              </w:rPr>
            </w:r>
            <w:r>
              <w:rPr>
                <w:noProof/>
                <w:webHidden/>
              </w:rPr>
              <w:fldChar w:fldCharType="separate"/>
            </w:r>
            <w:r>
              <w:rPr>
                <w:noProof/>
                <w:webHidden/>
              </w:rPr>
              <w:t>4</w:t>
            </w:r>
            <w:r>
              <w:rPr>
                <w:noProof/>
                <w:webHidden/>
              </w:rPr>
              <w:fldChar w:fldCharType="end"/>
            </w:r>
          </w:hyperlink>
        </w:p>
        <w:p w:rsidR="0095630E" w:rsidRDefault="0095630E">
          <w:pPr>
            <w:pStyle w:val="TOC1"/>
            <w:tabs>
              <w:tab w:val="right" w:leader="dot" w:pos="9396"/>
            </w:tabs>
            <w:rPr>
              <w:rFonts w:asciiTheme="minorHAnsi" w:eastAsiaTheme="minorEastAsia" w:hAnsiTheme="minorHAnsi"/>
              <w:noProof/>
              <w:kern w:val="2"/>
              <w:szCs w:val="24"/>
              <w14:ligatures w14:val="standardContextual"/>
            </w:rPr>
          </w:pPr>
          <w:hyperlink w:anchor="_Toc222260274" w:history="1">
            <w:r w:rsidRPr="006A1C6A">
              <w:rPr>
                <w:rStyle w:val="Hyperlink"/>
                <w:rFonts w:cs="Arial"/>
                <w:noProof/>
              </w:rPr>
              <w:t>2. Recommended cultural and structural initiatives that embed innovation</w:t>
            </w:r>
            <w:r>
              <w:rPr>
                <w:noProof/>
                <w:webHidden/>
              </w:rPr>
              <w:tab/>
            </w:r>
            <w:r>
              <w:rPr>
                <w:noProof/>
                <w:webHidden/>
              </w:rPr>
              <w:fldChar w:fldCharType="begin"/>
            </w:r>
            <w:r>
              <w:rPr>
                <w:noProof/>
                <w:webHidden/>
              </w:rPr>
              <w:instrText xml:space="preserve"> PAGEREF _Toc222260274 \h </w:instrText>
            </w:r>
            <w:r>
              <w:rPr>
                <w:noProof/>
                <w:webHidden/>
              </w:rPr>
            </w:r>
            <w:r>
              <w:rPr>
                <w:noProof/>
                <w:webHidden/>
              </w:rPr>
              <w:fldChar w:fldCharType="separate"/>
            </w:r>
            <w:r>
              <w:rPr>
                <w:noProof/>
                <w:webHidden/>
              </w:rPr>
              <w:t>5</w:t>
            </w:r>
            <w:r>
              <w:rPr>
                <w:noProof/>
                <w:webHidden/>
              </w:rPr>
              <w:fldChar w:fldCharType="end"/>
            </w:r>
          </w:hyperlink>
        </w:p>
        <w:p w:rsidR="0095630E" w:rsidRDefault="0095630E">
          <w:pPr>
            <w:pStyle w:val="TOC2"/>
            <w:tabs>
              <w:tab w:val="right" w:leader="dot" w:pos="9396"/>
            </w:tabs>
            <w:rPr>
              <w:rFonts w:asciiTheme="minorHAnsi" w:eastAsiaTheme="minorEastAsia" w:hAnsiTheme="minorHAnsi"/>
              <w:noProof/>
              <w:kern w:val="2"/>
              <w:szCs w:val="24"/>
              <w14:ligatures w14:val="standardContextual"/>
            </w:rPr>
          </w:pPr>
          <w:hyperlink w:anchor="_Toc222260275" w:history="1">
            <w:r w:rsidRPr="006A1C6A">
              <w:rPr>
                <w:rStyle w:val="Hyperlink"/>
                <w:rFonts w:cs="Arial"/>
                <w:noProof/>
              </w:rPr>
              <w:t>2.1 Operating blueprint and governance</w:t>
            </w:r>
            <w:r>
              <w:rPr>
                <w:noProof/>
                <w:webHidden/>
              </w:rPr>
              <w:tab/>
            </w:r>
            <w:r>
              <w:rPr>
                <w:noProof/>
                <w:webHidden/>
              </w:rPr>
              <w:fldChar w:fldCharType="begin"/>
            </w:r>
            <w:r>
              <w:rPr>
                <w:noProof/>
                <w:webHidden/>
              </w:rPr>
              <w:instrText xml:space="preserve"> PAGEREF _Toc222260275 \h </w:instrText>
            </w:r>
            <w:r>
              <w:rPr>
                <w:noProof/>
                <w:webHidden/>
              </w:rPr>
            </w:r>
            <w:r>
              <w:rPr>
                <w:noProof/>
                <w:webHidden/>
              </w:rPr>
              <w:fldChar w:fldCharType="separate"/>
            </w:r>
            <w:r>
              <w:rPr>
                <w:noProof/>
                <w:webHidden/>
              </w:rPr>
              <w:t>6</w:t>
            </w:r>
            <w:r>
              <w:rPr>
                <w:noProof/>
                <w:webHidden/>
              </w:rPr>
              <w:fldChar w:fldCharType="end"/>
            </w:r>
          </w:hyperlink>
        </w:p>
        <w:p w:rsidR="0095630E" w:rsidRDefault="0095630E">
          <w:pPr>
            <w:pStyle w:val="TOC1"/>
            <w:tabs>
              <w:tab w:val="right" w:leader="dot" w:pos="9396"/>
            </w:tabs>
            <w:rPr>
              <w:rFonts w:asciiTheme="minorHAnsi" w:eastAsiaTheme="minorEastAsia" w:hAnsiTheme="minorHAnsi"/>
              <w:noProof/>
              <w:kern w:val="2"/>
              <w:szCs w:val="24"/>
              <w14:ligatures w14:val="standardContextual"/>
            </w:rPr>
          </w:pPr>
          <w:hyperlink w:anchor="_Toc222260276" w:history="1">
            <w:r w:rsidRPr="006A1C6A">
              <w:rPr>
                <w:rStyle w:val="Hyperlink"/>
                <w:rFonts w:cs="Arial"/>
                <w:noProof/>
              </w:rPr>
              <w:t>3. Future of Work model (hybrid/remote) that supports collaboration and creativity</w:t>
            </w:r>
            <w:r>
              <w:rPr>
                <w:noProof/>
                <w:webHidden/>
              </w:rPr>
              <w:tab/>
            </w:r>
            <w:r>
              <w:rPr>
                <w:noProof/>
                <w:webHidden/>
              </w:rPr>
              <w:fldChar w:fldCharType="begin"/>
            </w:r>
            <w:r>
              <w:rPr>
                <w:noProof/>
                <w:webHidden/>
              </w:rPr>
              <w:instrText xml:space="preserve"> PAGEREF _Toc222260276 \h </w:instrText>
            </w:r>
            <w:r>
              <w:rPr>
                <w:noProof/>
                <w:webHidden/>
              </w:rPr>
            </w:r>
            <w:r>
              <w:rPr>
                <w:noProof/>
                <w:webHidden/>
              </w:rPr>
              <w:fldChar w:fldCharType="separate"/>
            </w:r>
            <w:r>
              <w:rPr>
                <w:noProof/>
                <w:webHidden/>
              </w:rPr>
              <w:t>7</w:t>
            </w:r>
            <w:r>
              <w:rPr>
                <w:noProof/>
                <w:webHidden/>
              </w:rPr>
              <w:fldChar w:fldCharType="end"/>
            </w:r>
          </w:hyperlink>
        </w:p>
        <w:p w:rsidR="0095630E" w:rsidRDefault="0095630E">
          <w:pPr>
            <w:pStyle w:val="TOC2"/>
            <w:tabs>
              <w:tab w:val="right" w:leader="dot" w:pos="9396"/>
            </w:tabs>
            <w:rPr>
              <w:rFonts w:asciiTheme="minorHAnsi" w:eastAsiaTheme="minorEastAsia" w:hAnsiTheme="minorHAnsi"/>
              <w:noProof/>
              <w:kern w:val="2"/>
              <w:szCs w:val="24"/>
              <w14:ligatures w14:val="standardContextual"/>
            </w:rPr>
          </w:pPr>
          <w:hyperlink w:anchor="_Toc222260277" w:history="1">
            <w:r w:rsidRPr="006A1C6A">
              <w:rPr>
                <w:rStyle w:val="Hyperlink"/>
                <w:rFonts w:cs="Arial"/>
                <w:noProof/>
              </w:rPr>
              <w:t>3.1 KPIs, measurement and evaluation</w:t>
            </w:r>
            <w:r>
              <w:rPr>
                <w:noProof/>
                <w:webHidden/>
              </w:rPr>
              <w:tab/>
            </w:r>
            <w:r>
              <w:rPr>
                <w:noProof/>
                <w:webHidden/>
              </w:rPr>
              <w:fldChar w:fldCharType="begin"/>
            </w:r>
            <w:r>
              <w:rPr>
                <w:noProof/>
                <w:webHidden/>
              </w:rPr>
              <w:instrText xml:space="preserve"> PAGEREF _Toc222260277 \h </w:instrText>
            </w:r>
            <w:r>
              <w:rPr>
                <w:noProof/>
                <w:webHidden/>
              </w:rPr>
            </w:r>
            <w:r>
              <w:rPr>
                <w:noProof/>
                <w:webHidden/>
              </w:rPr>
              <w:fldChar w:fldCharType="separate"/>
            </w:r>
            <w:r>
              <w:rPr>
                <w:noProof/>
                <w:webHidden/>
              </w:rPr>
              <w:t>7</w:t>
            </w:r>
            <w:r>
              <w:rPr>
                <w:noProof/>
                <w:webHidden/>
              </w:rPr>
              <w:fldChar w:fldCharType="end"/>
            </w:r>
          </w:hyperlink>
        </w:p>
        <w:p w:rsidR="0095630E" w:rsidRDefault="0095630E">
          <w:pPr>
            <w:pStyle w:val="TOC1"/>
            <w:tabs>
              <w:tab w:val="right" w:leader="dot" w:pos="9396"/>
            </w:tabs>
            <w:rPr>
              <w:rFonts w:asciiTheme="minorHAnsi" w:eastAsiaTheme="minorEastAsia" w:hAnsiTheme="minorHAnsi"/>
              <w:noProof/>
              <w:kern w:val="2"/>
              <w:szCs w:val="24"/>
              <w14:ligatures w14:val="standardContextual"/>
            </w:rPr>
          </w:pPr>
          <w:hyperlink w:anchor="_Toc222260278" w:history="1">
            <w:r w:rsidRPr="006A1C6A">
              <w:rPr>
                <w:rStyle w:val="Hyperlink"/>
                <w:rFonts w:cs="Arial"/>
                <w:noProof/>
              </w:rPr>
              <w:t>4. How the approach motivates and enables optimal performance</w:t>
            </w:r>
            <w:r>
              <w:rPr>
                <w:noProof/>
                <w:webHidden/>
              </w:rPr>
              <w:tab/>
            </w:r>
            <w:r>
              <w:rPr>
                <w:noProof/>
                <w:webHidden/>
              </w:rPr>
              <w:fldChar w:fldCharType="begin"/>
            </w:r>
            <w:r>
              <w:rPr>
                <w:noProof/>
                <w:webHidden/>
              </w:rPr>
              <w:instrText xml:space="preserve"> PAGEREF _Toc222260278 \h </w:instrText>
            </w:r>
            <w:r>
              <w:rPr>
                <w:noProof/>
                <w:webHidden/>
              </w:rPr>
            </w:r>
            <w:r>
              <w:rPr>
                <w:noProof/>
                <w:webHidden/>
              </w:rPr>
              <w:fldChar w:fldCharType="separate"/>
            </w:r>
            <w:r>
              <w:rPr>
                <w:noProof/>
                <w:webHidden/>
              </w:rPr>
              <w:t>8</w:t>
            </w:r>
            <w:r>
              <w:rPr>
                <w:noProof/>
                <w:webHidden/>
              </w:rPr>
              <w:fldChar w:fldCharType="end"/>
            </w:r>
          </w:hyperlink>
        </w:p>
        <w:p w:rsidR="0095630E" w:rsidRDefault="0095630E">
          <w:pPr>
            <w:pStyle w:val="TOC2"/>
            <w:tabs>
              <w:tab w:val="right" w:leader="dot" w:pos="9396"/>
            </w:tabs>
            <w:rPr>
              <w:rFonts w:asciiTheme="minorHAnsi" w:eastAsiaTheme="minorEastAsia" w:hAnsiTheme="minorHAnsi"/>
              <w:noProof/>
              <w:kern w:val="2"/>
              <w:szCs w:val="24"/>
              <w14:ligatures w14:val="standardContextual"/>
            </w:rPr>
          </w:pPr>
          <w:hyperlink w:anchor="_Toc222260279" w:history="1">
            <w:r w:rsidRPr="006A1C6A">
              <w:rPr>
                <w:rStyle w:val="Hyperlink"/>
                <w:rFonts w:cs="Arial"/>
                <w:noProof/>
              </w:rPr>
              <w:t>4.1 Developing AI-innovation capacity</w:t>
            </w:r>
            <w:r>
              <w:rPr>
                <w:noProof/>
                <w:webHidden/>
              </w:rPr>
              <w:tab/>
            </w:r>
            <w:r>
              <w:rPr>
                <w:noProof/>
                <w:webHidden/>
              </w:rPr>
              <w:fldChar w:fldCharType="begin"/>
            </w:r>
            <w:r>
              <w:rPr>
                <w:noProof/>
                <w:webHidden/>
              </w:rPr>
              <w:instrText xml:space="preserve"> PAGEREF _Toc222260279 \h </w:instrText>
            </w:r>
            <w:r>
              <w:rPr>
                <w:noProof/>
                <w:webHidden/>
              </w:rPr>
            </w:r>
            <w:r>
              <w:rPr>
                <w:noProof/>
                <w:webHidden/>
              </w:rPr>
              <w:fldChar w:fldCharType="separate"/>
            </w:r>
            <w:r>
              <w:rPr>
                <w:noProof/>
                <w:webHidden/>
              </w:rPr>
              <w:t>9</w:t>
            </w:r>
            <w:r>
              <w:rPr>
                <w:noProof/>
                <w:webHidden/>
              </w:rPr>
              <w:fldChar w:fldCharType="end"/>
            </w:r>
          </w:hyperlink>
        </w:p>
        <w:p w:rsidR="0095630E" w:rsidRDefault="0095630E">
          <w:pPr>
            <w:pStyle w:val="TOC1"/>
            <w:tabs>
              <w:tab w:val="right" w:leader="dot" w:pos="9396"/>
            </w:tabs>
            <w:rPr>
              <w:rFonts w:asciiTheme="minorHAnsi" w:eastAsiaTheme="minorEastAsia" w:hAnsiTheme="minorHAnsi"/>
              <w:noProof/>
              <w:kern w:val="2"/>
              <w:szCs w:val="24"/>
              <w14:ligatures w14:val="standardContextual"/>
            </w:rPr>
          </w:pPr>
          <w:hyperlink w:anchor="_Toc222260280" w:history="1">
            <w:r w:rsidRPr="006A1C6A">
              <w:rPr>
                <w:rStyle w:val="Hyperlink"/>
                <w:rFonts w:cs="Arial"/>
                <w:noProof/>
              </w:rPr>
              <w:t>Conclusion</w:t>
            </w:r>
            <w:r>
              <w:rPr>
                <w:noProof/>
                <w:webHidden/>
              </w:rPr>
              <w:tab/>
            </w:r>
            <w:r>
              <w:rPr>
                <w:noProof/>
                <w:webHidden/>
              </w:rPr>
              <w:fldChar w:fldCharType="begin"/>
            </w:r>
            <w:r>
              <w:rPr>
                <w:noProof/>
                <w:webHidden/>
              </w:rPr>
              <w:instrText xml:space="preserve"> PAGEREF _Toc222260280 \h </w:instrText>
            </w:r>
            <w:r>
              <w:rPr>
                <w:noProof/>
                <w:webHidden/>
              </w:rPr>
            </w:r>
            <w:r>
              <w:rPr>
                <w:noProof/>
                <w:webHidden/>
              </w:rPr>
              <w:fldChar w:fldCharType="separate"/>
            </w:r>
            <w:r>
              <w:rPr>
                <w:noProof/>
                <w:webHidden/>
              </w:rPr>
              <w:t>9</w:t>
            </w:r>
            <w:r>
              <w:rPr>
                <w:noProof/>
                <w:webHidden/>
              </w:rPr>
              <w:fldChar w:fldCharType="end"/>
            </w:r>
          </w:hyperlink>
        </w:p>
        <w:p w:rsidR="0095630E" w:rsidRDefault="0095630E">
          <w:pPr>
            <w:pStyle w:val="TOC1"/>
            <w:tabs>
              <w:tab w:val="right" w:leader="dot" w:pos="9396"/>
            </w:tabs>
            <w:rPr>
              <w:rFonts w:asciiTheme="minorHAnsi" w:eastAsiaTheme="minorEastAsia" w:hAnsiTheme="minorHAnsi"/>
              <w:noProof/>
              <w:kern w:val="2"/>
              <w:szCs w:val="24"/>
              <w14:ligatures w14:val="standardContextual"/>
            </w:rPr>
          </w:pPr>
          <w:hyperlink w:anchor="_Toc222260281" w:history="1">
            <w:r w:rsidRPr="006A1C6A">
              <w:rPr>
                <w:rStyle w:val="Hyperlink"/>
                <w:rFonts w:cs="Arial"/>
                <w:noProof/>
              </w:rPr>
              <w:t>Reflective account</w:t>
            </w:r>
            <w:r>
              <w:rPr>
                <w:noProof/>
                <w:webHidden/>
              </w:rPr>
              <w:tab/>
            </w:r>
            <w:r>
              <w:rPr>
                <w:noProof/>
                <w:webHidden/>
              </w:rPr>
              <w:fldChar w:fldCharType="begin"/>
            </w:r>
            <w:r>
              <w:rPr>
                <w:noProof/>
                <w:webHidden/>
              </w:rPr>
              <w:instrText xml:space="preserve"> PAGEREF _Toc222260281 \h </w:instrText>
            </w:r>
            <w:r>
              <w:rPr>
                <w:noProof/>
                <w:webHidden/>
              </w:rPr>
            </w:r>
            <w:r>
              <w:rPr>
                <w:noProof/>
                <w:webHidden/>
              </w:rPr>
              <w:fldChar w:fldCharType="separate"/>
            </w:r>
            <w:r>
              <w:rPr>
                <w:noProof/>
                <w:webHidden/>
              </w:rPr>
              <w:t>11</w:t>
            </w:r>
            <w:r>
              <w:rPr>
                <w:noProof/>
                <w:webHidden/>
              </w:rPr>
              <w:fldChar w:fldCharType="end"/>
            </w:r>
          </w:hyperlink>
        </w:p>
        <w:p w:rsidR="0095630E" w:rsidRDefault="0095630E">
          <w:pPr>
            <w:pStyle w:val="TOC1"/>
            <w:tabs>
              <w:tab w:val="right" w:leader="dot" w:pos="9396"/>
            </w:tabs>
            <w:rPr>
              <w:rFonts w:asciiTheme="minorHAnsi" w:eastAsiaTheme="minorEastAsia" w:hAnsiTheme="minorHAnsi"/>
              <w:noProof/>
              <w:kern w:val="2"/>
              <w:szCs w:val="24"/>
              <w14:ligatures w14:val="standardContextual"/>
            </w:rPr>
          </w:pPr>
          <w:hyperlink w:anchor="_Toc222260282" w:history="1">
            <w:r w:rsidRPr="006A1C6A">
              <w:rPr>
                <w:rStyle w:val="Hyperlink"/>
                <w:rFonts w:cs="Arial"/>
                <w:noProof/>
              </w:rPr>
              <w:t>Staying relevant as AI advances</w:t>
            </w:r>
            <w:r>
              <w:rPr>
                <w:noProof/>
                <w:webHidden/>
              </w:rPr>
              <w:tab/>
            </w:r>
            <w:r>
              <w:rPr>
                <w:noProof/>
                <w:webHidden/>
              </w:rPr>
              <w:fldChar w:fldCharType="begin"/>
            </w:r>
            <w:r>
              <w:rPr>
                <w:noProof/>
                <w:webHidden/>
              </w:rPr>
              <w:instrText xml:space="preserve"> PAGEREF _Toc222260282 \h </w:instrText>
            </w:r>
            <w:r>
              <w:rPr>
                <w:noProof/>
                <w:webHidden/>
              </w:rPr>
            </w:r>
            <w:r>
              <w:rPr>
                <w:noProof/>
                <w:webHidden/>
              </w:rPr>
              <w:fldChar w:fldCharType="separate"/>
            </w:r>
            <w:r>
              <w:rPr>
                <w:noProof/>
                <w:webHidden/>
              </w:rPr>
              <w:t>13</w:t>
            </w:r>
            <w:r>
              <w:rPr>
                <w:noProof/>
                <w:webHidden/>
              </w:rPr>
              <w:fldChar w:fldCharType="end"/>
            </w:r>
          </w:hyperlink>
        </w:p>
        <w:p w:rsidR="0095630E" w:rsidRDefault="0095630E">
          <w:pPr>
            <w:pStyle w:val="TOC1"/>
            <w:tabs>
              <w:tab w:val="right" w:leader="dot" w:pos="9396"/>
            </w:tabs>
            <w:rPr>
              <w:rFonts w:asciiTheme="minorHAnsi" w:eastAsiaTheme="minorEastAsia" w:hAnsiTheme="minorHAnsi"/>
              <w:noProof/>
              <w:kern w:val="2"/>
              <w:szCs w:val="24"/>
              <w14:ligatures w14:val="standardContextual"/>
            </w:rPr>
          </w:pPr>
          <w:hyperlink w:anchor="_Toc222260283" w:history="1">
            <w:r w:rsidRPr="006A1C6A">
              <w:rPr>
                <w:rStyle w:val="Hyperlink"/>
                <w:rFonts w:cs="Arial"/>
                <w:noProof/>
              </w:rPr>
              <w:t>References</w:t>
            </w:r>
            <w:r>
              <w:rPr>
                <w:noProof/>
                <w:webHidden/>
              </w:rPr>
              <w:tab/>
            </w:r>
            <w:r>
              <w:rPr>
                <w:noProof/>
                <w:webHidden/>
              </w:rPr>
              <w:fldChar w:fldCharType="begin"/>
            </w:r>
            <w:r>
              <w:rPr>
                <w:noProof/>
                <w:webHidden/>
              </w:rPr>
              <w:instrText xml:space="preserve"> PAGEREF _Toc222260283 \h </w:instrText>
            </w:r>
            <w:r>
              <w:rPr>
                <w:noProof/>
                <w:webHidden/>
              </w:rPr>
            </w:r>
            <w:r>
              <w:rPr>
                <w:noProof/>
                <w:webHidden/>
              </w:rPr>
              <w:fldChar w:fldCharType="separate"/>
            </w:r>
            <w:r>
              <w:rPr>
                <w:noProof/>
                <w:webHidden/>
              </w:rPr>
              <w:t>15</w:t>
            </w:r>
            <w:r>
              <w:rPr>
                <w:noProof/>
                <w:webHidden/>
              </w:rPr>
              <w:fldChar w:fldCharType="end"/>
            </w:r>
          </w:hyperlink>
        </w:p>
        <w:p w:rsidR="001123B8" w:rsidRDefault="001123B8">
          <w:pPr>
            <w:rPr>
              <w:b/>
              <w:bCs/>
              <w:noProof/>
            </w:rPr>
          </w:pPr>
          <w:r>
            <w:rPr>
              <w:b/>
              <w:bCs/>
              <w:noProof/>
            </w:rPr>
            <w:fldChar w:fldCharType="end"/>
          </w:r>
        </w:p>
      </w:sdtContent>
    </w:sdt>
    <w:p w:rsidR="00462ABD" w:rsidRDefault="00000000">
      <w:r>
        <w:fldChar w:fldCharType="begin"/>
      </w:r>
      <w:r>
        <w:instrText>TOC \o "1-3" \h \z \u</w:instrText>
      </w:r>
      <w:r>
        <w:fldChar w:fldCharType="separate"/>
      </w:r>
      <w:r>
        <w:fldChar w:fldCharType="end"/>
      </w:r>
    </w:p>
    <w:p w:rsidR="00462ABD" w:rsidRDefault="00462ABD"/>
    <w:p w:rsidR="00462ABD" w:rsidRDefault="00000000">
      <w:r>
        <w:br w:type="page"/>
      </w:r>
    </w:p>
    <w:p w:rsidR="00462ABD" w:rsidRPr="00E82F08" w:rsidRDefault="00000000" w:rsidP="001123B8">
      <w:pPr>
        <w:jc w:val="center"/>
        <w:rPr>
          <w:b/>
          <w:bCs/>
          <w:sz w:val="32"/>
          <w:szCs w:val="28"/>
        </w:rPr>
      </w:pPr>
      <w:r w:rsidRPr="00E82F08">
        <w:rPr>
          <w:b/>
          <w:bCs/>
          <w:sz w:val="32"/>
          <w:szCs w:val="28"/>
        </w:rPr>
        <w:lastRenderedPageBreak/>
        <w:t>Part 1 (Option 2): Building a culture of innovation and future work practices</w:t>
      </w:r>
    </w:p>
    <w:p w:rsidR="00462ABD" w:rsidRPr="00C30C5F" w:rsidRDefault="001123B8" w:rsidP="00C30C5F">
      <w:pPr>
        <w:pStyle w:val="Heading1"/>
        <w:numPr>
          <w:ilvl w:val="0"/>
          <w:numId w:val="0"/>
        </w:numPr>
        <w:rPr>
          <w:rFonts w:ascii="Arial" w:hAnsi="Arial" w:cs="Arial"/>
          <w:color w:val="000000" w:themeColor="text1"/>
          <w:sz w:val="32"/>
          <w:szCs w:val="32"/>
        </w:rPr>
      </w:pPr>
      <w:bookmarkStart w:id="0" w:name="_Toc222260271"/>
      <w:r w:rsidRPr="00C30C5F">
        <w:rPr>
          <w:rFonts w:ascii="Arial" w:hAnsi="Arial" w:cs="Arial"/>
          <w:color w:val="000000" w:themeColor="text1"/>
          <w:sz w:val="32"/>
          <w:szCs w:val="32"/>
        </w:rPr>
        <w:t>Introduction</w:t>
      </w:r>
      <w:bookmarkEnd w:id="0"/>
      <w:r w:rsidRPr="00C30C5F">
        <w:rPr>
          <w:rFonts w:ascii="Arial" w:hAnsi="Arial" w:cs="Arial"/>
          <w:color w:val="000000" w:themeColor="text1"/>
          <w:sz w:val="32"/>
          <w:szCs w:val="32"/>
        </w:rPr>
        <w:t xml:space="preserve"> </w:t>
      </w:r>
    </w:p>
    <w:p w:rsidR="00E82F08" w:rsidRDefault="00E82F08" w:rsidP="00E82F08">
      <w:pPr>
        <w:jc w:val="both"/>
      </w:pPr>
      <w:r w:rsidRPr="00E82F08">
        <w:t>Aether Innovations is undergoing a stagnant growth, high voluntary turnover and deteriorating customer satisfaction. These results are in line with a work system where effort does not translate consistently to customer value: there is no clear decision rights, poor customer learning loops, and inconsistent psychological safety. It has been demonstrated that innovation performance is enhanced in cases when organizations strategize speaking up, experimentation and cross-functional coordination, and when leaders provide a climate that facilitates intrinsic motivation and failure learning (Amabile and Pratt, 2016; Edmondson and Bransby, 2023).</w:t>
      </w:r>
    </w:p>
    <w:p w:rsidR="00C30C5F" w:rsidRPr="00C30C5F" w:rsidRDefault="00000000" w:rsidP="00E82F08">
      <w:pPr>
        <w:pStyle w:val="Heading1"/>
        <w:jc w:val="both"/>
        <w:rPr>
          <w:rFonts w:ascii="Arial" w:hAnsi="Arial" w:cs="Arial"/>
          <w:color w:val="000000" w:themeColor="text1"/>
          <w:sz w:val="32"/>
          <w:szCs w:val="32"/>
        </w:rPr>
      </w:pPr>
      <w:bookmarkStart w:id="1" w:name="_Toc222260272"/>
      <w:r w:rsidRPr="00C30C5F">
        <w:rPr>
          <w:rFonts w:ascii="Arial" w:hAnsi="Arial" w:cs="Arial"/>
          <w:color w:val="000000" w:themeColor="text1"/>
          <w:sz w:val="32"/>
          <w:szCs w:val="32"/>
        </w:rPr>
        <w:t>Current practices in culture and work among tech</w:t>
      </w:r>
      <w:r w:rsidR="00E82F08">
        <w:rPr>
          <w:rFonts w:ascii="Arial" w:hAnsi="Arial" w:cs="Arial"/>
          <w:color w:val="000000" w:themeColor="text1"/>
          <w:sz w:val="32"/>
          <w:szCs w:val="32"/>
        </w:rPr>
        <w:t xml:space="preserve"> </w:t>
      </w:r>
      <w:r w:rsidRPr="00C30C5F">
        <w:rPr>
          <w:rFonts w:ascii="Arial" w:hAnsi="Arial" w:cs="Arial"/>
          <w:color w:val="000000" w:themeColor="text1"/>
          <w:sz w:val="32"/>
          <w:szCs w:val="32"/>
        </w:rPr>
        <w:t>companies</w:t>
      </w:r>
      <w:bookmarkEnd w:id="1"/>
    </w:p>
    <w:p w:rsidR="00E82F08" w:rsidRDefault="00E82F08" w:rsidP="00E82F08">
      <w:pPr>
        <w:jc w:val="both"/>
      </w:pPr>
      <w:r w:rsidRPr="00E82F08">
        <w:t>Three mutually reinforcing conditions are generally institutionalized in high-performing technology firms. To start with, psychological safety helps employees to speak up, expose mistakes at an early stage and challenge assumptions, facilitating learning behaviors and implementation of innovation (Edmondson and Bransby, 2023). Second, they apply agile and product operating practices, which reduce feedback cycles and expose the work, clarify decision rights and inter-team coordination to prevent the risk of superficial adoption (</w:t>
      </w:r>
      <w:proofErr w:type="spellStart"/>
      <w:r w:rsidRPr="00E82F08">
        <w:t>Uludag</w:t>
      </w:r>
      <w:proofErr w:type="spellEnd"/>
      <w:r w:rsidRPr="00E82F08">
        <w:t xml:space="preserve"> et al., 2022). Third, they safeguard motivation through accomplishing equilibrium between autonomy and alignment so that the employees develop a sense of competence, choice and meaning, which contributes to persistence and creativity (Deci and Ryan, 2000; Amabile and Pratt, 2016). </w:t>
      </w:r>
    </w:p>
    <w:p w:rsidR="00E82F08" w:rsidRDefault="00E82F08" w:rsidP="00E82F08">
      <w:pPr>
        <w:jc w:val="both"/>
      </w:pPr>
      <w:r w:rsidRPr="00E82F08">
        <w:t xml:space="preserve">The hybrid and remote work have become the norm and there is evidence that the results of work design quality vary based on work design. According to meta-analyses, telework has the potential to enhance work satisfaction and performance due to the autonomy, and elevate isolation and coordination expenses in case of weak norms (Allen et al., 2015). </w:t>
      </w:r>
      <w:r w:rsidRPr="00E82F08">
        <w:lastRenderedPageBreak/>
        <w:t>There are also indications in the field that geographic flexibility can be productive when it is backed by strategic coordination and monitoring practices (Choudhury et al., 2021; Choudhury et al., 2024). Thus, hybrid work is perceived in many organizations as a team-level contract, and there are clear guidelines on how to meet and how to document, how to onboard and make decisions.</w:t>
      </w:r>
    </w:p>
    <w:p w:rsidR="00462ABD" w:rsidRPr="00C30C5F" w:rsidRDefault="00000000" w:rsidP="00C30C5F">
      <w:pPr>
        <w:pStyle w:val="Heading2"/>
        <w:rPr>
          <w:rFonts w:ascii="Arial" w:hAnsi="Arial" w:cs="Arial"/>
        </w:rPr>
      </w:pPr>
      <w:bookmarkStart w:id="2" w:name="_Toc222260273"/>
      <w:r w:rsidRPr="00C30C5F">
        <w:rPr>
          <w:rFonts w:ascii="Arial" w:hAnsi="Arial" w:cs="Arial"/>
          <w:color w:val="000000" w:themeColor="text1"/>
          <w:sz w:val="28"/>
          <w:szCs w:val="28"/>
        </w:rPr>
        <w:t>Diagnosis of Aether Innovations</w:t>
      </w:r>
      <w:bookmarkEnd w:id="2"/>
    </w:p>
    <w:p w:rsidR="0050359E" w:rsidRDefault="0050359E" w:rsidP="0050359E">
      <w:pPr>
        <w:jc w:val="both"/>
      </w:pPr>
      <w:r w:rsidRPr="0050359E">
        <w:t xml:space="preserve">Aether has an innovation problem (slow idea-to-value conversion) and a people problem (high turnover) both exhibited by its symptoms. Job Demands-Resources model postulates that job demands increase with lack of resources like role clarity, supportive leadership and development opportunities, engagement declines, and burnout and turnover intentions increase (Bakker and Demerouti, 2007). The reason is that a plausible trend is that poor cross-functional coordination and lack of priorities results in rework, quality and customer dissatisfaction leading to increased stress and retention drop. </w:t>
      </w:r>
      <w:r>
        <w:t xml:space="preserve"> </w:t>
      </w:r>
      <w:r w:rsidRPr="0050359E">
        <w:t>This information allows the leadership team to focus priorities on interventions and to establish quantifiable objectives.</w:t>
      </w:r>
    </w:p>
    <w:p w:rsidR="00462ABD" w:rsidRDefault="00000000" w:rsidP="001123B8">
      <w:r>
        <w:t>Table 1. Scenario symptoms</w:t>
      </w:r>
    </w:p>
    <w:tbl>
      <w:tblPr>
        <w:tblStyle w:val="TableGrid"/>
        <w:tblW w:w="0" w:type="auto"/>
        <w:jc w:val="center"/>
        <w:tblLook w:val="04A0" w:firstRow="1" w:lastRow="0" w:firstColumn="1" w:lastColumn="0" w:noHBand="0" w:noVBand="1"/>
      </w:tblPr>
      <w:tblGrid>
        <w:gridCol w:w="2880"/>
        <w:gridCol w:w="3312"/>
        <w:gridCol w:w="3168"/>
      </w:tblGrid>
      <w:tr w:rsidR="00462ABD" w:rsidRPr="0095630E">
        <w:trPr>
          <w:cantSplit/>
          <w:jc w:val="center"/>
        </w:trPr>
        <w:tc>
          <w:tcPr>
            <w:tcW w:w="2880" w:type="dxa"/>
          </w:tcPr>
          <w:p w:rsidR="00462ABD" w:rsidRPr="0095630E" w:rsidRDefault="00000000" w:rsidP="001123B8">
            <w:pPr>
              <w:rPr>
                <w:szCs w:val="28"/>
              </w:rPr>
            </w:pPr>
            <w:r w:rsidRPr="0095630E">
              <w:rPr>
                <w:b/>
                <w:szCs w:val="28"/>
              </w:rPr>
              <w:t>Scenario symptom</w:t>
            </w:r>
          </w:p>
        </w:tc>
        <w:tc>
          <w:tcPr>
            <w:tcW w:w="3312" w:type="dxa"/>
          </w:tcPr>
          <w:p w:rsidR="00462ABD" w:rsidRPr="0095630E" w:rsidRDefault="00000000" w:rsidP="001123B8">
            <w:pPr>
              <w:rPr>
                <w:szCs w:val="28"/>
              </w:rPr>
            </w:pPr>
            <w:r w:rsidRPr="0095630E">
              <w:rPr>
                <w:b/>
                <w:szCs w:val="28"/>
              </w:rPr>
              <w:t>Likely cause (work and culture)</w:t>
            </w:r>
          </w:p>
        </w:tc>
        <w:tc>
          <w:tcPr>
            <w:tcW w:w="3168" w:type="dxa"/>
          </w:tcPr>
          <w:p w:rsidR="00462ABD" w:rsidRPr="0095630E" w:rsidRDefault="00000000" w:rsidP="001123B8">
            <w:pPr>
              <w:rPr>
                <w:szCs w:val="28"/>
              </w:rPr>
            </w:pPr>
            <w:r w:rsidRPr="0095630E">
              <w:rPr>
                <w:b/>
                <w:szCs w:val="28"/>
              </w:rPr>
              <w:t>Evidence to collect</w:t>
            </w:r>
          </w:p>
        </w:tc>
      </w:tr>
      <w:tr w:rsidR="00462ABD" w:rsidRPr="0095630E">
        <w:trPr>
          <w:cantSplit/>
          <w:jc w:val="center"/>
        </w:trPr>
        <w:tc>
          <w:tcPr>
            <w:tcW w:w="2880" w:type="dxa"/>
          </w:tcPr>
          <w:p w:rsidR="00462ABD" w:rsidRPr="0095630E" w:rsidRDefault="00000000" w:rsidP="001123B8">
            <w:pPr>
              <w:rPr>
                <w:szCs w:val="28"/>
              </w:rPr>
            </w:pPr>
            <w:r w:rsidRPr="0095630E">
              <w:rPr>
                <w:szCs w:val="28"/>
              </w:rPr>
              <w:t>Flat growth</w:t>
            </w:r>
          </w:p>
        </w:tc>
        <w:tc>
          <w:tcPr>
            <w:tcW w:w="3312" w:type="dxa"/>
          </w:tcPr>
          <w:p w:rsidR="00462ABD" w:rsidRPr="0095630E" w:rsidRDefault="00000000" w:rsidP="001123B8">
            <w:pPr>
              <w:rPr>
                <w:szCs w:val="28"/>
              </w:rPr>
            </w:pPr>
            <w:r w:rsidRPr="0095630E">
              <w:rPr>
                <w:szCs w:val="28"/>
              </w:rPr>
              <w:t>Slow idea-to-value pipeline; weak prioritisation and portfolio governance</w:t>
            </w:r>
          </w:p>
        </w:tc>
        <w:tc>
          <w:tcPr>
            <w:tcW w:w="3168" w:type="dxa"/>
          </w:tcPr>
          <w:p w:rsidR="00462ABD" w:rsidRPr="0095630E" w:rsidRDefault="00000000" w:rsidP="001123B8">
            <w:pPr>
              <w:rPr>
                <w:szCs w:val="28"/>
              </w:rPr>
            </w:pPr>
            <w:r w:rsidRPr="0095630E">
              <w:rPr>
                <w:szCs w:val="28"/>
              </w:rPr>
              <w:t>Cycle time, throughput, roadmap stability, product usage and churn</w:t>
            </w:r>
          </w:p>
        </w:tc>
      </w:tr>
      <w:tr w:rsidR="00462ABD" w:rsidRPr="0095630E">
        <w:trPr>
          <w:cantSplit/>
          <w:jc w:val="center"/>
        </w:trPr>
        <w:tc>
          <w:tcPr>
            <w:tcW w:w="2880" w:type="dxa"/>
          </w:tcPr>
          <w:p w:rsidR="00462ABD" w:rsidRPr="0095630E" w:rsidRDefault="00000000" w:rsidP="001123B8">
            <w:pPr>
              <w:rPr>
                <w:szCs w:val="28"/>
              </w:rPr>
            </w:pPr>
            <w:r w:rsidRPr="0095630E">
              <w:rPr>
                <w:szCs w:val="28"/>
              </w:rPr>
              <w:t>Falling customer satisfaction</w:t>
            </w:r>
          </w:p>
        </w:tc>
        <w:tc>
          <w:tcPr>
            <w:tcW w:w="3312" w:type="dxa"/>
          </w:tcPr>
          <w:p w:rsidR="00462ABD" w:rsidRPr="0095630E" w:rsidRDefault="00000000" w:rsidP="001123B8">
            <w:pPr>
              <w:rPr>
                <w:szCs w:val="28"/>
              </w:rPr>
            </w:pPr>
            <w:r w:rsidRPr="0095630E">
              <w:rPr>
                <w:szCs w:val="28"/>
              </w:rPr>
              <w:t>Customer feedback not integrated; defect leakage; handoff friction</w:t>
            </w:r>
          </w:p>
        </w:tc>
        <w:tc>
          <w:tcPr>
            <w:tcW w:w="3168" w:type="dxa"/>
          </w:tcPr>
          <w:p w:rsidR="00462ABD" w:rsidRPr="0095630E" w:rsidRDefault="00000000" w:rsidP="001123B8">
            <w:pPr>
              <w:rPr>
                <w:szCs w:val="28"/>
              </w:rPr>
            </w:pPr>
            <w:r w:rsidRPr="0095630E">
              <w:rPr>
                <w:szCs w:val="28"/>
              </w:rPr>
              <w:t>CSAT/NPS trends, defect leakage rate, support tickets, customer interviews</w:t>
            </w:r>
          </w:p>
        </w:tc>
      </w:tr>
      <w:tr w:rsidR="00462ABD" w:rsidRPr="0095630E">
        <w:trPr>
          <w:cantSplit/>
          <w:jc w:val="center"/>
        </w:trPr>
        <w:tc>
          <w:tcPr>
            <w:tcW w:w="2880" w:type="dxa"/>
          </w:tcPr>
          <w:p w:rsidR="00462ABD" w:rsidRPr="0095630E" w:rsidRDefault="00000000" w:rsidP="001123B8">
            <w:pPr>
              <w:rPr>
                <w:szCs w:val="28"/>
              </w:rPr>
            </w:pPr>
            <w:r w:rsidRPr="0095630E">
              <w:rPr>
                <w:szCs w:val="28"/>
              </w:rPr>
              <w:t>High turnover</w:t>
            </w:r>
          </w:p>
        </w:tc>
        <w:tc>
          <w:tcPr>
            <w:tcW w:w="3312" w:type="dxa"/>
          </w:tcPr>
          <w:p w:rsidR="00462ABD" w:rsidRPr="0095630E" w:rsidRDefault="00000000" w:rsidP="001123B8">
            <w:pPr>
              <w:rPr>
                <w:szCs w:val="28"/>
              </w:rPr>
            </w:pPr>
            <w:r w:rsidRPr="0095630E">
              <w:rPr>
                <w:szCs w:val="28"/>
              </w:rPr>
              <w:t>High demands and low resources; limited growth opportunities; low psychological safety</w:t>
            </w:r>
          </w:p>
        </w:tc>
        <w:tc>
          <w:tcPr>
            <w:tcW w:w="3168" w:type="dxa"/>
          </w:tcPr>
          <w:p w:rsidR="00462ABD" w:rsidRPr="0095630E" w:rsidRDefault="00000000" w:rsidP="001123B8">
            <w:pPr>
              <w:rPr>
                <w:szCs w:val="28"/>
              </w:rPr>
            </w:pPr>
            <w:r w:rsidRPr="0095630E">
              <w:rPr>
                <w:szCs w:val="28"/>
              </w:rPr>
              <w:t>Exit themes, engagement, manager span of control, internal mobility rates, stay interviews</w:t>
            </w:r>
          </w:p>
        </w:tc>
      </w:tr>
    </w:tbl>
    <w:p w:rsidR="00462ABD" w:rsidRPr="00C30C5F" w:rsidRDefault="00000000" w:rsidP="00C30C5F">
      <w:pPr>
        <w:pStyle w:val="Heading1"/>
        <w:rPr>
          <w:rFonts w:ascii="Arial" w:hAnsi="Arial" w:cs="Arial"/>
        </w:rPr>
      </w:pPr>
      <w:bookmarkStart w:id="3" w:name="_Toc222260274"/>
      <w:r w:rsidRPr="00C30C5F">
        <w:rPr>
          <w:rFonts w:ascii="Arial" w:hAnsi="Arial" w:cs="Arial"/>
          <w:color w:val="000000" w:themeColor="text1"/>
          <w:sz w:val="32"/>
          <w:szCs w:val="32"/>
        </w:rPr>
        <w:lastRenderedPageBreak/>
        <w:t>Recommended cultural and structural initiatives that embed innovation</w:t>
      </w:r>
      <w:bookmarkEnd w:id="3"/>
    </w:p>
    <w:p w:rsidR="0050359E" w:rsidRDefault="0050359E" w:rsidP="0050359E">
      <w:pPr>
        <w:jc w:val="both"/>
      </w:pPr>
      <w:r w:rsidRPr="0050359E">
        <w:t>The process of innovation must be considered as a repeatable organizational ability and not as some heroic acts. According to research on the implementation of innovation, ideas only bring value when teams are organized, focused on common goals and provided with active support through adoption (West, 2002). Massive agile evidence also demonstrates that the success hinges on the roles clarified, the commitment to leadership and coaching, and measurement that is aligned towards learning and value delivery (</w:t>
      </w:r>
      <w:proofErr w:type="spellStart"/>
      <w:r w:rsidRPr="0050359E">
        <w:t>Uludag</w:t>
      </w:r>
      <w:proofErr w:type="spellEnd"/>
      <w:r w:rsidRPr="0050359E">
        <w:t xml:space="preserve"> et al., 2022). Aether must then integrate cultural routines with structural processes that transform the manner of prioritization, performance and magnitude of work.</w:t>
      </w:r>
    </w:p>
    <w:p w:rsidR="00462ABD" w:rsidRDefault="0050359E" w:rsidP="001123B8">
      <w:r>
        <w:t>Table 2: Integrated initiative set</w:t>
      </w:r>
    </w:p>
    <w:tbl>
      <w:tblPr>
        <w:tblStyle w:val="TableGrid"/>
        <w:tblW w:w="0" w:type="auto"/>
        <w:jc w:val="center"/>
        <w:tblLook w:val="04A0" w:firstRow="1" w:lastRow="0" w:firstColumn="1" w:lastColumn="0" w:noHBand="0" w:noVBand="1"/>
      </w:tblPr>
      <w:tblGrid>
        <w:gridCol w:w="1999"/>
        <w:gridCol w:w="2387"/>
        <w:gridCol w:w="3309"/>
        <w:gridCol w:w="1701"/>
      </w:tblGrid>
      <w:tr w:rsidR="00462ABD" w:rsidRPr="0050359E">
        <w:trPr>
          <w:cantSplit/>
          <w:jc w:val="center"/>
        </w:trPr>
        <w:tc>
          <w:tcPr>
            <w:tcW w:w="2016" w:type="dxa"/>
          </w:tcPr>
          <w:p w:rsidR="00462ABD" w:rsidRPr="0050359E" w:rsidRDefault="00000000" w:rsidP="001123B8">
            <w:pPr>
              <w:rPr>
                <w:sz w:val="22"/>
                <w:szCs w:val="24"/>
              </w:rPr>
            </w:pPr>
            <w:r w:rsidRPr="0050359E">
              <w:rPr>
                <w:b/>
                <w:sz w:val="22"/>
                <w:szCs w:val="24"/>
              </w:rPr>
              <w:t>Initiative</w:t>
            </w:r>
          </w:p>
        </w:tc>
        <w:tc>
          <w:tcPr>
            <w:tcW w:w="2448" w:type="dxa"/>
          </w:tcPr>
          <w:p w:rsidR="00462ABD" w:rsidRPr="0050359E" w:rsidRDefault="00000000" w:rsidP="001123B8">
            <w:pPr>
              <w:rPr>
                <w:sz w:val="22"/>
                <w:szCs w:val="24"/>
              </w:rPr>
            </w:pPr>
            <w:r w:rsidRPr="0050359E">
              <w:rPr>
                <w:b/>
                <w:sz w:val="22"/>
                <w:szCs w:val="24"/>
              </w:rPr>
              <w:t>Purpose</w:t>
            </w:r>
          </w:p>
        </w:tc>
        <w:tc>
          <w:tcPr>
            <w:tcW w:w="3456" w:type="dxa"/>
          </w:tcPr>
          <w:p w:rsidR="00462ABD" w:rsidRPr="0050359E" w:rsidRDefault="00000000" w:rsidP="001123B8">
            <w:pPr>
              <w:rPr>
                <w:sz w:val="22"/>
                <w:szCs w:val="24"/>
              </w:rPr>
            </w:pPr>
            <w:r w:rsidRPr="0050359E">
              <w:rPr>
                <w:b/>
                <w:sz w:val="22"/>
                <w:szCs w:val="24"/>
              </w:rPr>
              <w:t>Key design elements</w:t>
            </w:r>
          </w:p>
        </w:tc>
        <w:tc>
          <w:tcPr>
            <w:tcW w:w="1728" w:type="dxa"/>
          </w:tcPr>
          <w:p w:rsidR="00462ABD" w:rsidRPr="0050359E" w:rsidRDefault="00000000" w:rsidP="001123B8">
            <w:pPr>
              <w:rPr>
                <w:sz w:val="22"/>
                <w:szCs w:val="24"/>
              </w:rPr>
            </w:pPr>
            <w:r w:rsidRPr="0050359E">
              <w:rPr>
                <w:b/>
                <w:sz w:val="22"/>
                <w:szCs w:val="24"/>
              </w:rPr>
              <w:t>Evidence base (examples)</w:t>
            </w:r>
          </w:p>
        </w:tc>
      </w:tr>
      <w:tr w:rsidR="00462ABD" w:rsidRPr="0050359E">
        <w:trPr>
          <w:cantSplit/>
          <w:jc w:val="center"/>
        </w:trPr>
        <w:tc>
          <w:tcPr>
            <w:tcW w:w="2016" w:type="dxa"/>
          </w:tcPr>
          <w:p w:rsidR="00462ABD" w:rsidRPr="0050359E" w:rsidRDefault="00000000" w:rsidP="001123B8">
            <w:pPr>
              <w:rPr>
                <w:sz w:val="22"/>
                <w:szCs w:val="24"/>
              </w:rPr>
            </w:pPr>
            <w:r w:rsidRPr="0050359E">
              <w:rPr>
                <w:sz w:val="22"/>
                <w:szCs w:val="24"/>
              </w:rPr>
              <w:t>Innovation sprints</w:t>
            </w:r>
          </w:p>
        </w:tc>
        <w:tc>
          <w:tcPr>
            <w:tcW w:w="2448" w:type="dxa"/>
          </w:tcPr>
          <w:p w:rsidR="00462ABD" w:rsidRPr="0050359E" w:rsidRDefault="00000000" w:rsidP="001123B8">
            <w:pPr>
              <w:rPr>
                <w:sz w:val="22"/>
                <w:szCs w:val="24"/>
              </w:rPr>
            </w:pPr>
            <w:r w:rsidRPr="0050359E">
              <w:rPr>
                <w:sz w:val="22"/>
                <w:szCs w:val="24"/>
              </w:rPr>
              <w:t>Increase learning speed and reduce waste by testing assumptions early</w:t>
            </w:r>
          </w:p>
        </w:tc>
        <w:tc>
          <w:tcPr>
            <w:tcW w:w="3456" w:type="dxa"/>
          </w:tcPr>
          <w:p w:rsidR="00462ABD" w:rsidRPr="0050359E" w:rsidRDefault="0050359E" w:rsidP="001123B8">
            <w:pPr>
              <w:rPr>
                <w:sz w:val="22"/>
                <w:szCs w:val="24"/>
              </w:rPr>
            </w:pPr>
            <w:r w:rsidRPr="0050359E">
              <w:rPr>
                <w:sz w:val="22"/>
                <w:szCs w:val="24"/>
              </w:rPr>
              <w:t>2–4-week cycles; explicit hypotheses; rapid prototyping; user testing; sprint review with learning log; decision gate on next step</w:t>
            </w:r>
          </w:p>
        </w:tc>
        <w:tc>
          <w:tcPr>
            <w:tcW w:w="1728" w:type="dxa"/>
          </w:tcPr>
          <w:p w:rsidR="00462ABD" w:rsidRPr="0050359E" w:rsidRDefault="00000000" w:rsidP="001123B8">
            <w:pPr>
              <w:rPr>
                <w:sz w:val="22"/>
                <w:szCs w:val="24"/>
              </w:rPr>
            </w:pPr>
            <w:r w:rsidRPr="0050359E">
              <w:rPr>
                <w:sz w:val="22"/>
                <w:szCs w:val="24"/>
              </w:rPr>
              <w:t>Amabile and Pratt (2016); Edmondson and Bransby (2023)</w:t>
            </w:r>
          </w:p>
        </w:tc>
      </w:tr>
      <w:tr w:rsidR="00462ABD" w:rsidRPr="0050359E">
        <w:trPr>
          <w:cantSplit/>
          <w:jc w:val="center"/>
        </w:trPr>
        <w:tc>
          <w:tcPr>
            <w:tcW w:w="2016" w:type="dxa"/>
          </w:tcPr>
          <w:p w:rsidR="00462ABD" w:rsidRPr="0050359E" w:rsidRDefault="00000000" w:rsidP="001123B8">
            <w:pPr>
              <w:rPr>
                <w:sz w:val="22"/>
                <w:szCs w:val="24"/>
              </w:rPr>
            </w:pPr>
            <w:r w:rsidRPr="0050359E">
              <w:rPr>
                <w:sz w:val="22"/>
                <w:szCs w:val="24"/>
              </w:rPr>
              <w:t>Intrapreneurship pathway</w:t>
            </w:r>
          </w:p>
        </w:tc>
        <w:tc>
          <w:tcPr>
            <w:tcW w:w="2448" w:type="dxa"/>
          </w:tcPr>
          <w:p w:rsidR="00462ABD" w:rsidRPr="0050359E" w:rsidRDefault="00000000" w:rsidP="001123B8">
            <w:pPr>
              <w:rPr>
                <w:sz w:val="22"/>
                <w:szCs w:val="24"/>
              </w:rPr>
            </w:pPr>
            <w:r w:rsidRPr="0050359E">
              <w:rPr>
                <w:sz w:val="22"/>
                <w:szCs w:val="24"/>
              </w:rPr>
              <w:t>Retain entrepreneurial talent and convert ideas into scalable products</w:t>
            </w:r>
          </w:p>
        </w:tc>
        <w:tc>
          <w:tcPr>
            <w:tcW w:w="3456" w:type="dxa"/>
          </w:tcPr>
          <w:p w:rsidR="00462ABD" w:rsidRPr="0050359E" w:rsidRDefault="00000000" w:rsidP="001123B8">
            <w:pPr>
              <w:rPr>
                <w:sz w:val="22"/>
                <w:szCs w:val="24"/>
              </w:rPr>
            </w:pPr>
            <w:r w:rsidRPr="0050359E">
              <w:rPr>
                <w:sz w:val="22"/>
                <w:szCs w:val="24"/>
              </w:rPr>
              <w:t>Transparent entry criteria; protected time; lightweight funding gates; mentoring; rotation into squads; learning-based recognition</w:t>
            </w:r>
          </w:p>
        </w:tc>
        <w:tc>
          <w:tcPr>
            <w:tcW w:w="1728" w:type="dxa"/>
          </w:tcPr>
          <w:p w:rsidR="00462ABD" w:rsidRPr="0050359E" w:rsidRDefault="00000000" w:rsidP="001123B8">
            <w:pPr>
              <w:rPr>
                <w:sz w:val="22"/>
                <w:szCs w:val="24"/>
              </w:rPr>
            </w:pPr>
            <w:r w:rsidRPr="0050359E">
              <w:rPr>
                <w:sz w:val="22"/>
                <w:szCs w:val="24"/>
              </w:rPr>
              <w:t>Gibson and Birkinshaw (2004); Hernández-Perlines et al. (2022)</w:t>
            </w:r>
          </w:p>
        </w:tc>
      </w:tr>
      <w:tr w:rsidR="00462ABD" w:rsidRPr="0050359E">
        <w:trPr>
          <w:cantSplit/>
          <w:jc w:val="center"/>
        </w:trPr>
        <w:tc>
          <w:tcPr>
            <w:tcW w:w="2016" w:type="dxa"/>
          </w:tcPr>
          <w:p w:rsidR="00462ABD" w:rsidRPr="0050359E" w:rsidRDefault="00000000" w:rsidP="001123B8">
            <w:pPr>
              <w:rPr>
                <w:sz w:val="22"/>
                <w:szCs w:val="24"/>
              </w:rPr>
            </w:pPr>
            <w:r w:rsidRPr="0050359E">
              <w:rPr>
                <w:sz w:val="22"/>
                <w:szCs w:val="24"/>
              </w:rPr>
              <w:t>Cross-functional product squads</w:t>
            </w:r>
          </w:p>
        </w:tc>
        <w:tc>
          <w:tcPr>
            <w:tcW w:w="2448" w:type="dxa"/>
          </w:tcPr>
          <w:p w:rsidR="00462ABD" w:rsidRPr="0050359E" w:rsidRDefault="00000000" w:rsidP="001123B8">
            <w:pPr>
              <w:rPr>
                <w:sz w:val="22"/>
                <w:szCs w:val="24"/>
              </w:rPr>
            </w:pPr>
            <w:r w:rsidRPr="0050359E">
              <w:rPr>
                <w:sz w:val="22"/>
                <w:szCs w:val="24"/>
              </w:rPr>
              <w:t>Improve end-to-end ownership and reduce handoffs</w:t>
            </w:r>
          </w:p>
        </w:tc>
        <w:tc>
          <w:tcPr>
            <w:tcW w:w="3456" w:type="dxa"/>
          </w:tcPr>
          <w:p w:rsidR="00462ABD" w:rsidRPr="0050359E" w:rsidRDefault="00000000" w:rsidP="001123B8">
            <w:pPr>
              <w:rPr>
                <w:sz w:val="22"/>
                <w:szCs w:val="24"/>
              </w:rPr>
            </w:pPr>
            <w:r w:rsidRPr="0050359E">
              <w:rPr>
                <w:sz w:val="22"/>
                <w:szCs w:val="24"/>
              </w:rPr>
              <w:t>Stable squads with product owner; shared OKRs; embedded quality; clear interface roles for architecture and security</w:t>
            </w:r>
          </w:p>
        </w:tc>
        <w:tc>
          <w:tcPr>
            <w:tcW w:w="1728" w:type="dxa"/>
          </w:tcPr>
          <w:p w:rsidR="00462ABD" w:rsidRPr="0050359E" w:rsidRDefault="00000000" w:rsidP="001123B8">
            <w:pPr>
              <w:rPr>
                <w:sz w:val="22"/>
                <w:szCs w:val="24"/>
              </w:rPr>
            </w:pPr>
            <w:r w:rsidRPr="0050359E">
              <w:rPr>
                <w:sz w:val="22"/>
                <w:szCs w:val="24"/>
                <w:lang w:val="fi-FI"/>
              </w:rPr>
              <w:t xml:space="preserve">Uludağ et al. </w:t>
            </w:r>
            <w:r w:rsidRPr="0050359E">
              <w:rPr>
                <w:sz w:val="22"/>
                <w:szCs w:val="24"/>
              </w:rPr>
              <w:t>(2022)</w:t>
            </w:r>
          </w:p>
        </w:tc>
      </w:tr>
      <w:tr w:rsidR="00462ABD" w:rsidRPr="0050359E">
        <w:trPr>
          <w:cantSplit/>
          <w:jc w:val="center"/>
        </w:trPr>
        <w:tc>
          <w:tcPr>
            <w:tcW w:w="2016" w:type="dxa"/>
          </w:tcPr>
          <w:p w:rsidR="00462ABD" w:rsidRPr="0050359E" w:rsidRDefault="00000000" w:rsidP="001123B8">
            <w:pPr>
              <w:rPr>
                <w:sz w:val="22"/>
                <w:szCs w:val="24"/>
              </w:rPr>
            </w:pPr>
            <w:r w:rsidRPr="0050359E">
              <w:rPr>
                <w:sz w:val="22"/>
                <w:szCs w:val="24"/>
              </w:rPr>
              <w:lastRenderedPageBreak/>
              <w:t>Psychological safety routines</w:t>
            </w:r>
          </w:p>
        </w:tc>
        <w:tc>
          <w:tcPr>
            <w:tcW w:w="2448" w:type="dxa"/>
          </w:tcPr>
          <w:p w:rsidR="00462ABD" w:rsidRPr="0050359E" w:rsidRDefault="00000000" w:rsidP="001123B8">
            <w:pPr>
              <w:rPr>
                <w:sz w:val="22"/>
                <w:szCs w:val="24"/>
              </w:rPr>
            </w:pPr>
            <w:r w:rsidRPr="0050359E">
              <w:rPr>
                <w:sz w:val="22"/>
                <w:szCs w:val="24"/>
              </w:rPr>
              <w:t>Increase speaking up, learning and early issue escalation</w:t>
            </w:r>
          </w:p>
        </w:tc>
        <w:tc>
          <w:tcPr>
            <w:tcW w:w="3456" w:type="dxa"/>
          </w:tcPr>
          <w:p w:rsidR="00462ABD" w:rsidRPr="0050359E" w:rsidRDefault="00000000" w:rsidP="001123B8">
            <w:pPr>
              <w:rPr>
                <w:sz w:val="22"/>
                <w:szCs w:val="24"/>
              </w:rPr>
            </w:pPr>
            <w:r w:rsidRPr="0050359E">
              <w:rPr>
                <w:sz w:val="22"/>
                <w:szCs w:val="24"/>
              </w:rPr>
              <w:t>Leader inquiry; blameless retrospectives; after-action reviews; visible follow-up on issues; escalation without penalty</w:t>
            </w:r>
          </w:p>
        </w:tc>
        <w:tc>
          <w:tcPr>
            <w:tcW w:w="1728" w:type="dxa"/>
          </w:tcPr>
          <w:p w:rsidR="00462ABD" w:rsidRPr="0050359E" w:rsidRDefault="00000000" w:rsidP="001123B8">
            <w:pPr>
              <w:rPr>
                <w:sz w:val="22"/>
                <w:szCs w:val="24"/>
              </w:rPr>
            </w:pPr>
            <w:r w:rsidRPr="0050359E">
              <w:rPr>
                <w:sz w:val="22"/>
                <w:szCs w:val="24"/>
              </w:rPr>
              <w:t>Frazier et al. (2017)</w:t>
            </w:r>
          </w:p>
        </w:tc>
      </w:tr>
      <w:tr w:rsidR="00462ABD" w:rsidRPr="0050359E">
        <w:trPr>
          <w:cantSplit/>
          <w:jc w:val="center"/>
        </w:trPr>
        <w:tc>
          <w:tcPr>
            <w:tcW w:w="2016" w:type="dxa"/>
          </w:tcPr>
          <w:p w:rsidR="00462ABD" w:rsidRPr="0050359E" w:rsidRDefault="00000000" w:rsidP="001123B8">
            <w:pPr>
              <w:rPr>
                <w:sz w:val="22"/>
                <w:szCs w:val="24"/>
              </w:rPr>
            </w:pPr>
            <w:r w:rsidRPr="0050359E">
              <w:rPr>
                <w:sz w:val="22"/>
                <w:szCs w:val="24"/>
              </w:rPr>
              <w:t>Agile leadership and coaching</w:t>
            </w:r>
          </w:p>
        </w:tc>
        <w:tc>
          <w:tcPr>
            <w:tcW w:w="2448" w:type="dxa"/>
          </w:tcPr>
          <w:p w:rsidR="00462ABD" w:rsidRPr="0050359E" w:rsidRDefault="00000000" w:rsidP="001123B8">
            <w:pPr>
              <w:rPr>
                <w:sz w:val="22"/>
                <w:szCs w:val="24"/>
              </w:rPr>
            </w:pPr>
            <w:r w:rsidRPr="0050359E">
              <w:rPr>
                <w:sz w:val="22"/>
                <w:szCs w:val="24"/>
              </w:rPr>
              <w:t>Sustain behaviour change and reduce superficial adoption</w:t>
            </w:r>
          </w:p>
        </w:tc>
        <w:tc>
          <w:tcPr>
            <w:tcW w:w="3456" w:type="dxa"/>
          </w:tcPr>
          <w:p w:rsidR="00462ABD" w:rsidRPr="0050359E" w:rsidRDefault="00000000" w:rsidP="001123B8">
            <w:pPr>
              <w:rPr>
                <w:sz w:val="22"/>
                <w:szCs w:val="24"/>
              </w:rPr>
            </w:pPr>
            <w:r w:rsidRPr="0050359E">
              <w:rPr>
                <w:sz w:val="22"/>
                <w:szCs w:val="24"/>
              </w:rPr>
              <w:t>Leadership expectations; manager coaching; community of practice; train-the-trainer model; cadence-based review of blockers</w:t>
            </w:r>
          </w:p>
        </w:tc>
        <w:tc>
          <w:tcPr>
            <w:tcW w:w="1728" w:type="dxa"/>
          </w:tcPr>
          <w:p w:rsidR="00462ABD" w:rsidRPr="0050359E" w:rsidRDefault="00000000" w:rsidP="001123B8">
            <w:pPr>
              <w:rPr>
                <w:sz w:val="22"/>
                <w:szCs w:val="24"/>
              </w:rPr>
            </w:pPr>
            <w:r w:rsidRPr="0050359E">
              <w:rPr>
                <w:sz w:val="22"/>
                <w:szCs w:val="24"/>
              </w:rPr>
              <w:t>Judge and Piccolo (2004); Stray et al. (2020)</w:t>
            </w:r>
          </w:p>
        </w:tc>
      </w:tr>
    </w:tbl>
    <w:p w:rsidR="00462ABD" w:rsidRPr="0050359E" w:rsidRDefault="00000000" w:rsidP="0050359E">
      <w:pPr>
        <w:jc w:val="both"/>
        <w:rPr>
          <w:i/>
          <w:iCs/>
        </w:rPr>
      </w:pPr>
      <w:r w:rsidRPr="0050359E">
        <w:rPr>
          <w:i/>
          <w:iCs/>
        </w:rPr>
        <w:t>Note: The initiative set should be sequenced to build foundational safety and clarity before scaling experimentation at pace.</w:t>
      </w:r>
    </w:p>
    <w:p w:rsidR="00462ABD" w:rsidRPr="00C30C5F" w:rsidRDefault="00000000" w:rsidP="00C30C5F">
      <w:pPr>
        <w:pStyle w:val="Heading2"/>
        <w:rPr>
          <w:rFonts w:ascii="Arial" w:hAnsi="Arial" w:cs="Arial"/>
          <w:color w:val="000000" w:themeColor="text1"/>
          <w:sz w:val="28"/>
          <w:szCs w:val="28"/>
        </w:rPr>
      </w:pPr>
      <w:bookmarkStart w:id="4" w:name="_Toc222260275"/>
      <w:r w:rsidRPr="00C30C5F">
        <w:rPr>
          <w:rFonts w:ascii="Arial" w:hAnsi="Arial" w:cs="Arial"/>
          <w:color w:val="000000" w:themeColor="text1"/>
          <w:sz w:val="28"/>
          <w:szCs w:val="28"/>
        </w:rPr>
        <w:t>Operating blueprint and governance</w:t>
      </w:r>
      <w:bookmarkEnd w:id="4"/>
    </w:p>
    <w:p w:rsidR="0050359E" w:rsidRDefault="0050359E" w:rsidP="0050359E">
      <w:pPr>
        <w:jc w:val="both"/>
      </w:pPr>
      <w:r w:rsidRPr="0050359E">
        <w:t xml:space="preserve">Figure 1 presents a running blueprint, which connects strategy themes to discovery, experimentation and scaled delivery. The governance must safeguard experimentation and still have risk measures. A light portfolio board ought to invest capacity in three streams; core delivery, adjacent improvements and exploratory bets. The decision gates ought to measure the quality of evidence, user value, feasibility and exposure to risk. This enhances the organizational ambidexterity as it allows exploration without compromising predictable delivery (Gibson and Birkinshaw, 2004; </w:t>
      </w:r>
      <w:proofErr w:type="spellStart"/>
      <w:r w:rsidRPr="0050359E">
        <w:t>Kassotaki</w:t>
      </w:r>
      <w:proofErr w:type="spellEnd"/>
      <w:r w:rsidRPr="0050359E">
        <w:t>, 2022).</w:t>
      </w:r>
    </w:p>
    <w:p w:rsidR="00462ABD" w:rsidRPr="0050359E" w:rsidRDefault="00000000" w:rsidP="001123B8">
      <w:pPr>
        <w:rPr>
          <w:bCs/>
        </w:rPr>
      </w:pPr>
      <w:r w:rsidRPr="0050359E">
        <w:rPr>
          <w:bCs/>
        </w:rPr>
        <w:t xml:space="preserve">Figure 1. Operating blueprint </w:t>
      </w:r>
    </w:p>
    <w:p w:rsidR="00462ABD" w:rsidRDefault="00000000" w:rsidP="001123B8">
      <w:r>
        <w:rPr>
          <w:noProof/>
        </w:rPr>
        <w:drawing>
          <wp:inline distT="0" distB="0" distL="0" distR="0">
            <wp:extent cx="6010101" cy="21526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operating_blueprint_new.png"/>
                    <pic:cNvPicPr/>
                  </pic:nvPicPr>
                  <pic:blipFill rotWithShape="1">
                    <a:blip r:embed="rId8"/>
                    <a:srcRect t="8975"/>
                    <a:stretch>
                      <a:fillRect/>
                    </a:stretch>
                  </pic:blipFill>
                  <pic:spPr bwMode="auto">
                    <a:xfrm>
                      <a:off x="0" y="0"/>
                      <a:ext cx="6026266" cy="2158440"/>
                    </a:xfrm>
                    <a:prstGeom prst="rect">
                      <a:avLst/>
                    </a:prstGeom>
                    <a:ln>
                      <a:noFill/>
                    </a:ln>
                    <a:extLst>
                      <a:ext uri="{53640926-AAD7-44D8-BBD7-CCE9431645EC}">
                        <a14:shadowObscured xmlns:a14="http://schemas.microsoft.com/office/drawing/2010/main"/>
                      </a:ext>
                    </a:extLst>
                  </pic:spPr>
                </pic:pic>
              </a:graphicData>
            </a:graphic>
          </wp:inline>
        </w:drawing>
      </w:r>
    </w:p>
    <w:p w:rsidR="00462ABD" w:rsidRPr="00C30C5F" w:rsidRDefault="00000000" w:rsidP="00C30C5F">
      <w:pPr>
        <w:pStyle w:val="Heading1"/>
        <w:rPr>
          <w:rFonts w:ascii="Arial" w:hAnsi="Arial" w:cs="Arial"/>
          <w:color w:val="000000" w:themeColor="text1"/>
          <w:sz w:val="32"/>
          <w:szCs w:val="32"/>
        </w:rPr>
      </w:pPr>
      <w:bookmarkStart w:id="5" w:name="_Toc222260276"/>
      <w:r w:rsidRPr="00C30C5F">
        <w:rPr>
          <w:rFonts w:ascii="Arial" w:hAnsi="Arial" w:cs="Arial"/>
          <w:color w:val="000000" w:themeColor="text1"/>
          <w:sz w:val="32"/>
          <w:szCs w:val="32"/>
        </w:rPr>
        <w:lastRenderedPageBreak/>
        <w:t>Future of Work model (hybrid/remote) that supports collaboration and creativity</w:t>
      </w:r>
      <w:bookmarkEnd w:id="5"/>
    </w:p>
    <w:p w:rsidR="00FD3C4C" w:rsidRDefault="00FD3C4C" w:rsidP="00FD3C4C">
      <w:pPr>
        <w:jc w:val="both"/>
      </w:pPr>
      <w:r w:rsidRPr="00FD3C4C">
        <w:t>It is advisable that the hybrid-by-design model is used instead of ad hoc flexibility. The management of communication, autonomy, monitoring and work-home boundaries based on intentional work design is effective (Wang et al., 2021). Flexibility, according to field evidence, may enhance productivity but it cannot do so when fragmentation is facilitated by the lack of coordination and performance systems (Choudhury et al., 2024). In the case of Aether, hybrid has to be executed with clear team-based agreements and enterprise-wide guardrails that would safeguard equity and learning.</w:t>
      </w:r>
    </w:p>
    <w:p w:rsidR="00FD3C4C" w:rsidRDefault="00FD3C4C" w:rsidP="00FD3C4C">
      <w:pPr>
        <w:jc w:val="both"/>
      </w:pPr>
      <w:r w:rsidRPr="00FD3C4C">
        <w:t>In the case of Aether Innovations, the model is to indicate: (1) collaboration rhythms (two anchor days planning, pairing, and retrospectives), (2) asynchronous documentation and decision-making default, (3) fair access to information and opportunities irrespective of location, and (4) immediate criteria when in-person work is necessary (such as customer discovery, complex design workshop, and review of critical incidents).</w:t>
      </w:r>
    </w:p>
    <w:p w:rsidR="00FD3C4C" w:rsidRPr="00C30C5F" w:rsidRDefault="00FD3C4C" w:rsidP="00FD3C4C">
      <w:pPr>
        <w:pStyle w:val="Heading2"/>
        <w:rPr>
          <w:rFonts w:ascii="Arial" w:hAnsi="Arial" w:cs="Arial"/>
          <w:color w:val="000000" w:themeColor="text1"/>
          <w:sz w:val="28"/>
          <w:szCs w:val="28"/>
        </w:rPr>
      </w:pPr>
      <w:bookmarkStart w:id="6" w:name="_Toc222260277"/>
      <w:r w:rsidRPr="00C30C5F">
        <w:rPr>
          <w:rFonts w:ascii="Arial" w:hAnsi="Arial" w:cs="Arial"/>
          <w:color w:val="000000" w:themeColor="text1"/>
          <w:sz w:val="28"/>
          <w:szCs w:val="28"/>
        </w:rPr>
        <w:t>KPIs, measurement and evaluation</w:t>
      </w:r>
      <w:bookmarkEnd w:id="6"/>
    </w:p>
    <w:p w:rsidR="00FD3C4C" w:rsidRDefault="00FD3C4C" w:rsidP="00556826">
      <w:pPr>
        <w:jc w:val="both"/>
      </w:pPr>
      <w:r w:rsidRPr="00FD3C4C">
        <w:t>Value, flow, quality and people indicators should be combined in measurement. To prevent gaming, Aether is to employ a balanced combination of leading and lagging indicators, which are reviewed on a monthly and fortnightly basis at the portfolio and squad levels, respectively. This assessment has been illustrated in Figure 2 using a KPI dashboard. Values are scenario-based estimates that reflect the logic of measurement as opposed to audited company data.</w:t>
      </w:r>
    </w:p>
    <w:p w:rsidR="00FD3C4C" w:rsidRDefault="00FD3C4C" w:rsidP="00556826">
      <w:pPr>
        <w:jc w:val="both"/>
        <w:rPr>
          <w:bCs/>
        </w:rPr>
      </w:pPr>
      <w:r w:rsidRPr="0050359E">
        <w:rPr>
          <w:bCs/>
        </w:rPr>
        <w:t xml:space="preserve">Figure 2. Illustrative KPI dashboard for Aether Innovations </w:t>
      </w:r>
    </w:p>
    <w:p w:rsidR="00FD3C4C" w:rsidRPr="00426BAB" w:rsidRDefault="00FD3C4C" w:rsidP="00426BAB">
      <w:pPr>
        <w:rPr>
          <w:bCs/>
        </w:rPr>
      </w:pPr>
      <w:r>
        <w:rPr>
          <w:noProof/>
        </w:rPr>
        <w:lastRenderedPageBreak/>
        <w:drawing>
          <wp:inline distT="0" distB="0" distL="0" distR="0" wp14:anchorId="65BA9472" wp14:editId="41DDC7EF">
            <wp:extent cx="5970905" cy="2892829"/>
            <wp:effectExtent l="0" t="0" r="0" b="3175"/>
            <wp:docPr id="1931568175" name="Picture 19315681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kpi_dashboard_new.png"/>
                    <pic:cNvPicPr/>
                  </pic:nvPicPr>
                  <pic:blipFill>
                    <a:blip r:embed="rId9"/>
                    <a:stretch>
                      <a:fillRect/>
                    </a:stretch>
                  </pic:blipFill>
                  <pic:spPr>
                    <a:xfrm>
                      <a:off x="0" y="0"/>
                      <a:ext cx="5984876" cy="2899598"/>
                    </a:xfrm>
                    <a:prstGeom prst="rect">
                      <a:avLst/>
                    </a:prstGeom>
                  </pic:spPr>
                </pic:pic>
              </a:graphicData>
            </a:graphic>
          </wp:inline>
        </w:drawing>
      </w:r>
    </w:p>
    <w:p w:rsidR="00462ABD" w:rsidRPr="00C30C5F" w:rsidRDefault="00000000" w:rsidP="00C30C5F">
      <w:pPr>
        <w:pStyle w:val="Heading1"/>
        <w:rPr>
          <w:rFonts w:ascii="Arial" w:hAnsi="Arial" w:cs="Arial"/>
          <w:color w:val="000000" w:themeColor="text1"/>
          <w:sz w:val="32"/>
          <w:szCs w:val="32"/>
        </w:rPr>
      </w:pPr>
      <w:bookmarkStart w:id="7" w:name="_Toc222260278"/>
      <w:r w:rsidRPr="00C30C5F">
        <w:rPr>
          <w:rFonts w:ascii="Arial" w:hAnsi="Arial" w:cs="Arial"/>
          <w:color w:val="000000" w:themeColor="text1"/>
          <w:sz w:val="32"/>
          <w:szCs w:val="32"/>
        </w:rPr>
        <w:t>How the approach motivates and enables optimal performance</w:t>
      </w:r>
      <w:bookmarkEnd w:id="7"/>
    </w:p>
    <w:p w:rsidR="00426BAB" w:rsidRDefault="00426BAB" w:rsidP="00426BAB">
      <w:pPr>
        <w:jc w:val="both"/>
      </w:pPr>
      <w:r w:rsidRPr="00426BAB">
        <w:t>The program aims at empowering three mechanisms; (1) motivational quality, (2) capability and resources and (3) learning and coordination. The dynamic componential model states that domain abilities, creative thinking abilities, and intrinsic drive are determinants of creativity and are subject to the work environment impact (Amabile and Pratt, 2016). Aether can boost intrinsic motivation and persistence by boosting autonomy, autonomy, time in experimentation, and feedback on progress (Grant, 2008). Employee engagement theory suggests that meaningfulness, safety and availability determine the extent of self which people commit in their jobs (Kahn, 1990). The psychological safety routine and the behavior of leaders as well as equitable allocation of resources enhance safety and availability, whereas the innovation themes that are purpose-related enhance meaningfulness. The social exchange theory also shows that employees are more engaged in reciprocation of perceived organizational support (Saks, 2006).</w:t>
      </w:r>
    </w:p>
    <w:p w:rsidR="00426BAB" w:rsidRDefault="00426BAB" w:rsidP="00426BAB">
      <w:pPr>
        <w:jc w:val="both"/>
      </w:pPr>
      <w:r w:rsidRPr="00426BAB">
        <w:t xml:space="preserve"> The evidence of work design when working remotely emphasizes autonomy, social support, and correct monitoring as potential to decrease procrastination and work-home interference to enhance performance and wellbeing (Wang et al., 2021). On the systems level, job demands-resources framing facilitates sustainable performance by balancing </w:t>
      </w:r>
      <w:r w:rsidRPr="00426BAB">
        <w:lastRenderedPageBreak/>
        <w:t>the workload and time pressure with the resources in terms of feedback, development and control (Bakker and Demerouti, 2007).</w:t>
      </w:r>
    </w:p>
    <w:p w:rsidR="00426BAB" w:rsidRPr="00426BAB" w:rsidRDefault="00426BAB" w:rsidP="00426BAB">
      <w:pPr>
        <w:pStyle w:val="Heading2"/>
        <w:rPr>
          <w:rStyle w:val="Heading2Char"/>
          <w:rFonts w:ascii="Arial" w:hAnsi="Arial" w:cs="Arial"/>
          <w:b/>
          <w:bCs/>
          <w:color w:val="000000" w:themeColor="text1"/>
          <w:sz w:val="28"/>
          <w:szCs w:val="28"/>
        </w:rPr>
      </w:pPr>
      <w:bookmarkStart w:id="8" w:name="_Toc222260279"/>
      <w:r w:rsidRPr="00426BAB">
        <w:rPr>
          <w:rStyle w:val="Heading2Char"/>
          <w:rFonts w:ascii="Arial" w:hAnsi="Arial" w:cs="Arial"/>
          <w:b/>
          <w:bCs/>
          <w:color w:val="000000" w:themeColor="text1"/>
          <w:sz w:val="28"/>
          <w:szCs w:val="28"/>
        </w:rPr>
        <w:t>Developing AI-innovation capacity</w:t>
      </w:r>
      <w:bookmarkEnd w:id="8"/>
    </w:p>
    <w:p w:rsidR="00426BAB" w:rsidRDefault="00426BAB" w:rsidP="00426BAB">
      <w:pPr>
        <w:jc w:val="both"/>
      </w:pPr>
      <w:r w:rsidRPr="00426BAB">
        <w:t>Due to the growing integration of AI tools into software development and products, the human-AI collaboration in innovation systems should be supported. It is claimed that AI is most useful when used to supplement human judgement in uncertain and equivocal situations instead of substituting it (</w:t>
      </w:r>
      <w:proofErr w:type="spellStart"/>
      <w:r w:rsidRPr="00426BAB">
        <w:t>Jarrahi</w:t>
      </w:r>
      <w:proofErr w:type="spellEnd"/>
      <w:r w:rsidRPr="00426BAB">
        <w:t xml:space="preserve">, 2018). Another paradox in management research is an automation-augmentation paradox, where AI automates tasks and enhances the value of human abilities like problem framing, ethical reasoning and coordination (Raisch and Krakowski, 2021). </w:t>
      </w:r>
    </w:p>
    <w:p w:rsidR="00426BAB" w:rsidRDefault="00426BAB" w:rsidP="00426BAB">
      <w:pPr>
        <w:jc w:val="both"/>
      </w:pPr>
      <w:r w:rsidRPr="00426BAB">
        <w:t>Aether must consequently establish AI literacy (prompting, evaluation, bias awareness) and revise data and ethics governance within the gates of innovation and redesign jobs to allow employees to offload routine work, and spend more time on synthesis and experimentation. This enhances throughput and quality of innovation.</w:t>
      </w:r>
    </w:p>
    <w:p w:rsidR="00426BAB" w:rsidRDefault="00426BAB" w:rsidP="00426BAB">
      <w:pPr>
        <w:jc w:val="both"/>
      </w:pPr>
      <w:r w:rsidRPr="00426BAB">
        <w:t xml:space="preserve"> Aether needs to pilot the blueprint by having two customer-journey squads and 90-day cycle of changes before scaling to maintain stability in delivery. The pilot must incorporate a minimal change charter, coaching of managers, and weekly review of operations which track the experiment velocity, defect escape rate and team psychological safety.</w:t>
      </w:r>
    </w:p>
    <w:p w:rsidR="00426BAB" w:rsidRDefault="00426BAB" w:rsidP="00426BAB">
      <w:pPr>
        <w:jc w:val="both"/>
      </w:pPr>
      <w:r w:rsidRPr="00426BAB">
        <w:t xml:space="preserve"> A brief risk register must be kept to address the foreseeable points of failure like overloading squads, concentrating sprints as an addition to the work and haphazard follow-through by the leaders. This makes the intervention manageable and quantifiable and in line with evidence that change programs require visible short-term victories and leadership that is serious. This is aligned with the findings that change requires a well-defined role, coaching and review practices</w:t>
      </w:r>
      <w:r w:rsidR="000D54C1">
        <w:t>.</w:t>
      </w:r>
    </w:p>
    <w:p w:rsidR="00462ABD" w:rsidRPr="00426BAB" w:rsidRDefault="00000000" w:rsidP="00C30C5F">
      <w:pPr>
        <w:pStyle w:val="Heading1"/>
        <w:numPr>
          <w:ilvl w:val="0"/>
          <w:numId w:val="0"/>
        </w:numPr>
        <w:rPr>
          <w:rFonts w:ascii="Arial" w:hAnsi="Arial" w:cs="Arial"/>
          <w:color w:val="000000" w:themeColor="text1"/>
          <w:sz w:val="32"/>
          <w:szCs w:val="32"/>
        </w:rPr>
      </w:pPr>
      <w:bookmarkStart w:id="9" w:name="_Toc222260280"/>
      <w:r w:rsidRPr="00426BAB">
        <w:rPr>
          <w:rFonts w:ascii="Arial" w:hAnsi="Arial" w:cs="Arial"/>
          <w:color w:val="000000" w:themeColor="text1"/>
          <w:sz w:val="32"/>
          <w:szCs w:val="32"/>
        </w:rPr>
        <w:t>Conclusion</w:t>
      </w:r>
      <w:bookmarkEnd w:id="9"/>
    </w:p>
    <w:p w:rsidR="00426BAB" w:rsidRDefault="00426BAB" w:rsidP="00426BAB">
      <w:pPr>
        <w:jc w:val="both"/>
      </w:pPr>
      <w:r w:rsidRPr="00426BAB">
        <w:t xml:space="preserve">The performance issues faced by Aether are aligned with a work system that is not in line with the culture, structure and work design that does not reliably convert effort into customer value. The innovativeness of the proposed program is integrated into routine </w:t>
      </w:r>
      <w:r w:rsidRPr="00426BAB">
        <w:lastRenderedPageBreak/>
        <w:t>practices</w:t>
      </w:r>
      <w:r>
        <w:t xml:space="preserve">. </w:t>
      </w:r>
      <w:r w:rsidRPr="00426BAB">
        <w:t>Aether can enhance the learning pace, employee engagement and retention and eventually customer satisfaction and growth in case it is implemented with a gradual scaling up and well-defined risk management.</w:t>
      </w:r>
    </w:p>
    <w:p w:rsidR="00462ABD" w:rsidRDefault="00000000" w:rsidP="001123B8">
      <w:r>
        <w:br w:type="page"/>
      </w:r>
    </w:p>
    <w:p w:rsidR="00462ABD" w:rsidRPr="00D1588F" w:rsidRDefault="00000000" w:rsidP="00D1588F">
      <w:pPr>
        <w:jc w:val="center"/>
        <w:rPr>
          <w:b/>
          <w:bCs/>
          <w:sz w:val="32"/>
          <w:szCs w:val="28"/>
        </w:rPr>
      </w:pPr>
      <w:r w:rsidRPr="00D1588F">
        <w:rPr>
          <w:b/>
          <w:bCs/>
          <w:sz w:val="32"/>
          <w:szCs w:val="28"/>
        </w:rPr>
        <w:lastRenderedPageBreak/>
        <w:t>Part 2: Reflective account and plan to stay relevant in the age of AI</w:t>
      </w:r>
    </w:p>
    <w:p w:rsidR="00D1588F" w:rsidRPr="00E82F08" w:rsidRDefault="00000000" w:rsidP="00E82F08">
      <w:pPr>
        <w:pStyle w:val="Heading1"/>
        <w:numPr>
          <w:ilvl w:val="0"/>
          <w:numId w:val="0"/>
        </w:numPr>
        <w:rPr>
          <w:rFonts w:ascii="Arial" w:hAnsi="Arial" w:cs="Arial"/>
          <w:color w:val="000000" w:themeColor="text1"/>
          <w:sz w:val="32"/>
          <w:szCs w:val="32"/>
        </w:rPr>
      </w:pPr>
      <w:bookmarkStart w:id="10" w:name="_Toc222260281"/>
      <w:r w:rsidRPr="00E82F08">
        <w:rPr>
          <w:rFonts w:ascii="Arial" w:hAnsi="Arial" w:cs="Arial"/>
          <w:color w:val="000000" w:themeColor="text1"/>
          <w:sz w:val="32"/>
          <w:szCs w:val="32"/>
        </w:rPr>
        <w:t>Reflective account</w:t>
      </w:r>
      <w:bookmarkEnd w:id="10"/>
      <w:r w:rsidRPr="00E82F08">
        <w:rPr>
          <w:rFonts w:ascii="Arial" w:hAnsi="Arial" w:cs="Arial"/>
          <w:color w:val="000000" w:themeColor="text1"/>
          <w:sz w:val="32"/>
          <w:szCs w:val="32"/>
        </w:rPr>
        <w:t xml:space="preserve"> </w:t>
      </w:r>
    </w:p>
    <w:p w:rsidR="001E101F" w:rsidRPr="001E101F" w:rsidRDefault="001E101F" w:rsidP="001123B8">
      <w:pPr>
        <w:rPr>
          <w:b/>
          <w:bCs/>
        </w:rPr>
      </w:pPr>
      <w:r w:rsidRPr="001E101F">
        <w:rPr>
          <w:b/>
          <w:bCs/>
        </w:rPr>
        <w:t xml:space="preserve">Description </w:t>
      </w:r>
    </w:p>
    <w:p w:rsidR="001E101F" w:rsidRDefault="001E101F" w:rsidP="001E101F">
      <w:pPr>
        <w:jc w:val="both"/>
      </w:pPr>
      <w:r w:rsidRPr="001E101F">
        <w:t xml:space="preserve">In this module, I looked into the influence that human capital systems have on the performance of organizations, especially in dynamic areas. One of the most important learning experiences was the understanding that culture is not just the statements of values but also of the daily practices and the governance systems that control behavior. The assessment scenario presented me with the challenge of putting theory into a practical and integrated HR strategy in a technology firm with growth, turnover and customer satisfaction problems. </w:t>
      </w:r>
    </w:p>
    <w:p w:rsidR="001E101F" w:rsidRPr="001E101F" w:rsidRDefault="001E101F" w:rsidP="001E101F">
      <w:pPr>
        <w:jc w:val="both"/>
        <w:rPr>
          <w:b/>
          <w:bCs/>
        </w:rPr>
      </w:pPr>
      <w:r w:rsidRPr="001E101F">
        <w:rPr>
          <w:b/>
          <w:bCs/>
        </w:rPr>
        <w:t xml:space="preserve">Feelings </w:t>
      </w:r>
    </w:p>
    <w:p w:rsidR="001E101F" w:rsidRDefault="001E101F" w:rsidP="001E101F">
      <w:pPr>
        <w:jc w:val="both"/>
      </w:pPr>
      <w:r w:rsidRPr="001E101F">
        <w:t>Initially, I was sure in the high-level HR concepts but not as much in the ability to tie them in an operating model that leaders could deploy. I was also confused on how I would demonstrate culture interventions, without using far-fetched statements. I found myself more at ease applying the existing models and empirical evidence to explain particular practices as I read through literature.</w:t>
      </w:r>
    </w:p>
    <w:p w:rsidR="001E101F" w:rsidRPr="001E101F" w:rsidRDefault="001E101F" w:rsidP="001E101F">
      <w:pPr>
        <w:jc w:val="both"/>
        <w:rPr>
          <w:b/>
          <w:bCs/>
        </w:rPr>
      </w:pPr>
      <w:r w:rsidRPr="001E101F">
        <w:t xml:space="preserve"> </w:t>
      </w:r>
      <w:r w:rsidRPr="001E101F">
        <w:rPr>
          <w:b/>
          <w:bCs/>
        </w:rPr>
        <w:t>Evaluation</w:t>
      </w:r>
    </w:p>
    <w:p w:rsidR="001E101F" w:rsidRDefault="001E101F" w:rsidP="001E101F">
      <w:pPr>
        <w:jc w:val="both"/>
      </w:pPr>
      <w:r w:rsidRPr="001E101F">
        <w:t xml:space="preserve"> I found application of academic evidence to support practical design decisions to be the most effective aspect of my learning. To illustrate, the study on psychological safety assisted me in defining the routines that enhance speaking up and learning. The conne</w:t>
      </w:r>
      <w:r>
        <w:t>ctio</w:t>
      </w:r>
      <w:r w:rsidRPr="001E101F">
        <w:t xml:space="preserve">n of this to work design and governance enhanced the consistency of my suggestions. One such weakness was that there was a possibility of over proposing initiatives simultaneously; this made me think more in terms of sequencing, resourcing and change management. </w:t>
      </w:r>
    </w:p>
    <w:p w:rsidR="001E101F" w:rsidRPr="001E101F" w:rsidRDefault="001E101F" w:rsidP="001E101F">
      <w:pPr>
        <w:jc w:val="both"/>
        <w:rPr>
          <w:b/>
          <w:bCs/>
        </w:rPr>
      </w:pPr>
      <w:r w:rsidRPr="001E101F">
        <w:rPr>
          <w:b/>
          <w:bCs/>
        </w:rPr>
        <w:t xml:space="preserve">Analysis </w:t>
      </w:r>
    </w:p>
    <w:p w:rsidR="001E101F" w:rsidRDefault="001E101F" w:rsidP="001E101F">
      <w:pPr>
        <w:jc w:val="both"/>
      </w:pPr>
      <w:r w:rsidRPr="001E101F">
        <w:lastRenderedPageBreak/>
        <w:t xml:space="preserve">This module reaffirmed the fact that people practices are systems: recruitment, development, performance and work design interact. In the case of innovation work, psychological safety facilitates learning behavior although it needs leadership follow through and a clear decision right (Edmondson and Bransby, 2023). Another aspect that the theory of motivation assisted me in overcoming is incentives and instead concentrating on autonomy, competence and meaning (Deci and Ryan, 2000). Lastly, the data on the hybrid work revealed that flexibility could only enhance the results when accompanied by purposeful coordination norms and equitable access to information and opportunity (Wang et al., 2021). </w:t>
      </w:r>
    </w:p>
    <w:p w:rsidR="001E101F" w:rsidRDefault="001E101F" w:rsidP="001E101F">
      <w:pPr>
        <w:jc w:val="both"/>
      </w:pPr>
      <w:r w:rsidRPr="001E101F">
        <w:t>Another lesson learnt was measurement discipline. I originally had one indicator (say, engagement) that I would use to determine the improvement of culture. Nevertheless, the literature shows that results are realized in various ways and therefore a middle way perspective is required. A combination of flow (cycle time), quality (defect leakage) and customer (CSAT) and people (psychological safety and retention) indicators would make a more compelling causal narrative and minimize the threat of metric gaming. It is an evidence-based practice of HRM, which involves defining hypotheses, gathering data, and modifying interventions when signals go against assumptions.</w:t>
      </w:r>
    </w:p>
    <w:p w:rsidR="001E101F" w:rsidRPr="000D54C1" w:rsidRDefault="001E101F" w:rsidP="001E101F">
      <w:pPr>
        <w:jc w:val="both"/>
        <w:rPr>
          <w:b/>
          <w:bCs/>
        </w:rPr>
      </w:pPr>
      <w:r w:rsidRPr="000D54C1">
        <w:rPr>
          <w:b/>
          <w:bCs/>
        </w:rPr>
        <w:t xml:space="preserve"> Conclusion </w:t>
      </w:r>
    </w:p>
    <w:p w:rsidR="001E101F" w:rsidRDefault="001E101F" w:rsidP="001E101F">
      <w:pPr>
        <w:jc w:val="both"/>
      </w:pPr>
      <w:r w:rsidRPr="001E101F">
        <w:t>On the whole, my learning outcome can be described as a better understanding of how to diagnose organizational performance problems as work-system problems and recommend evidence-based integrated solutions. Now, I am confident to describe the conne</w:t>
      </w:r>
      <w:r>
        <w:t>ction</w:t>
      </w:r>
      <w:r w:rsidRPr="001E101F">
        <w:t xml:space="preserve"> between culture interventions and structural mechanisms and how to evaluate the progress in terms of balanced measures. </w:t>
      </w:r>
    </w:p>
    <w:p w:rsidR="001E101F" w:rsidRPr="000D54C1" w:rsidRDefault="001E101F" w:rsidP="001E101F">
      <w:pPr>
        <w:jc w:val="both"/>
        <w:rPr>
          <w:b/>
          <w:bCs/>
        </w:rPr>
      </w:pPr>
      <w:r w:rsidRPr="000D54C1">
        <w:rPr>
          <w:b/>
          <w:bCs/>
        </w:rPr>
        <w:t xml:space="preserve">Action plan </w:t>
      </w:r>
    </w:p>
    <w:p w:rsidR="001E101F" w:rsidRDefault="001E101F" w:rsidP="001E101F">
      <w:pPr>
        <w:jc w:val="both"/>
      </w:pPr>
      <w:r w:rsidRPr="001E101F">
        <w:t xml:space="preserve">There are three skills that I will keep on developing. First, evidence-based practice: the reading of systematic reviews and translation of results into easy decision rules to managers. Second, facilitation and coaching: practicing the way of how to conduct retrospectives, feedback conversation and cross-functional workshops to establish psychological safety. Third, data literacy: enhancing my skills in engagement, quality and flow metrics interpretation and risk leading indicators identification. To establish credibility, </w:t>
      </w:r>
      <w:r w:rsidRPr="001E101F">
        <w:lastRenderedPageBreak/>
        <w:t>I will establish monthly learning objectives, ask peers to provide feedback on them, and use the skills in small-scale projects.</w:t>
      </w:r>
    </w:p>
    <w:p w:rsidR="001E101F" w:rsidRDefault="001E101F" w:rsidP="001E101F">
      <w:pPr>
        <w:jc w:val="both"/>
      </w:pPr>
      <w:r w:rsidRPr="001E101F">
        <w:t xml:space="preserve"> I will ensure that I accomplish at least one short certification in people analytics or agile product management, facilitate a weekly meeting (e.g., facilitating a retrospective or cross-team planning session), and keep a personal reading journal of two peer-reviewed articles per month in the following six months. I will also create a mini portfolio of artefacts (dashboards, workshop designs and change communication templates) to demonstrate these capabilities to employers. Lastly, I will identify a mentor who can go through my work and assist me in putting my decisions into perspective with organizational limits.</w:t>
      </w:r>
    </w:p>
    <w:p w:rsidR="00462ABD" w:rsidRPr="00E82F08" w:rsidRDefault="00000000" w:rsidP="00E82F08">
      <w:pPr>
        <w:pStyle w:val="Heading1"/>
        <w:numPr>
          <w:ilvl w:val="0"/>
          <w:numId w:val="0"/>
        </w:numPr>
        <w:rPr>
          <w:rFonts w:ascii="Arial" w:hAnsi="Arial" w:cs="Arial"/>
          <w:color w:val="000000" w:themeColor="text1"/>
          <w:sz w:val="32"/>
          <w:szCs w:val="32"/>
        </w:rPr>
      </w:pPr>
      <w:bookmarkStart w:id="11" w:name="_Toc222260282"/>
      <w:r w:rsidRPr="00E82F08">
        <w:rPr>
          <w:rFonts w:ascii="Arial" w:hAnsi="Arial" w:cs="Arial"/>
          <w:color w:val="000000" w:themeColor="text1"/>
          <w:sz w:val="32"/>
          <w:szCs w:val="32"/>
        </w:rPr>
        <w:t>Staying relevant as AI advances</w:t>
      </w:r>
      <w:bookmarkEnd w:id="11"/>
      <w:r w:rsidRPr="00E82F08">
        <w:rPr>
          <w:rFonts w:ascii="Arial" w:hAnsi="Arial" w:cs="Arial"/>
          <w:color w:val="000000" w:themeColor="text1"/>
          <w:sz w:val="32"/>
          <w:szCs w:val="32"/>
        </w:rPr>
        <w:t xml:space="preserve"> </w:t>
      </w:r>
    </w:p>
    <w:p w:rsidR="001E101F" w:rsidRDefault="001E101F" w:rsidP="001E101F">
      <w:pPr>
        <w:jc w:val="both"/>
      </w:pPr>
      <w:r w:rsidRPr="001E101F">
        <w:t>Drafting, summarizing and pattern-finding are increasingly things that AI can accomplish, which alters the value of much knowledge-work. I anticipate that AI will deal with more mundane analysis and first-draught work, and human beings will be held responsible to judgement, ethics and alignment to stakeholders. According to research, augmentation is the value that can be achieved in the most, as AI aids sensemaking instead of substituting it (</w:t>
      </w:r>
      <w:proofErr w:type="spellStart"/>
      <w:r w:rsidRPr="001E101F">
        <w:t>Jarrahi</w:t>
      </w:r>
      <w:proofErr w:type="spellEnd"/>
      <w:r w:rsidRPr="001E101F">
        <w:t>, 2018).</w:t>
      </w:r>
    </w:p>
    <w:p w:rsidR="001E101F" w:rsidRDefault="001E101F" w:rsidP="001E101F">
      <w:pPr>
        <w:jc w:val="both"/>
      </w:pPr>
      <w:r w:rsidRPr="001E101F">
        <w:t>In order to apply AI in a responsible manner, I would implement three precautions. Data protection</w:t>
      </w:r>
      <w:r>
        <w:t xml:space="preserve">, </w:t>
      </w:r>
      <w:r w:rsidRPr="001E101F">
        <w:t>bias and fairness cheques</w:t>
      </w:r>
      <w:r>
        <w:t xml:space="preserve">, </w:t>
      </w:r>
      <w:r w:rsidRPr="001E101F">
        <w:t>auditability</w:t>
      </w:r>
      <w:r>
        <w:t xml:space="preserve">. </w:t>
      </w:r>
      <w:r w:rsidRPr="001E101F">
        <w:t>These measures can contribute to the fact that AI can enhance productivity, but not undermine ethics and accountability. AI would be applied in my work to speed up the process of literature scanning, create alternative solutions and write communication materials. I would make a record of AI application and my decisions, which would allow accountability to be established.</w:t>
      </w:r>
    </w:p>
    <w:p w:rsidR="001E101F" w:rsidRDefault="001E101F" w:rsidP="001E101F">
      <w:pPr>
        <w:jc w:val="both"/>
      </w:pPr>
      <w:r w:rsidRPr="001E101F">
        <w:t xml:space="preserve">I will also enhance the skills that are less automatable: problem framing, facilitation, negotiation and ethical reasoning, to be able to stay employable. AI may propose solutions; however, it cannot create psychological safety within a group or solve trade-offs between speed, quality and risk. I will also learn to be data literate to critically assess the metrics and to identify misleading patterns. This is consistent with findings according to which managers have an automation-augmentation paradox and need to integrate technical equipment with human judgement (Raisch and Krakowski, 2021). </w:t>
      </w:r>
    </w:p>
    <w:p w:rsidR="001E101F" w:rsidRDefault="001E101F" w:rsidP="001E101F">
      <w:pPr>
        <w:jc w:val="both"/>
      </w:pPr>
      <w:r w:rsidRPr="001E101F">
        <w:lastRenderedPageBreak/>
        <w:t>All in all, I believe my approach to AI is that of a co-pilot: it can be helpful in speed and scope, although it cannot replace critical thinking, empathy and professional responsibility. Combining AI-based efficiency with excellent human abilities in judgement and teamwork, I will be able to play a more efficient role in organizational change and performance.</w:t>
      </w:r>
    </w:p>
    <w:p w:rsidR="00462ABD" w:rsidRDefault="00000000">
      <w:r>
        <w:br w:type="page"/>
      </w:r>
    </w:p>
    <w:p w:rsidR="00462ABD" w:rsidRPr="00E82F08" w:rsidRDefault="00000000" w:rsidP="00E82F08">
      <w:pPr>
        <w:pStyle w:val="Heading1"/>
        <w:numPr>
          <w:ilvl w:val="0"/>
          <w:numId w:val="0"/>
        </w:numPr>
        <w:rPr>
          <w:rFonts w:ascii="Arial" w:hAnsi="Arial" w:cs="Arial"/>
          <w:color w:val="000000" w:themeColor="text1"/>
          <w:sz w:val="32"/>
          <w:szCs w:val="32"/>
        </w:rPr>
      </w:pPr>
      <w:bookmarkStart w:id="12" w:name="_Toc222260283"/>
      <w:r w:rsidRPr="00E82F08">
        <w:rPr>
          <w:rFonts w:ascii="Arial" w:hAnsi="Arial" w:cs="Arial"/>
          <w:color w:val="000000" w:themeColor="text1"/>
          <w:sz w:val="32"/>
          <w:szCs w:val="32"/>
        </w:rPr>
        <w:lastRenderedPageBreak/>
        <w:t>References</w:t>
      </w:r>
      <w:bookmarkEnd w:id="12"/>
    </w:p>
    <w:p w:rsidR="001E101F" w:rsidRDefault="00000000" w:rsidP="002B742D">
      <w:pPr>
        <w:spacing w:after="0"/>
        <w:ind w:left="720" w:hanging="720"/>
      </w:pPr>
      <w:r>
        <w:t xml:space="preserve">Allen, T.D., Golden, T.D. and Shockley, K.M. (2015) ‘How effective is telecommuting? Assessing the status of our scientific findings’, Psychological Science in the Public Interest, 16(2), pp. 40-68. </w:t>
      </w:r>
      <w:hyperlink r:id="rId10" w:history="1">
        <w:r w:rsidR="001E101F" w:rsidRPr="00D75ABF">
          <w:rPr>
            <w:rStyle w:val="Hyperlink"/>
          </w:rPr>
          <w:t>https://doi.org/10.1177/1529100615593273</w:t>
        </w:r>
      </w:hyperlink>
      <w:r>
        <w:t>.</w:t>
      </w:r>
    </w:p>
    <w:p w:rsidR="001E101F" w:rsidRDefault="00000000" w:rsidP="002B742D">
      <w:pPr>
        <w:spacing w:after="0"/>
        <w:ind w:left="720" w:hanging="720"/>
      </w:pPr>
      <w:r>
        <w:t xml:space="preserve">Amabile, T.M. and Pratt, M.G. (2016) ‘The dynamic componential model of creativity and innovation in organizations: Making progress, making meaning’, Research in Organizational Behavior, 36, pp. 157-183. </w:t>
      </w:r>
      <w:hyperlink r:id="rId11" w:history="1">
        <w:r w:rsidR="001E101F" w:rsidRPr="00D75ABF">
          <w:rPr>
            <w:rStyle w:val="Hyperlink"/>
          </w:rPr>
          <w:t>https://doi.org/10.1016/j.riob.2016.10.001</w:t>
        </w:r>
      </w:hyperlink>
      <w:r>
        <w:t>.</w:t>
      </w:r>
    </w:p>
    <w:p w:rsidR="001E101F" w:rsidRDefault="00000000" w:rsidP="002B742D">
      <w:pPr>
        <w:spacing w:after="0"/>
        <w:ind w:left="720" w:hanging="720"/>
      </w:pPr>
      <w:r>
        <w:t xml:space="preserve">Bakker, A.B. and Demerouti, E. (2007) ‘The job demands-resources model: State of the art’, Journal of Managerial Psychology, 22(3), pp. 309-328. </w:t>
      </w:r>
      <w:hyperlink r:id="rId12" w:history="1">
        <w:r w:rsidR="001E101F" w:rsidRPr="00D75ABF">
          <w:rPr>
            <w:rStyle w:val="Hyperlink"/>
          </w:rPr>
          <w:t>https://doi.org/10.1108/02683940710733115</w:t>
        </w:r>
      </w:hyperlink>
      <w:r>
        <w:t>.</w:t>
      </w:r>
    </w:p>
    <w:p w:rsidR="001E101F" w:rsidRDefault="00000000" w:rsidP="002B742D">
      <w:pPr>
        <w:spacing w:after="0"/>
        <w:ind w:left="720" w:hanging="720"/>
      </w:pPr>
      <w:r>
        <w:t xml:space="preserve">Bloom, N., Liang, J., Roberts, J. and Ying, Z.J. (2015) ‘Does working from home work? Evidence from a Chinese experiment’, The Quarterly Journal of Economics, 130(1), pp. 165-218. </w:t>
      </w:r>
      <w:hyperlink r:id="rId13" w:history="1">
        <w:r w:rsidR="001E101F" w:rsidRPr="00D75ABF">
          <w:rPr>
            <w:rStyle w:val="Hyperlink"/>
          </w:rPr>
          <w:t>https://doi.org/10.1093/qje/qju032</w:t>
        </w:r>
      </w:hyperlink>
      <w:r>
        <w:t>.</w:t>
      </w:r>
    </w:p>
    <w:p w:rsidR="001E101F" w:rsidRDefault="00000000" w:rsidP="002B742D">
      <w:pPr>
        <w:spacing w:after="0"/>
        <w:ind w:left="720" w:hanging="720"/>
      </w:pPr>
      <w:r>
        <w:t xml:space="preserve">Choudhury, P., Foroughi, C. and Larson, B. (2021) ‘Work-from-anywhere: The productivity effects of geographic flexibility’, Strategic Management Journal, 42(4), pp. 655-683. </w:t>
      </w:r>
      <w:hyperlink r:id="rId14" w:history="1">
        <w:r w:rsidR="001E101F" w:rsidRPr="00D75ABF">
          <w:rPr>
            <w:rStyle w:val="Hyperlink"/>
          </w:rPr>
          <w:t>https://doi.org/10.1002/smj.3251</w:t>
        </w:r>
      </w:hyperlink>
      <w:r>
        <w:t>.</w:t>
      </w:r>
    </w:p>
    <w:p w:rsidR="001E101F" w:rsidRDefault="00000000" w:rsidP="002B742D">
      <w:pPr>
        <w:spacing w:after="0"/>
        <w:ind w:left="720" w:hanging="720"/>
      </w:pPr>
      <w:r>
        <w:t xml:space="preserve">Choudhury, P., Makridis, C., Larson, B. and Schirmann, K. (2024) ‘The work-from-anywhere future: Evidence from a field experiment’, Review of Economics and Statistics. </w:t>
      </w:r>
      <w:hyperlink r:id="rId15" w:history="1">
        <w:r w:rsidR="001E101F" w:rsidRPr="00D75ABF">
          <w:rPr>
            <w:rStyle w:val="Hyperlink"/>
          </w:rPr>
          <w:t>https://doi.org/10.1162/rest_a_01428</w:t>
        </w:r>
      </w:hyperlink>
      <w:r>
        <w:t>.</w:t>
      </w:r>
    </w:p>
    <w:p w:rsidR="001E101F" w:rsidRDefault="00000000" w:rsidP="002B742D">
      <w:pPr>
        <w:spacing w:after="0"/>
        <w:ind w:left="720" w:hanging="720"/>
      </w:pPr>
      <w:r>
        <w:t xml:space="preserve">Deci, E.L. and Ryan, R.M. (2000) ‘The “what” and “why” of goal pursuits: Human needs and the self-determination of behavior’, Psychological Inquiry, 11(4), pp. 227-268. </w:t>
      </w:r>
      <w:hyperlink r:id="rId16" w:history="1">
        <w:r w:rsidR="001E101F" w:rsidRPr="00D75ABF">
          <w:rPr>
            <w:rStyle w:val="Hyperlink"/>
          </w:rPr>
          <w:t>https://doi.org/10.1207/S15327965PLI1104_01</w:t>
        </w:r>
      </w:hyperlink>
      <w:r>
        <w:t>.</w:t>
      </w:r>
    </w:p>
    <w:p w:rsidR="00462ABD" w:rsidRDefault="00000000" w:rsidP="002B742D">
      <w:pPr>
        <w:spacing w:after="0"/>
        <w:ind w:left="720" w:hanging="720"/>
      </w:pPr>
      <w:r>
        <w:t>Denison, D.R. (1990) Corporate culture and organizational effectiveness. New York: Wiley.</w:t>
      </w:r>
    </w:p>
    <w:p w:rsidR="00462ABD" w:rsidRDefault="00000000" w:rsidP="002B742D">
      <w:pPr>
        <w:spacing w:after="0"/>
        <w:ind w:left="720" w:hanging="720"/>
      </w:pPr>
      <w:r>
        <w:t>Edmondson, A.C. (2019) The fearless organization: Creating psychological safety in the workplace for learning, innovation, and growth. Hoboken, NJ: Wiley.</w:t>
      </w:r>
    </w:p>
    <w:p w:rsidR="00556826" w:rsidRDefault="00000000" w:rsidP="002B742D">
      <w:pPr>
        <w:spacing w:after="0"/>
        <w:ind w:left="720" w:hanging="720"/>
      </w:pPr>
      <w:r>
        <w:t xml:space="preserve">Edmondson, A.C. and Bransby, P. (2023) ‘Psychological safety: The history, renaissance, and future of an interpersonal construct’, Annual Review of Organizational Psychology and Organizational Behavior, 10, pp. 129-154. </w:t>
      </w:r>
      <w:hyperlink r:id="rId17" w:history="1">
        <w:r w:rsidR="00556826" w:rsidRPr="00D75ABF">
          <w:rPr>
            <w:rStyle w:val="Hyperlink"/>
          </w:rPr>
          <w:t>https://doi.org/10.1146/annurev-orgpsych-120920-055217</w:t>
        </w:r>
      </w:hyperlink>
      <w:r>
        <w:t>.</w:t>
      </w:r>
    </w:p>
    <w:p w:rsidR="00556826" w:rsidRDefault="00000000" w:rsidP="002B742D">
      <w:pPr>
        <w:spacing w:after="0"/>
        <w:ind w:left="720" w:hanging="720"/>
      </w:pPr>
      <w:r>
        <w:lastRenderedPageBreak/>
        <w:t xml:space="preserve">Frazier, M.L., Fainshmidt, S., Klinger, R.L., Pezeshkan, A. and Vracheva, V. (2017) ‘Psychological safety: A meta-analytic review and extension’, Personnel Psychology, 70(1), pp. 113-165. </w:t>
      </w:r>
      <w:hyperlink r:id="rId18" w:history="1">
        <w:r w:rsidR="00556826" w:rsidRPr="00D75ABF">
          <w:rPr>
            <w:rStyle w:val="Hyperlink"/>
          </w:rPr>
          <w:t>https://doi.org/10.1111/peps.12183</w:t>
        </w:r>
      </w:hyperlink>
      <w:r>
        <w:t>.</w:t>
      </w:r>
    </w:p>
    <w:p w:rsidR="00556826" w:rsidRDefault="00000000" w:rsidP="002B742D">
      <w:pPr>
        <w:spacing w:after="0"/>
        <w:ind w:left="720" w:hanging="720"/>
      </w:pPr>
      <w:r>
        <w:t xml:space="preserve">Gajendran, R.S. and Harrison, D.A. (2007) ‘The good, the bad, and the unknown about telecommuting: Meta-analysis of psychological mediators and individual consequences’, Journal of Applied Psychology, 92(6), pp. 1524-1541. </w:t>
      </w:r>
      <w:hyperlink r:id="rId19" w:history="1">
        <w:r w:rsidR="00556826" w:rsidRPr="00D75ABF">
          <w:rPr>
            <w:rStyle w:val="Hyperlink"/>
          </w:rPr>
          <w:t>https://doi.org/10.1037/0021-9010.92.6.1524</w:t>
        </w:r>
      </w:hyperlink>
      <w:r>
        <w:t>.</w:t>
      </w:r>
    </w:p>
    <w:p w:rsidR="00556826" w:rsidRDefault="00000000" w:rsidP="002B742D">
      <w:pPr>
        <w:spacing w:after="0"/>
        <w:ind w:left="720" w:hanging="720"/>
      </w:pPr>
      <w:r>
        <w:t xml:space="preserve">Gibson, C.B. and Birkinshaw, J. (2004) ‘The antecedents, consequences, and mediating role of organizational ambidexterity’, Academy of Management Journal, 47(2), pp. 209-226. </w:t>
      </w:r>
      <w:hyperlink r:id="rId20" w:history="1">
        <w:r w:rsidR="00556826" w:rsidRPr="00D75ABF">
          <w:rPr>
            <w:rStyle w:val="Hyperlink"/>
          </w:rPr>
          <w:t>https://doi.org/10.2307/20159573</w:t>
        </w:r>
      </w:hyperlink>
      <w:r>
        <w:t>.</w:t>
      </w:r>
    </w:p>
    <w:p w:rsidR="00556826" w:rsidRDefault="00000000" w:rsidP="002B742D">
      <w:pPr>
        <w:spacing w:after="0"/>
        <w:ind w:left="720" w:hanging="720"/>
      </w:pPr>
      <w:r>
        <w:t xml:space="preserve">Grant, A.M. (2008) ‘Does intrinsic motivation fuel the prosocial fire? Motivational synergy in predicting persistence, performance, and productivity’, Journal of Applied Psychology, 93(1), pp. 48-58. </w:t>
      </w:r>
      <w:hyperlink r:id="rId21" w:history="1">
        <w:r w:rsidR="00556826" w:rsidRPr="00D75ABF">
          <w:rPr>
            <w:rStyle w:val="Hyperlink"/>
          </w:rPr>
          <w:t>https://doi.org/10.1037/0021-9010.93.1.48</w:t>
        </w:r>
      </w:hyperlink>
      <w:r>
        <w:t>.</w:t>
      </w:r>
    </w:p>
    <w:p w:rsidR="00556826" w:rsidRDefault="00000000" w:rsidP="002B742D">
      <w:pPr>
        <w:spacing w:after="0"/>
        <w:ind w:left="720" w:hanging="720"/>
      </w:pPr>
      <w:r>
        <w:t xml:space="preserve">Harter, J.K., Schmidt, F.L. and Hayes, T.L. (2002) ‘Business-unit-level relationship between employee satisfaction, employee engagement, and business outcomes: A meta-analysis’, Journal of Applied Psychology, 87(2), pp. 268-279. </w:t>
      </w:r>
      <w:hyperlink r:id="rId22" w:history="1">
        <w:r w:rsidR="00556826" w:rsidRPr="00D75ABF">
          <w:rPr>
            <w:rStyle w:val="Hyperlink"/>
          </w:rPr>
          <w:t>https://doi.org/10.1037/0021-9010.87.2.268</w:t>
        </w:r>
      </w:hyperlink>
      <w:r>
        <w:t>.</w:t>
      </w:r>
    </w:p>
    <w:p w:rsidR="00556826" w:rsidRDefault="00000000" w:rsidP="002B742D">
      <w:pPr>
        <w:spacing w:after="0"/>
        <w:ind w:left="720" w:hanging="720"/>
      </w:pPr>
      <w:r>
        <w:t>Hernández-</w:t>
      </w:r>
      <w:proofErr w:type="spellStart"/>
      <w:r>
        <w:t>Perlines</w:t>
      </w:r>
      <w:proofErr w:type="spellEnd"/>
      <w:r>
        <w:t xml:space="preserve">, F., Moreno-García, J. and Yañez-Araque, B. (2022) ‘Intrapreneurship research: A comprehensive literature review’, Journal of Business Research, 150, pp. 148-165. </w:t>
      </w:r>
      <w:hyperlink r:id="rId23" w:history="1">
        <w:r w:rsidR="00556826" w:rsidRPr="00D75ABF">
          <w:rPr>
            <w:rStyle w:val="Hyperlink"/>
          </w:rPr>
          <w:t>https://doi.org/10.1016/j.jbusres.2022.06.009</w:t>
        </w:r>
      </w:hyperlink>
      <w:r>
        <w:t>.</w:t>
      </w:r>
    </w:p>
    <w:p w:rsidR="00556826" w:rsidRDefault="00000000" w:rsidP="002B742D">
      <w:pPr>
        <w:spacing w:after="0"/>
        <w:ind w:left="720" w:hanging="720"/>
      </w:pPr>
      <w:proofErr w:type="spellStart"/>
      <w:r>
        <w:t>Jarrahi</w:t>
      </w:r>
      <w:proofErr w:type="spellEnd"/>
      <w:r>
        <w:t xml:space="preserve">, M.H. (2018) ‘Artificial intelligence and the future of work: Human-AI symbiosis in organizational decision making’, Business Horizons, 61(4), pp. 577-586. </w:t>
      </w:r>
      <w:hyperlink r:id="rId24" w:history="1">
        <w:r w:rsidR="00556826" w:rsidRPr="00D75ABF">
          <w:rPr>
            <w:rStyle w:val="Hyperlink"/>
          </w:rPr>
          <w:t>https://doi.org/10.1016/j.bushor.2018.03.007</w:t>
        </w:r>
      </w:hyperlink>
      <w:r>
        <w:t>.</w:t>
      </w:r>
    </w:p>
    <w:p w:rsidR="00556826" w:rsidRDefault="00000000" w:rsidP="002B742D">
      <w:pPr>
        <w:spacing w:after="0"/>
        <w:ind w:left="720" w:hanging="720"/>
      </w:pPr>
      <w:r>
        <w:t xml:space="preserve">Judge, T.A. and Piccolo, R.F. (2004) ‘Transformational and transactional leadership: A meta-analytic test of their relative validity’, Journal of Applied Psychology, 89(5), pp. 755-768. </w:t>
      </w:r>
      <w:hyperlink r:id="rId25" w:history="1">
        <w:r w:rsidR="00556826" w:rsidRPr="00D75ABF">
          <w:rPr>
            <w:rStyle w:val="Hyperlink"/>
          </w:rPr>
          <w:t>https://doi.org/10.1037/0021-9010.89.5.755</w:t>
        </w:r>
      </w:hyperlink>
      <w:r>
        <w:t>.</w:t>
      </w:r>
    </w:p>
    <w:p w:rsidR="00556826" w:rsidRDefault="00000000" w:rsidP="002B742D">
      <w:pPr>
        <w:spacing w:after="0"/>
        <w:ind w:left="720" w:hanging="720"/>
      </w:pPr>
      <w:r>
        <w:t xml:space="preserve">Kahn, W.A. (1990) ‘Psychological conditions of personal engagement and disengagement at work’, Academy of Management Journal, 33(4), pp. 692-724. </w:t>
      </w:r>
      <w:hyperlink r:id="rId26" w:history="1">
        <w:r w:rsidR="00556826" w:rsidRPr="00D75ABF">
          <w:rPr>
            <w:rStyle w:val="Hyperlink"/>
          </w:rPr>
          <w:t>https://doi.org/10.2307/256287</w:t>
        </w:r>
      </w:hyperlink>
      <w:r>
        <w:t>.</w:t>
      </w:r>
    </w:p>
    <w:p w:rsidR="00556826" w:rsidRDefault="00000000" w:rsidP="002B742D">
      <w:pPr>
        <w:spacing w:after="0"/>
        <w:ind w:left="720" w:hanging="720"/>
      </w:pPr>
      <w:proofErr w:type="spellStart"/>
      <w:r>
        <w:lastRenderedPageBreak/>
        <w:t>Kassotaki</w:t>
      </w:r>
      <w:proofErr w:type="spellEnd"/>
      <w:r>
        <w:t xml:space="preserve">, O. (2022) ‘A review of organizational ambidexterity research: A new integrative framework’, SAGE Open, 12(4). </w:t>
      </w:r>
      <w:hyperlink r:id="rId27" w:history="1">
        <w:r w:rsidR="00556826" w:rsidRPr="00D75ABF">
          <w:rPr>
            <w:rStyle w:val="Hyperlink"/>
          </w:rPr>
          <w:t>https://doi.org/10.1177/21582440221082127</w:t>
        </w:r>
      </w:hyperlink>
      <w:r>
        <w:t>.</w:t>
      </w:r>
    </w:p>
    <w:p w:rsidR="00556826" w:rsidRDefault="00000000" w:rsidP="002B742D">
      <w:pPr>
        <w:spacing w:after="0"/>
        <w:ind w:left="720" w:hanging="720"/>
      </w:pPr>
      <w:r>
        <w:t xml:space="preserve">Raisch, S. and Krakowski, S. (2021) ‘Artificial intelligence and management: The automation-augmentation paradox’, Academy of Management Review, 46(1), pp. 192-210. </w:t>
      </w:r>
      <w:hyperlink r:id="rId28" w:history="1">
        <w:r w:rsidR="00556826" w:rsidRPr="00D75ABF">
          <w:rPr>
            <w:rStyle w:val="Hyperlink"/>
          </w:rPr>
          <w:t>https://doi.org/10.5465/amr.2018.0072</w:t>
        </w:r>
      </w:hyperlink>
      <w:r>
        <w:t>.</w:t>
      </w:r>
    </w:p>
    <w:p w:rsidR="00556826" w:rsidRDefault="00000000" w:rsidP="002B742D">
      <w:pPr>
        <w:spacing w:after="0"/>
        <w:ind w:left="720" w:hanging="720"/>
      </w:pPr>
      <w:r>
        <w:t xml:space="preserve">Saks, A.M. (2006) ‘Antecedents and consequences of employee engagement’, Journal of Managerial Psychology, 21(7), pp. 600-619. </w:t>
      </w:r>
      <w:hyperlink r:id="rId29" w:history="1">
        <w:r w:rsidR="00556826" w:rsidRPr="00D75ABF">
          <w:rPr>
            <w:rStyle w:val="Hyperlink"/>
          </w:rPr>
          <w:t>https://doi.org/10.1108/02683940610690169</w:t>
        </w:r>
      </w:hyperlink>
      <w:r>
        <w:t>.</w:t>
      </w:r>
    </w:p>
    <w:p w:rsidR="00556826" w:rsidRDefault="00000000" w:rsidP="002B742D">
      <w:pPr>
        <w:spacing w:after="0"/>
        <w:ind w:left="720" w:hanging="720"/>
      </w:pPr>
      <w:r>
        <w:t xml:space="preserve">Stray, V., Moe, N.B. and Ågerfalk, P.J. (2020) ‘A systematic literature review on agile coaching and the role of the agile coach’, in Kruchten, P. et al. (eds.) Product-focused software process improvement. PROFES 2020. Lecture Notes in Computer Science, 12514. Cham: Springer, pp. 3-16. </w:t>
      </w:r>
      <w:hyperlink r:id="rId30" w:history="1">
        <w:r w:rsidR="00556826" w:rsidRPr="00D75ABF">
          <w:rPr>
            <w:rStyle w:val="Hyperlink"/>
          </w:rPr>
          <w:t>https://doi.org/10.1007/978-3-030-64148-1_1</w:t>
        </w:r>
      </w:hyperlink>
      <w:r>
        <w:t>.</w:t>
      </w:r>
    </w:p>
    <w:p w:rsidR="00556826" w:rsidRDefault="00000000" w:rsidP="002B742D">
      <w:pPr>
        <w:spacing w:after="0"/>
        <w:ind w:left="720" w:hanging="720"/>
      </w:pPr>
      <w:r>
        <w:t xml:space="preserve">Uludağ, Ö., Philipp, P., Putta, A., Paasivaara, M., Lassenius, C. and Matthes, F. (2022) ‘Revealing the state of the art of large-scale agile development research: A systematic mapping study’, Journal of Systems and Software, 194, 111473. </w:t>
      </w:r>
      <w:hyperlink r:id="rId31" w:history="1">
        <w:r w:rsidR="00556826" w:rsidRPr="00D75ABF">
          <w:rPr>
            <w:rStyle w:val="Hyperlink"/>
          </w:rPr>
          <w:t>https://doi.org/10.1016/j.jss.2022.111473</w:t>
        </w:r>
      </w:hyperlink>
      <w:r>
        <w:t>.</w:t>
      </w:r>
    </w:p>
    <w:p w:rsidR="00556826" w:rsidRDefault="00000000" w:rsidP="002B742D">
      <w:pPr>
        <w:spacing w:after="0"/>
        <w:ind w:left="720" w:hanging="720"/>
      </w:pPr>
      <w:r>
        <w:t xml:space="preserve">Wang, B., Liu, Y., Qian, J. and Parker, S.K. (2021) ‘Achieving effective remote working during the COVID-19 pandemic: A work design perspective’, Applied Psychology, 70(1), pp. 16-59. </w:t>
      </w:r>
      <w:hyperlink r:id="rId32" w:history="1">
        <w:r w:rsidR="00556826" w:rsidRPr="00D75ABF">
          <w:rPr>
            <w:rStyle w:val="Hyperlink"/>
          </w:rPr>
          <w:t>https://doi.org/10.1111/apps.12290</w:t>
        </w:r>
      </w:hyperlink>
      <w:r>
        <w:t>.</w:t>
      </w:r>
    </w:p>
    <w:p w:rsidR="00556826" w:rsidRDefault="00000000" w:rsidP="002B742D">
      <w:pPr>
        <w:spacing w:after="0"/>
        <w:ind w:left="720" w:hanging="720"/>
      </w:pPr>
      <w:r>
        <w:t xml:space="preserve">West, M.A. (2002) ‘Sparkling fountains or stagnant ponds: An integrative model of creativity and innovation implementation in work groups’, Applied Psychology, 51(3), pp. 355-387. </w:t>
      </w:r>
      <w:hyperlink r:id="rId33" w:history="1">
        <w:r w:rsidR="00556826" w:rsidRPr="00D75ABF">
          <w:rPr>
            <w:rStyle w:val="Hyperlink"/>
          </w:rPr>
          <w:t>https://doi.org/10.1111/1464-0597.00951</w:t>
        </w:r>
      </w:hyperlink>
    </w:p>
    <w:p w:rsidR="00462ABD" w:rsidRDefault="00462ABD"/>
    <w:p w:rsidR="00462ABD" w:rsidRDefault="00462ABD"/>
    <w:p w:rsidR="00462ABD" w:rsidRDefault="00462ABD"/>
    <w:sectPr w:rsidR="00462ABD" w:rsidSect="00034616">
      <w:footerReference w:type="default" r:id="rId34"/>
      <w:pgSz w:w="12240" w:h="15840"/>
      <w:pgMar w:top="1417" w:right="1417" w:bottom="1417" w:left="1417"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C36EB6" w:rsidRDefault="00C36EB6">
      <w:pPr>
        <w:spacing w:after="0" w:line="240" w:lineRule="auto"/>
      </w:pPr>
      <w:r>
        <w:separator/>
      </w:r>
    </w:p>
  </w:endnote>
  <w:endnote w:type="continuationSeparator" w:id="0">
    <w:p w:rsidR="00C36EB6" w:rsidRDefault="00C36E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43577757"/>
      <w:docPartObj>
        <w:docPartGallery w:val="Page Numbers (Bottom of Page)"/>
        <w:docPartUnique/>
      </w:docPartObj>
    </w:sdtPr>
    <w:sdtEndPr>
      <w:rPr>
        <w:color w:val="7F7F7F" w:themeColor="background1" w:themeShade="7F"/>
        <w:spacing w:val="60"/>
      </w:rPr>
    </w:sdtEndPr>
    <w:sdtContent>
      <w:p w:rsidR="001E101F" w:rsidRDefault="001E101F">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rsidR="00462ABD" w:rsidRDefault="00462ABD">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C36EB6" w:rsidRDefault="00C36EB6">
      <w:pPr>
        <w:spacing w:after="0" w:line="240" w:lineRule="auto"/>
      </w:pPr>
      <w:r>
        <w:separator/>
      </w:r>
    </w:p>
  </w:footnote>
  <w:footnote w:type="continuationSeparator" w:id="0">
    <w:p w:rsidR="00C36EB6" w:rsidRDefault="00C36EB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31E3A61"/>
    <w:multiLevelType w:val="multilevel"/>
    <w:tmpl w:val="2B5259D2"/>
    <w:lvl w:ilvl="0">
      <w:start w:val="1"/>
      <w:numFmt w:val="decimal"/>
      <w:pStyle w:val="Heading1"/>
      <w:suff w:val="space"/>
      <w:lvlText w:val="%1."/>
      <w:lvlJc w:val="left"/>
      <w:pPr>
        <w:ind w:left="0" w:firstLine="0"/>
      </w:pPr>
      <w:rPr>
        <w:rFonts w:hint="default"/>
        <w:color w:val="000000" w:themeColor="text1"/>
      </w:rPr>
    </w:lvl>
    <w:lvl w:ilvl="1">
      <w:start w:val="1"/>
      <w:numFmt w:val="decimal"/>
      <w:pStyle w:val="Heading2"/>
      <w:suff w:val="space"/>
      <w:lvlText w:val="%1.%2"/>
      <w:lvlJc w:val="left"/>
      <w:pPr>
        <w:ind w:left="0" w:firstLine="0"/>
      </w:pPr>
      <w:rPr>
        <w:rFonts w:hint="default"/>
        <w:color w:val="000000" w:themeColor="text1"/>
      </w:rPr>
    </w:lvl>
    <w:lvl w:ilvl="2">
      <w:start w:val="1"/>
      <w:numFmt w:val="decimal"/>
      <w:pStyle w:val="Heading3"/>
      <w:suff w:val="space"/>
      <w:lvlText w:val="%1.%2.%3"/>
      <w:lvlJc w:val="left"/>
      <w:pPr>
        <w:ind w:left="0" w:firstLine="0"/>
      </w:pPr>
      <w:rPr>
        <w:rFonts w:hint="default"/>
      </w:rPr>
    </w:lvl>
    <w:lvl w:ilvl="3">
      <w:start w:val="1"/>
      <w:numFmt w:val="decimal"/>
      <w:pStyle w:val="Heading4"/>
      <w:lvlText w:val="%1.%2.%3.%4"/>
      <w:lvlJc w:val="left"/>
      <w:pPr>
        <w:ind w:left="864" w:hanging="864"/>
      </w:pPr>
      <w:rPr>
        <w:rFonts w:hint="default"/>
      </w:rPr>
    </w:lvl>
    <w:lvl w:ilvl="4">
      <w:start w:val="1"/>
      <w:numFmt w:val="decimal"/>
      <w:pStyle w:val="Heading5"/>
      <w:lvlText w:val="%1.%2.%3.%4.%5"/>
      <w:lvlJc w:val="left"/>
      <w:pPr>
        <w:ind w:left="1008" w:hanging="1008"/>
      </w:pPr>
      <w:rPr>
        <w:rFonts w:hint="default"/>
      </w:rPr>
    </w:lvl>
    <w:lvl w:ilvl="5">
      <w:start w:val="1"/>
      <w:numFmt w:val="decimal"/>
      <w:pStyle w:val="Heading6"/>
      <w:lvlText w:val="%1.%2.%3.%4.%5.%6"/>
      <w:lvlJc w:val="left"/>
      <w:pPr>
        <w:ind w:left="1152" w:hanging="1152"/>
      </w:pPr>
      <w:rPr>
        <w:rFonts w:hint="default"/>
      </w:rPr>
    </w:lvl>
    <w:lvl w:ilvl="6">
      <w:start w:val="1"/>
      <w:numFmt w:val="decimal"/>
      <w:pStyle w:val="Heading7"/>
      <w:lvlText w:val="%1.%2.%3.%4.%5.%6.%7"/>
      <w:lvlJc w:val="left"/>
      <w:pPr>
        <w:ind w:left="1296" w:hanging="1296"/>
      </w:pPr>
      <w:rPr>
        <w:rFonts w:hint="default"/>
      </w:rPr>
    </w:lvl>
    <w:lvl w:ilvl="7">
      <w:start w:val="1"/>
      <w:numFmt w:val="decimal"/>
      <w:pStyle w:val="Heading8"/>
      <w:lvlText w:val="%1.%2.%3.%4.%5.%6.%7.%8"/>
      <w:lvlJc w:val="left"/>
      <w:pPr>
        <w:ind w:left="1440" w:hanging="1440"/>
      </w:pPr>
      <w:rPr>
        <w:rFonts w:hint="default"/>
      </w:rPr>
    </w:lvl>
    <w:lvl w:ilvl="8">
      <w:start w:val="1"/>
      <w:numFmt w:val="decimal"/>
      <w:pStyle w:val="Heading9"/>
      <w:lvlText w:val="%1.%2.%3.%4.%5.%6.%7.%8.%9"/>
      <w:lvlJc w:val="left"/>
      <w:pPr>
        <w:ind w:left="1584" w:hanging="1584"/>
      </w:pPr>
      <w:rPr>
        <w:rFonts w:hint="default"/>
      </w:rPr>
    </w:lvl>
  </w:abstractNum>
  <w:num w:numId="1" w16cid:durableId="920796700">
    <w:abstractNumId w:val="8"/>
  </w:num>
  <w:num w:numId="2" w16cid:durableId="456459246">
    <w:abstractNumId w:val="6"/>
  </w:num>
  <w:num w:numId="3" w16cid:durableId="2125464313">
    <w:abstractNumId w:val="5"/>
  </w:num>
  <w:num w:numId="4" w16cid:durableId="1087266173">
    <w:abstractNumId w:val="4"/>
  </w:num>
  <w:num w:numId="5" w16cid:durableId="1472744209">
    <w:abstractNumId w:val="7"/>
  </w:num>
  <w:num w:numId="6" w16cid:durableId="2013529346">
    <w:abstractNumId w:val="3"/>
  </w:num>
  <w:num w:numId="7" w16cid:durableId="833759698">
    <w:abstractNumId w:val="2"/>
  </w:num>
  <w:num w:numId="8" w16cid:durableId="1056853523">
    <w:abstractNumId w:val="1"/>
  </w:num>
  <w:num w:numId="9" w16cid:durableId="528690416">
    <w:abstractNumId w:val="0"/>
  </w:num>
  <w:num w:numId="10" w16cid:durableId="192453158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0D54C1"/>
    <w:rsid w:val="000E00FA"/>
    <w:rsid w:val="001123B8"/>
    <w:rsid w:val="0015074B"/>
    <w:rsid w:val="001E101F"/>
    <w:rsid w:val="00200ACF"/>
    <w:rsid w:val="0021116B"/>
    <w:rsid w:val="0029639D"/>
    <w:rsid w:val="002B742D"/>
    <w:rsid w:val="00326F90"/>
    <w:rsid w:val="00426BAB"/>
    <w:rsid w:val="00462ABD"/>
    <w:rsid w:val="0050359E"/>
    <w:rsid w:val="00556826"/>
    <w:rsid w:val="006741FA"/>
    <w:rsid w:val="008C3A19"/>
    <w:rsid w:val="008C76F0"/>
    <w:rsid w:val="008F265C"/>
    <w:rsid w:val="0095630E"/>
    <w:rsid w:val="00AA1D8D"/>
    <w:rsid w:val="00B235EF"/>
    <w:rsid w:val="00B47730"/>
    <w:rsid w:val="00BF18AE"/>
    <w:rsid w:val="00C30C5F"/>
    <w:rsid w:val="00C36EB6"/>
    <w:rsid w:val="00CB0664"/>
    <w:rsid w:val="00CC6819"/>
    <w:rsid w:val="00D1588F"/>
    <w:rsid w:val="00DF6A77"/>
    <w:rsid w:val="00E57061"/>
    <w:rsid w:val="00E82F08"/>
    <w:rsid w:val="00FC693F"/>
    <w:rsid w:val="00FD3C4C"/>
    <w:rsid w:val="00FE44FD"/>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563D25A"/>
  <w14:defaultImageDpi w14:val="300"/>
  <w15:docId w15:val="{2A3BE895-C43F-41CA-B2A8-180E1EC4C5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20" w:line="360" w:lineRule="auto"/>
    </w:pPr>
    <w:rPr>
      <w:rFonts w:ascii="Arial" w:eastAsia="Arial" w:hAnsi="Arial"/>
      <w:sz w:val="24"/>
    </w:rPr>
  </w:style>
  <w:style w:type="paragraph" w:styleId="Heading1">
    <w:name w:val="heading 1"/>
    <w:basedOn w:val="Normal"/>
    <w:next w:val="Normal"/>
    <w:link w:val="Heading1Char"/>
    <w:uiPriority w:val="9"/>
    <w:qFormat/>
    <w:rsid w:val="00FC693F"/>
    <w:pPr>
      <w:keepNext/>
      <w:keepLines/>
      <w:numPr>
        <w:numId w:val="10"/>
      </w:numPr>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numPr>
        <w:ilvl w:val="1"/>
        <w:numId w:val="10"/>
      </w:numPr>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numPr>
        <w:ilvl w:val="2"/>
        <w:numId w:val="10"/>
      </w:numPr>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numPr>
        <w:ilvl w:val="3"/>
        <w:numId w:val="10"/>
      </w:numPr>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numPr>
        <w:ilvl w:val="4"/>
        <w:numId w:val="10"/>
      </w:numPr>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numPr>
        <w:ilvl w:val="5"/>
        <w:numId w:val="10"/>
      </w:numPr>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numPr>
        <w:ilvl w:val="6"/>
        <w:numId w:val="10"/>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numPr>
        <w:ilvl w:val="7"/>
        <w:numId w:val="10"/>
      </w:numPr>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numPr>
        <w:ilvl w:val="8"/>
        <w:numId w:val="10"/>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3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1">
    <w:name w:val="toc 1"/>
    <w:basedOn w:val="Normal"/>
    <w:next w:val="Normal"/>
    <w:autoRedefine/>
    <w:uiPriority w:val="39"/>
    <w:unhideWhenUsed/>
    <w:rsid w:val="001123B8"/>
    <w:pPr>
      <w:spacing w:after="100"/>
    </w:pPr>
  </w:style>
  <w:style w:type="paragraph" w:styleId="TOC2">
    <w:name w:val="toc 2"/>
    <w:basedOn w:val="Normal"/>
    <w:next w:val="Normal"/>
    <w:autoRedefine/>
    <w:uiPriority w:val="39"/>
    <w:unhideWhenUsed/>
    <w:rsid w:val="001123B8"/>
    <w:pPr>
      <w:spacing w:after="100"/>
      <w:ind w:left="240"/>
    </w:pPr>
  </w:style>
  <w:style w:type="paragraph" w:styleId="TOC3">
    <w:name w:val="toc 3"/>
    <w:basedOn w:val="Normal"/>
    <w:next w:val="Normal"/>
    <w:autoRedefine/>
    <w:uiPriority w:val="39"/>
    <w:unhideWhenUsed/>
    <w:rsid w:val="001123B8"/>
    <w:pPr>
      <w:spacing w:after="100"/>
      <w:ind w:left="480"/>
    </w:pPr>
  </w:style>
  <w:style w:type="character" w:styleId="Hyperlink">
    <w:name w:val="Hyperlink"/>
    <w:basedOn w:val="DefaultParagraphFont"/>
    <w:uiPriority w:val="99"/>
    <w:unhideWhenUsed/>
    <w:rsid w:val="001123B8"/>
    <w:rPr>
      <w:color w:val="0000FF" w:themeColor="hyperlink"/>
      <w:u w:val="single"/>
    </w:rPr>
  </w:style>
  <w:style w:type="character" w:styleId="UnresolvedMention">
    <w:name w:val="Unresolved Mention"/>
    <w:basedOn w:val="DefaultParagraphFont"/>
    <w:uiPriority w:val="99"/>
    <w:semiHidden/>
    <w:unhideWhenUsed/>
    <w:rsid w:val="001E101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93/qje/qju032" TargetMode="External"/><Relationship Id="rId18" Type="http://schemas.openxmlformats.org/officeDocument/2006/relationships/hyperlink" Target="https://doi.org/10.1111/peps.12183" TargetMode="External"/><Relationship Id="rId26" Type="http://schemas.openxmlformats.org/officeDocument/2006/relationships/hyperlink" Target="https://doi.org/10.2307/256287" TargetMode="External"/><Relationship Id="rId3" Type="http://schemas.openxmlformats.org/officeDocument/2006/relationships/styles" Target="styles.xml"/><Relationship Id="rId21" Type="http://schemas.openxmlformats.org/officeDocument/2006/relationships/hyperlink" Target="https://doi.org/10.1037/0021-9010.93.1.48" TargetMode="External"/><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doi.org/10.1108/02683940710733115" TargetMode="External"/><Relationship Id="rId17" Type="http://schemas.openxmlformats.org/officeDocument/2006/relationships/hyperlink" Target="https://doi.org/10.1146/annurev-orgpsych-120920-055217" TargetMode="External"/><Relationship Id="rId25" Type="http://schemas.openxmlformats.org/officeDocument/2006/relationships/hyperlink" Target="https://doi.org/10.1037/0021-9010.89.5.755" TargetMode="External"/><Relationship Id="rId33" Type="http://schemas.openxmlformats.org/officeDocument/2006/relationships/hyperlink" Target="https://doi.org/10.1111/1464-0597.00951" TargetMode="External"/><Relationship Id="rId2" Type="http://schemas.openxmlformats.org/officeDocument/2006/relationships/numbering" Target="numbering.xml"/><Relationship Id="rId16" Type="http://schemas.openxmlformats.org/officeDocument/2006/relationships/hyperlink" Target="https://doi.org/10.1207/S15327965PLI1104_01" TargetMode="External"/><Relationship Id="rId20" Type="http://schemas.openxmlformats.org/officeDocument/2006/relationships/hyperlink" Target="https://doi.org/10.2307/20159573" TargetMode="External"/><Relationship Id="rId29" Type="http://schemas.openxmlformats.org/officeDocument/2006/relationships/hyperlink" Target="https://doi.org/10.1108/02683940610690169"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16/j.riob.2016.10.001" TargetMode="External"/><Relationship Id="rId24" Type="http://schemas.openxmlformats.org/officeDocument/2006/relationships/hyperlink" Target="https://doi.org/10.1016/j.bushor.2018.03.007" TargetMode="External"/><Relationship Id="rId32" Type="http://schemas.openxmlformats.org/officeDocument/2006/relationships/hyperlink" Target="https://doi.org/10.1111/apps.12290" TargetMode="External"/><Relationship Id="rId5" Type="http://schemas.openxmlformats.org/officeDocument/2006/relationships/webSettings" Target="webSettings.xml"/><Relationship Id="rId15" Type="http://schemas.openxmlformats.org/officeDocument/2006/relationships/hyperlink" Target="https://doi.org/10.1162/rest_a_01428" TargetMode="External"/><Relationship Id="rId23" Type="http://schemas.openxmlformats.org/officeDocument/2006/relationships/hyperlink" Target="https://doi.org/10.1016/j.jbusres.2022.06.009" TargetMode="External"/><Relationship Id="rId28" Type="http://schemas.openxmlformats.org/officeDocument/2006/relationships/hyperlink" Target="https://doi.org/10.5465/amr.2018.0072" TargetMode="External"/><Relationship Id="rId36" Type="http://schemas.openxmlformats.org/officeDocument/2006/relationships/theme" Target="theme/theme1.xml"/><Relationship Id="rId10" Type="http://schemas.openxmlformats.org/officeDocument/2006/relationships/hyperlink" Target="https://doi.org/10.1177/1529100615593273" TargetMode="External"/><Relationship Id="rId19" Type="http://schemas.openxmlformats.org/officeDocument/2006/relationships/hyperlink" Target="https://doi.org/10.1037/0021-9010.92.6.1524" TargetMode="External"/><Relationship Id="rId31" Type="http://schemas.openxmlformats.org/officeDocument/2006/relationships/hyperlink" Target="https://doi.org/10.1016/j.jss.2022.111473"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002/smj.3251" TargetMode="External"/><Relationship Id="rId22" Type="http://schemas.openxmlformats.org/officeDocument/2006/relationships/hyperlink" Target="https://doi.org/10.1037/0021-9010.87.2.268" TargetMode="External"/><Relationship Id="rId27" Type="http://schemas.openxmlformats.org/officeDocument/2006/relationships/hyperlink" Target="https://doi.org/10.1177/21582440221082127" TargetMode="External"/><Relationship Id="rId30" Type="http://schemas.openxmlformats.org/officeDocument/2006/relationships/hyperlink" Target="https://doi.org/10.1007/978-3-030-64148-1_1" TargetMode="External"/><Relationship Id="rId35" Type="http://schemas.openxmlformats.org/officeDocument/2006/relationships/fontTable" Target="fontTable.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17</Pages>
  <Words>4099</Words>
  <Characters>23365</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27410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 a</dc:creator>
  <cp:keywords/>
  <dc:description>a</dc:description>
  <cp:lastModifiedBy>Ritu Panna Saha</cp:lastModifiedBy>
  <cp:revision>7</cp:revision>
  <dcterms:created xsi:type="dcterms:W3CDTF">2026-02-17T16:16:00Z</dcterms:created>
  <dcterms:modified xsi:type="dcterms:W3CDTF">2026-02-18T11:05:00Z</dcterms:modified>
  <cp:category/>
</cp:coreProperties>
</file>