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CD5A4" w14:textId="77777777" w:rsidR="00C43CF3" w:rsidRPr="00920D1F" w:rsidRDefault="00C43CF3" w:rsidP="00BB6B6C">
      <w:pPr>
        <w:spacing w:line="360" w:lineRule="auto"/>
        <w:jc w:val="center"/>
        <w:rPr>
          <w:b/>
          <w:bCs/>
          <w:sz w:val="32"/>
          <w:szCs w:val="32"/>
        </w:rPr>
      </w:pPr>
    </w:p>
    <w:p w14:paraId="6EC91D79" w14:textId="77777777" w:rsidR="00C43CF3" w:rsidRPr="00920D1F" w:rsidRDefault="00C43CF3" w:rsidP="00BB6B6C">
      <w:pPr>
        <w:spacing w:line="360" w:lineRule="auto"/>
        <w:jc w:val="center"/>
        <w:rPr>
          <w:b/>
          <w:bCs/>
          <w:sz w:val="32"/>
          <w:szCs w:val="32"/>
        </w:rPr>
      </w:pPr>
    </w:p>
    <w:p w14:paraId="2B2433A6" w14:textId="77777777" w:rsidR="00C43CF3" w:rsidRPr="00920D1F" w:rsidRDefault="00C43CF3" w:rsidP="00BB6B6C">
      <w:pPr>
        <w:spacing w:line="360" w:lineRule="auto"/>
        <w:jc w:val="center"/>
        <w:rPr>
          <w:b/>
          <w:bCs/>
          <w:sz w:val="32"/>
          <w:szCs w:val="32"/>
        </w:rPr>
      </w:pPr>
    </w:p>
    <w:p w14:paraId="323D5640" w14:textId="77777777" w:rsidR="00C43CF3" w:rsidRPr="00920D1F" w:rsidRDefault="00C43CF3" w:rsidP="00BB6B6C">
      <w:pPr>
        <w:spacing w:line="360" w:lineRule="auto"/>
        <w:jc w:val="center"/>
        <w:rPr>
          <w:b/>
          <w:bCs/>
          <w:sz w:val="32"/>
          <w:szCs w:val="32"/>
        </w:rPr>
      </w:pPr>
    </w:p>
    <w:p w14:paraId="52B5E129" w14:textId="77777777" w:rsidR="00D57B51" w:rsidRDefault="004E6B2B" w:rsidP="00BB6B6C">
      <w:pPr>
        <w:spacing w:line="360" w:lineRule="auto"/>
        <w:jc w:val="center"/>
        <w:rPr>
          <w:b/>
          <w:bCs/>
          <w:sz w:val="32"/>
          <w:szCs w:val="32"/>
        </w:rPr>
      </w:pPr>
      <w:r>
        <w:rPr>
          <w:b/>
          <w:bCs/>
          <w:sz w:val="32"/>
          <w:szCs w:val="32"/>
        </w:rPr>
        <w:t xml:space="preserve">MODULE </w:t>
      </w:r>
      <w:r w:rsidR="00D57B51">
        <w:rPr>
          <w:b/>
          <w:bCs/>
          <w:sz w:val="32"/>
          <w:szCs w:val="32"/>
        </w:rPr>
        <w:t xml:space="preserve">CODE: </w:t>
      </w:r>
      <w:r w:rsidR="001526FC" w:rsidRPr="00920D1F">
        <w:rPr>
          <w:b/>
          <w:bCs/>
          <w:sz w:val="32"/>
          <w:szCs w:val="32"/>
        </w:rPr>
        <w:t>LCBB5002</w:t>
      </w:r>
      <w:r w:rsidR="00D57B51">
        <w:rPr>
          <w:b/>
          <w:bCs/>
          <w:sz w:val="32"/>
          <w:szCs w:val="32"/>
        </w:rPr>
        <w:t xml:space="preserve"> </w:t>
      </w:r>
    </w:p>
    <w:p w14:paraId="5D2904E0" w14:textId="77777777" w:rsidR="00D57B51" w:rsidRDefault="001526FC" w:rsidP="00BB6B6C">
      <w:pPr>
        <w:spacing w:line="360" w:lineRule="auto"/>
        <w:jc w:val="center"/>
        <w:rPr>
          <w:b/>
          <w:bCs/>
          <w:sz w:val="32"/>
          <w:szCs w:val="32"/>
        </w:rPr>
      </w:pPr>
      <w:r w:rsidRPr="00920D1F">
        <w:rPr>
          <w:b/>
          <w:bCs/>
          <w:sz w:val="32"/>
          <w:szCs w:val="32"/>
        </w:rPr>
        <w:t xml:space="preserve">Management Accounting </w:t>
      </w:r>
    </w:p>
    <w:p w14:paraId="3DEE1F9E" w14:textId="22F4925A" w:rsidR="001526FC" w:rsidRDefault="001526FC" w:rsidP="00BB6B6C">
      <w:pPr>
        <w:spacing w:line="360" w:lineRule="auto"/>
        <w:jc w:val="center"/>
        <w:rPr>
          <w:b/>
          <w:bCs/>
          <w:sz w:val="32"/>
          <w:szCs w:val="32"/>
        </w:rPr>
      </w:pPr>
      <w:r w:rsidRPr="00920D1F">
        <w:rPr>
          <w:b/>
          <w:bCs/>
          <w:sz w:val="32"/>
          <w:szCs w:val="32"/>
        </w:rPr>
        <w:t>Assessment 2</w:t>
      </w:r>
    </w:p>
    <w:p w14:paraId="1B9F5E07" w14:textId="643ED7E7" w:rsidR="00D57B51" w:rsidRPr="00920D1F" w:rsidRDefault="00D57B51" w:rsidP="00BB6B6C">
      <w:pPr>
        <w:spacing w:line="360" w:lineRule="auto"/>
        <w:jc w:val="center"/>
        <w:rPr>
          <w:b/>
          <w:bCs/>
          <w:sz w:val="32"/>
          <w:szCs w:val="32"/>
        </w:rPr>
      </w:pPr>
      <w:r>
        <w:rPr>
          <w:b/>
          <w:bCs/>
          <w:sz w:val="32"/>
          <w:szCs w:val="32"/>
        </w:rPr>
        <w:t xml:space="preserve">University </w:t>
      </w:r>
      <w:r w:rsidR="000C472B">
        <w:rPr>
          <w:b/>
          <w:bCs/>
          <w:sz w:val="32"/>
          <w:szCs w:val="32"/>
        </w:rPr>
        <w:t xml:space="preserve">of Wales Trinity Saint David </w:t>
      </w:r>
    </w:p>
    <w:p w14:paraId="4BEFE521" w14:textId="77777777" w:rsidR="00D57B51" w:rsidRDefault="00D57B51" w:rsidP="00BB6B6C">
      <w:pPr>
        <w:spacing w:line="360" w:lineRule="auto"/>
        <w:jc w:val="center"/>
        <w:rPr>
          <w:b/>
          <w:bCs/>
          <w:sz w:val="32"/>
          <w:szCs w:val="32"/>
        </w:rPr>
      </w:pPr>
    </w:p>
    <w:p w14:paraId="2C33D70D" w14:textId="77777777" w:rsidR="00D57B51" w:rsidRDefault="00D57B51" w:rsidP="00BB6B6C">
      <w:pPr>
        <w:spacing w:line="360" w:lineRule="auto"/>
        <w:jc w:val="center"/>
        <w:rPr>
          <w:b/>
          <w:bCs/>
          <w:sz w:val="32"/>
          <w:szCs w:val="32"/>
        </w:rPr>
      </w:pPr>
    </w:p>
    <w:p w14:paraId="0150FDFE" w14:textId="77777777" w:rsidR="00D57B51" w:rsidRDefault="00D57B51" w:rsidP="00BB6B6C">
      <w:pPr>
        <w:spacing w:line="360" w:lineRule="auto"/>
        <w:jc w:val="center"/>
        <w:rPr>
          <w:b/>
          <w:bCs/>
          <w:sz w:val="32"/>
          <w:szCs w:val="32"/>
        </w:rPr>
      </w:pPr>
    </w:p>
    <w:p w14:paraId="1E0E3ADA" w14:textId="77777777" w:rsidR="00D57B51" w:rsidRDefault="00D57B51" w:rsidP="00BB6B6C">
      <w:pPr>
        <w:spacing w:line="360" w:lineRule="auto"/>
        <w:jc w:val="center"/>
        <w:rPr>
          <w:b/>
          <w:bCs/>
          <w:sz w:val="32"/>
          <w:szCs w:val="32"/>
        </w:rPr>
      </w:pPr>
    </w:p>
    <w:p w14:paraId="45052782" w14:textId="17B2EC4C" w:rsidR="007174AC" w:rsidRPr="00920D1F" w:rsidRDefault="007174AC" w:rsidP="00BB6B6C">
      <w:pPr>
        <w:spacing w:line="360" w:lineRule="auto"/>
        <w:jc w:val="center"/>
        <w:rPr>
          <w:b/>
          <w:bCs/>
          <w:sz w:val="32"/>
          <w:szCs w:val="32"/>
        </w:rPr>
      </w:pPr>
      <w:r w:rsidRPr="00920D1F">
        <w:rPr>
          <w:b/>
          <w:bCs/>
          <w:sz w:val="32"/>
          <w:szCs w:val="32"/>
        </w:rPr>
        <w:t>Student Name:</w:t>
      </w:r>
      <w:r w:rsidR="000C472B">
        <w:rPr>
          <w:b/>
          <w:bCs/>
          <w:sz w:val="32"/>
          <w:szCs w:val="32"/>
        </w:rPr>
        <w:t xml:space="preserve"> Maria Hagiu</w:t>
      </w:r>
    </w:p>
    <w:p w14:paraId="14A91129" w14:textId="5295A879" w:rsidR="007174AC" w:rsidRDefault="007174AC" w:rsidP="00BB6B6C">
      <w:pPr>
        <w:spacing w:line="360" w:lineRule="auto"/>
        <w:jc w:val="center"/>
        <w:rPr>
          <w:b/>
          <w:bCs/>
          <w:sz w:val="32"/>
          <w:szCs w:val="32"/>
        </w:rPr>
      </w:pPr>
      <w:r w:rsidRPr="00920D1F">
        <w:rPr>
          <w:b/>
          <w:bCs/>
          <w:sz w:val="32"/>
          <w:szCs w:val="32"/>
        </w:rPr>
        <w:t>Student Id:</w:t>
      </w:r>
      <w:r w:rsidR="00611FE5">
        <w:rPr>
          <w:b/>
          <w:bCs/>
          <w:sz w:val="32"/>
          <w:szCs w:val="32"/>
        </w:rPr>
        <w:t xml:space="preserve"> 2024157</w:t>
      </w:r>
    </w:p>
    <w:p w14:paraId="526D17F3" w14:textId="53782C7D" w:rsidR="00611FE5" w:rsidRPr="00920D1F" w:rsidRDefault="00611FE5" w:rsidP="00BB6B6C">
      <w:pPr>
        <w:spacing w:line="360" w:lineRule="auto"/>
        <w:jc w:val="center"/>
        <w:rPr>
          <w:b/>
          <w:bCs/>
          <w:sz w:val="32"/>
          <w:szCs w:val="32"/>
        </w:rPr>
      </w:pPr>
      <w:r>
        <w:rPr>
          <w:b/>
          <w:bCs/>
          <w:sz w:val="32"/>
          <w:szCs w:val="32"/>
        </w:rPr>
        <w:t>Date: May 2022</w:t>
      </w:r>
    </w:p>
    <w:p w14:paraId="4B497CF3" w14:textId="77777777" w:rsidR="001526FC" w:rsidRPr="00920D1F" w:rsidRDefault="001526FC" w:rsidP="00BB6B6C">
      <w:pPr>
        <w:spacing w:after="160" w:line="360" w:lineRule="auto"/>
        <w:jc w:val="left"/>
        <w:rPr>
          <w:b/>
          <w:bCs/>
          <w:sz w:val="32"/>
          <w:szCs w:val="32"/>
        </w:rPr>
      </w:pPr>
      <w:r w:rsidRPr="00920D1F">
        <w:rPr>
          <w:b/>
          <w:bCs/>
          <w:sz w:val="32"/>
          <w:szCs w:val="32"/>
        </w:rPr>
        <w:br w:type="page"/>
      </w:r>
    </w:p>
    <w:sdt>
      <w:sdtPr>
        <w:rPr>
          <w:rFonts w:ascii="Times New Roman" w:eastAsiaTheme="minorHAnsi" w:hAnsi="Times New Roman" w:cstheme="minorBidi"/>
          <w:color w:val="auto"/>
          <w:sz w:val="24"/>
          <w:szCs w:val="22"/>
          <w:lang w:val="en-GB"/>
        </w:rPr>
        <w:id w:val="-1660307871"/>
        <w:docPartObj>
          <w:docPartGallery w:val="Table of Contents"/>
          <w:docPartUnique/>
        </w:docPartObj>
      </w:sdtPr>
      <w:sdtEndPr>
        <w:rPr>
          <w:b/>
          <w:bCs/>
          <w:noProof/>
        </w:rPr>
      </w:sdtEndPr>
      <w:sdtContent>
        <w:p w14:paraId="730B8C5A" w14:textId="3F6729EC" w:rsidR="007174AC" w:rsidRPr="00920D1F" w:rsidRDefault="007174AC" w:rsidP="007174AC">
          <w:pPr>
            <w:pStyle w:val="TOCHeading"/>
            <w:jc w:val="center"/>
            <w:rPr>
              <w:rFonts w:ascii="Times New Roman" w:hAnsi="Times New Roman" w:cs="Times New Roman"/>
              <w:b/>
              <w:bCs/>
              <w:color w:val="auto"/>
              <w:sz w:val="24"/>
              <w:szCs w:val="24"/>
              <w:lang w:val="en-GB"/>
            </w:rPr>
          </w:pPr>
          <w:r w:rsidRPr="00920D1F">
            <w:rPr>
              <w:rFonts w:ascii="Times New Roman" w:hAnsi="Times New Roman" w:cs="Times New Roman"/>
              <w:b/>
              <w:bCs/>
              <w:color w:val="auto"/>
              <w:sz w:val="24"/>
              <w:szCs w:val="24"/>
              <w:lang w:val="en-GB"/>
            </w:rPr>
            <w:t>Table of Contents</w:t>
          </w:r>
        </w:p>
        <w:p w14:paraId="1ED5BA7D" w14:textId="6A390C42" w:rsidR="007174AC" w:rsidRPr="00920D1F" w:rsidRDefault="007174AC">
          <w:pPr>
            <w:pStyle w:val="TOC1"/>
            <w:tabs>
              <w:tab w:val="right" w:leader="dot" w:pos="9016"/>
            </w:tabs>
            <w:rPr>
              <w:rFonts w:cs="Times New Roman"/>
              <w:noProof/>
              <w:szCs w:val="24"/>
            </w:rPr>
          </w:pPr>
          <w:r w:rsidRPr="00920D1F">
            <w:rPr>
              <w:rFonts w:cs="Times New Roman"/>
              <w:szCs w:val="24"/>
            </w:rPr>
            <w:fldChar w:fldCharType="begin"/>
          </w:r>
          <w:r w:rsidRPr="00920D1F">
            <w:rPr>
              <w:rFonts w:cs="Times New Roman"/>
              <w:szCs w:val="24"/>
            </w:rPr>
            <w:instrText xml:space="preserve"> TOC \o "1-3" \h \z \u </w:instrText>
          </w:r>
          <w:r w:rsidRPr="00920D1F">
            <w:rPr>
              <w:rFonts w:cs="Times New Roman"/>
              <w:szCs w:val="24"/>
            </w:rPr>
            <w:fldChar w:fldCharType="separate"/>
          </w:r>
          <w:hyperlink w:anchor="_Toc101201757" w:history="1">
            <w:r w:rsidRPr="00920D1F">
              <w:rPr>
                <w:rStyle w:val="Hyperlink"/>
                <w:rFonts w:cs="Times New Roman"/>
                <w:noProof/>
                <w:color w:val="auto"/>
                <w:szCs w:val="24"/>
              </w:rPr>
              <w:t>Introduction</w:t>
            </w:r>
            <w:r w:rsidRPr="00920D1F">
              <w:rPr>
                <w:rFonts w:cs="Times New Roman"/>
                <w:noProof/>
                <w:webHidden/>
                <w:szCs w:val="24"/>
              </w:rPr>
              <w:tab/>
            </w:r>
            <w:r w:rsidRPr="00920D1F">
              <w:rPr>
                <w:rFonts w:cs="Times New Roman"/>
                <w:noProof/>
                <w:webHidden/>
                <w:szCs w:val="24"/>
              </w:rPr>
              <w:fldChar w:fldCharType="begin"/>
            </w:r>
            <w:r w:rsidRPr="00920D1F">
              <w:rPr>
                <w:rFonts w:cs="Times New Roman"/>
                <w:noProof/>
                <w:webHidden/>
                <w:szCs w:val="24"/>
              </w:rPr>
              <w:instrText xml:space="preserve"> PAGEREF _Toc101201757 \h </w:instrText>
            </w:r>
            <w:r w:rsidRPr="00920D1F">
              <w:rPr>
                <w:rFonts w:cs="Times New Roman"/>
                <w:noProof/>
                <w:webHidden/>
                <w:szCs w:val="24"/>
              </w:rPr>
            </w:r>
            <w:r w:rsidRPr="00920D1F">
              <w:rPr>
                <w:rFonts w:cs="Times New Roman"/>
                <w:noProof/>
                <w:webHidden/>
                <w:szCs w:val="24"/>
              </w:rPr>
              <w:fldChar w:fldCharType="separate"/>
            </w:r>
            <w:r w:rsidRPr="00920D1F">
              <w:rPr>
                <w:rFonts w:cs="Times New Roman"/>
                <w:noProof/>
                <w:webHidden/>
                <w:szCs w:val="24"/>
              </w:rPr>
              <w:t>3</w:t>
            </w:r>
            <w:r w:rsidRPr="00920D1F">
              <w:rPr>
                <w:rFonts w:cs="Times New Roman"/>
                <w:noProof/>
                <w:webHidden/>
                <w:szCs w:val="24"/>
              </w:rPr>
              <w:fldChar w:fldCharType="end"/>
            </w:r>
          </w:hyperlink>
        </w:p>
        <w:p w14:paraId="086017F8" w14:textId="69E83E8D" w:rsidR="007174AC" w:rsidRPr="00920D1F" w:rsidRDefault="00C56037">
          <w:pPr>
            <w:pStyle w:val="TOC1"/>
            <w:tabs>
              <w:tab w:val="right" w:leader="dot" w:pos="9016"/>
            </w:tabs>
            <w:rPr>
              <w:rFonts w:cs="Times New Roman"/>
              <w:noProof/>
              <w:szCs w:val="24"/>
            </w:rPr>
          </w:pPr>
          <w:hyperlink w:anchor="_Toc101201758" w:history="1">
            <w:r w:rsidR="007174AC" w:rsidRPr="00920D1F">
              <w:rPr>
                <w:rStyle w:val="Hyperlink"/>
                <w:rFonts w:eastAsia="Times New Roman" w:cs="Times New Roman"/>
                <w:noProof/>
                <w:color w:val="auto"/>
                <w:szCs w:val="24"/>
                <w:lang w:eastAsia="en-IN"/>
              </w:rPr>
              <w:t>Part A</w:t>
            </w:r>
            <w:r w:rsidR="007174AC" w:rsidRPr="00920D1F">
              <w:rPr>
                <w:rFonts w:cs="Times New Roman"/>
                <w:noProof/>
                <w:webHidden/>
                <w:szCs w:val="24"/>
              </w:rPr>
              <w:tab/>
            </w:r>
            <w:r w:rsidR="007174AC" w:rsidRPr="00920D1F">
              <w:rPr>
                <w:rFonts w:cs="Times New Roman"/>
                <w:noProof/>
                <w:webHidden/>
                <w:szCs w:val="24"/>
              </w:rPr>
              <w:fldChar w:fldCharType="begin"/>
            </w:r>
            <w:r w:rsidR="007174AC" w:rsidRPr="00920D1F">
              <w:rPr>
                <w:rFonts w:cs="Times New Roman"/>
                <w:noProof/>
                <w:webHidden/>
                <w:szCs w:val="24"/>
              </w:rPr>
              <w:instrText xml:space="preserve"> PAGEREF _Toc101201758 \h </w:instrText>
            </w:r>
            <w:r w:rsidR="007174AC" w:rsidRPr="00920D1F">
              <w:rPr>
                <w:rFonts w:cs="Times New Roman"/>
                <w:noProof/>
                <w:webHidden/>
                <w:szCs w:val="24"/>
              </w:rPr>
            </w:r>
            <w:r w:rsidR="007174AC" w:rsidRPr="00920D1F">
              <w:rPr>
                <w:rFonts w:cs="Times New Roman"/>
                <w:noProof/>
                <w:webHidden/>
                <w:szCs w:val="24"/>
              </w:rPr>
              <w:fldChar w:fldCharType="separate"/>
            </w:r>
            <w:r w:rsidR="007174AC" w:rsidRPr="00920D1F">
              <w:rPr>
                <w:rFonts w:cs="Times New Roman"/>
                <w:noProof/>
                <w:webHidden/>
                <w:szCs w:val="24"/>
              </w:rPr>
              <w:t>3</w:t>
            </w:r>
            <w:r w:rsidR="007174AC" w:rsidRPr="00920D1F">
              <w:rPr>
                <w:rFonts w:cs="Times New Roman"/>
                <w:noProof/>
                <w:webHidden/>
                <w:szCs w:val="24"/>
              </w:rPr>
              <w:fldChar w:fldCharType="end"/>
            </w:r>
          </w:hyperlink>
        </w:p>
        <w:p w14:paraId="69842E4D" w14:textId="55890D72" w:rsidR="007174AC" w:rsidRPr="00920D1F" w:rsidRDefault="00C56037">
          <w:pPr>
            <w:pStyle w:val="TOC2"/>
            <w:tabs>
              <w:tab w:val="right" w:leader="dot" w:pos="9016"/>
            </w:tabs>
            <w:rPr>
              <w:rFonts w:cs="Times New Roman"/>
              <w:noProof/>
              <w:szCs w:val="24"/>
            </w:rPr>
          </w:pPr>
          <w:hyperlink w:anchor="_Toc101201759" w:history="1">
            <w:r w:rsidR="007174AC" w:rsidRPr="00920D1F">
              <w:rPr>
                <w:rStyle w:val="Hyperlink"/>
                <w:rFonts w:eastAsia="Times New Roman" w:cs="Times New Roman"/>
                <w:noProof/>
                <w:color w:val="auto"/>
                <w:szCs w:val="24"/>
                <w:lang w:eastAsia="en-IN"/>
              </w:rPr>
              <w:t>(i) Preparing control reports by including a flexible budget, budget and variances.</w:t>
            </w:r>
            <w:r w:rsidR="007174AC" w:rsidRPr="00920D1F">
              <w:rPr>
                <w:rFonts w:cs="Times New Roman"/>
                <w:noProof/>
                <w:webHidden/>
                <w:szCs w:val="24"/>
              </w:rPr>
              <w:tab/>
            </w:r>
            <w:r w:rsidR="007174AC" w:rsidRPr="00920D1F">
              <w:rPr>
                <w:rFonts w:cs="Times New Roman"/>
                <w:noProof/>
                <w:webHidden/>
                <w:szCs w:val="24"/>
              </w:rPr>
              <w:fldChar w:fldCharType="begin"/>
            </w:r>
            <w:r w:rsidR="007174AC" w:rsidRPr="00920D1F">
              <w:rPr>
                <w:rFonts w:cs="Times New Roman"/>
                <w:noProof/>
                <w:webHidden/>
                <w:szCs w:val="24"/>
              </w:rPr>
              <w:instrText xml:space="preserve"> PAGEREF _Toc101201759 \h </w:instrText>
            </w:r>
            <w:r w:rsidR="007174AC" w:rsidRPr="00920D1F">
              <w:rPr>
                <w:rFonts w:cs="Times New Roman"/>
                <w:noProof/>
                <w:webHidden/>
                <w:szCs w:val="24"/>
              </w:rPr>
            </w:r>
            <w:r w:rsidR="007174AC" w:rsidRPr="00920D1F">
              <w:rPr>
                <w:rFonts w:cs="Times New Roman"/>
                <w:noProof/>
                <w:webHidden/>
                <w:szCs w:val="24"/>
              </w:rPr>
              <w:fldChar w:fldCharType="separate"/>
            </w:r>
            <w:r w:rsidR="007174AC" w:rsidRPr="00920D1F">
              <w:rPr>
                <w:rFonts w:cs="Times New Roman"/>
                <w:noProof/>
                <w:webHidden/>
                <w:szCs w:val="24"/>
              </w:rPr>
              <w:t>3</w:t>
            </w:r>
            <w:r w:rsidR="007174AC" w:rsidRPr="00920D1F">
              <w:rPr>
                <w:rFonts w:cs="Times New Roman"/>
                <w:noProof/>
                <w:webHidden/>
                <w:szCs w:val="24"/>
              </w:rPr>
              <w:fldChar w:fldCharType="end"/>
            </w:r>
          </w:hyperlink>
        </w:p>
        <w:p w14:paraId="0EF13C6F" w14:textId="4FCEB755" w:rsidR="007174AC" w:rsidRPr="00920D1F" w:rsidRDefault="00C56037">
          <w:pPr>
            <w:pStyle w:val="TOC2"/>
            <w:tabs>
              <w:tab w:val="right" w:leader="dot" w:pos="9016"/>
            </w:tabs>
            <w:rPr>
              <w:rFonts w:cs="Times New Roman"/>
              <w:noProof/>
              <w:szCs w:val="24"/>
            </w:rPr>
          </w:pPr>
          <w:hyperlink w:anchor="_Toc101201760" w:history="1">
            <w:r w:rsidR="007174AC" w:rsidRPr="00920D1F">
              <w:rPr>
                <w:rStyle w:val="Hyperlink"/>
                <w:rFonts w:eastAsia="Times New Roman" w:cs="Times New Roman"/>
                <w:noProof/>
                <w:color w:val="auto"/>
                <w:szCs w:val="24"/>
                <w:lang w:eastAsia="en-IN"/>
              </w:rPr>
              <w:t>(ii) Amana Ltd’s performance in 2020 by considering the above control report</w:t>
            </w:r>
            <w:r w:rsidR="007174AC" w:rsidRPr="00920D1F">
              <w:rPr>
                <w:rFonts w:cs="Times New Roman"/>
                <w:noProof/>
                <w:webHidden/>
                <w:szCs w:val="24"/>
              </w:rPr>
              <w:tab/>
            </w:r>
            <w:r w:rsidR="007174AC" w:rsidRPr="00920D1F">
              <w:rPr>
                <w:rFonts w:cs="Times New Roman"/>
                <w:noProof/>
                <w:webHidden/>
                <w:szCs w:val="24"/>
              </w:rPr>
              <w:fldChar w:fldCharType="begin"/>
            </w:r>
            <w:r w:rsidR="007174AC" w:rsidRPr="00920D1F">
              <w:rPr>
                <w:rFonts w:cs="Times New Roman"/>
                <w:noProof/>
                <w:webHidden/>
                <w:szCs w:val="24"/>
              </w:rPr>
              <w:instrText xml:space="preserve"> PAGEREF _Toc101201760 \h </w:instrText>
            </w:r>
            <w:r w:rsidR="007174AC" w:rsidRPr="00920D1F">
              <w:rPr>
                <w:rFonts w:cs="Times New Roman"/>
                <w:noProof/>
                <w:webHidden/>
                <w:szCs w:val="24"/>
              </w:rPr>
            </w:r>
            <w:r w:rsidR="007174AC" w:rsidRPr="00920D1F">
              <w:rPr>
                <w:rFonts w:cs="Times New Roman"/>
                <w:noProof/>
                <w:webHidden/>
                <w:szCs w:val="24"/>
              </w:rPr>
              <w:fldChar w:fldCharType="separate"/>
            </w:r>
            <w:r w:rsidR="007174AC" w:rsidRPr="00920D1F">
              <w:rPr>
                <w:rFonts w:cs="Times New Roman"/>
                <w:noProof/>
                <w:webHidden/>
                <w:szCs w:val="24"/>
              </w:rPr>
              <w:t>5</w:t>
            </w:r>
            <w:r w:rsidR="007174AC" w:rsidRPr="00920D1F">
              <w:rPr>
                <w:rFonts w:cs="Times New Roman"/>
                <w:noProof/>
                <w:webHidden/>
                <w:szCs w:val="24"/>
              </w:rPr>
              <w:fldChar w:fldCharType="end"/>
            </w:r>
          </w:hyperlink>
        </w:p>
        <w:p w14:paraId="57A8167C" w14:textId="1C84A249" w:rsidR="007174AC" w:rsidRPr="00920D1F" w:rsidRDefault="00C56037">
          <w:pPr>
            <w:pStyle w:val="TOC2"/>
            <w:tabs>
              <w:tab w:val="right" w:leader="dot" w:pos="9016"/>
            </w:tabs>
            <w:rPr>
              <w:rFonts w:cs="Times New Roman"/>
              <w:noProof/>
              <w:szCs w:val="24"/>
            </w:rPr>
          </w:pPr>
          <w:hyperlink w:anchor="_Toc101201761" w:history="1">
            <w:r w:rsidR="007174AC" w:rsidRPr="00920D1F">
              <w:rPr>
                <w:rStyle w:val="Hyperlink"/>
                <w:rFonts w:cs="Times New Roman"/>
                <w:noProof/>
                <w:color w:val="auto"/>
                <w:szCs w:val="24"/>
              </w:rPr>
              <w:t>(iii) Presentation of positive recommendation approach related to “Amana Ltd”</w:t>
            </w:r>
            <w:r w:rsidR="007174AC" w:rsidRPr="00920D1F">
              <w:rPr>
                <w:rFonts w:cs="Times New Roman"/>
                <w:noProof/>
                <w:webHidden/>
                <w:szCs w:val="24"/>
              </w:rPr>
              <w:tab/>
            </w:r>
            <w:r w:rsidR="007174AC" w:rsidRPr="00920D1F">
              <w:rPr>
                <w:rFonts w:cs="Times New Roman"/>
                <w:noProof/>
                <w:webHidden/>
                <w:szCs w:val="24"/>
              </w:rPr>
              <w:fldChar w:fldCharType="begin"/>
            </w:r>
            <w:r w:rsidR="007174AC" w:rsidRPr="00920D1F">
              <w:rPr>
                <w:rFonts w:cs="Times New Roman"/>
                <w:noProof/>
                <w:webHidden/>
                <w:szCs w:val="24"/>
              </w:rPr>
              <w:instrText xml:space="preserve"> PAGEREF _Toc101201761 \h </w:instrText>
            </w:r>
            <w:r w:rsidR="007174AC" w:rsidRPr="00920D1F">
              <w:rPr>
                <w:rFonts w:cs="Times New Roman"/>
                <w:noProof/>
                <w:webHidden/>
                <w:szCs w:val="24"/>
              </w:rPr>
            </w:r>
            <w:r w:rsidR="007174AC" w:rsidRPr="00920D1F">
              <w:rPr>
                <w:rFonts w:cs="Times New Roman"/>
                <w:noProof/>
                <w:webHidden/>
                <w:szCs w:val="24"/>
              </w:rPr>
              <w:fldChar w:fldCharType="separate"/>
            </w:r>
            <w:r w:rsidR="007174AC" w:rsidRPr="00920D1F">
              <w:rPr>
                <w:rFonts w:cs="Times New Roman"/>
                <w:noProof/>
                <w:webHidden/>
                <w:szCs w:val="24"/>
              </w:rPr>
              <w:t>6</w:t>
            </w:r>
            <w:r w:rsidR="007174AC" w:rsidRPr="00920D1F">
              <w:rPr>
                <w:rFonts w:cs="Times New Roman"/>
                <w:noProof/>
                <w:webHidden/>
                <w:szCs w:val="24"/>
              </w:rPr>
              <w:fldChar w:fldCharType="end"/>
            </w:r>
          </w:hyperlink>
        </w:p>
        <w:p w14:paraId="66737AAC" w14:textId="4C097CD5" w:rsidR="007174AC" w:rsidRPr="00920D1F" w:rsidRDefault="00C56037">
          <w:pPr>
            <w:pStyle w:val="TOC1"/>
            <w:tabs>
              <w:tab w:val="right" w:leader="dot" w:pos="9016"/>
            </w:tabs>
            <w:rPr>
              <w:rFonts w:cs="Times New Roman"/>
              <w:noProof/>
              <w:szCs w:val="24"/>
            </w:rPr>
          </w:pPr>
          <w:hyperlink w:anchor="_Toc101201762" w:history="1">
            <w:r w:rsidR="007174AC" w:rsidRPr="00920D1F">
              <w:rPr>
                <w:rStyle w:val="Hyperlink"/>
                <w:rFonts w:eastAsia="Times New Roman" w:cs="Times New Roman"/>
                <w:noProof/>
                <w:color w:val="auto"/>
                <w:szCs w:val="24"/>
                <w:lang w:eastAsia="en-IN"/>
              </w:rPr>
              <w:t>Part B</w:t>
            </w:r>
            <w:r w:rsidR="007174AC" w:rsidRPr="00920D1F">
              <w:rPr>
                <w:rFonts w:cs="Times New Roman"/>
                <w:noProof/>
                <w:webHidden/>
                <w:szCs w:val="24"/>
              </w:rPr>
              <w:tab/>
            </w:r>
            <w:r w:rsidR="007174AC" w:rsidRPr="00920D1F">
              <w:rPr>
                <w:rFonts w:cs="Times New Roman"/>
                <w:noProof/>
                <w:webHidden/>
                <w:szCs w:val="24"/>
              </w:rPr>
              <w:fldChar w:fldCharType="begin"/>
            </w:r>
            <w:r w:rsidR="007174AC" w:rsidRPr="00920D1F">
              <w:rPr>
                <w:rFonts w:cs="Times New Roman"/>
                <w:noProof/>
                <w:webHidden/>
                <w:szCs w:val="24"/>
              </w:rPr>
              <w:instrText xml:space="preserve"> PAGEREF _Toc101201762 \h </w:instrText>
            </w:r>
            <w:r w:rsidR="007174AC" w:rsidRPr="00920D1F">
              <w:rPr>
                <w:rFonts w:cs="Times New Roman"/>
                <w:noProof/>
                <w:webHidden/>
                <w:szCs w:val="24"/>
              </w:rPr>
            </w:r>
            <w:r w:rsidR="007174AC" w:rsidRPr="00920D1F">
              <w:rPr>
                <w:rFonts w:cs="Times New Roman"/>
                <w:noProof/>
                <w:webHidden/>
                <w:szCs w:val="24"/>
              </w:rPr>
              <w:fldChar w:fldCharType="separate"/>
            </w:r>
            <w:r w:rsidR="007174AC" w:rsidRPr="00920D1F">
              <w:rPr>
                <w:rFonts w:cs="Times New Roman"/>
                <w:noProof/>
                <w:webHidden/>
                <w:szCs w:val="24"/>
              </w:rPr>
              <w:t>7</w:t>
            </w:r>
            <w:r w:rsidR="007174AC" w:rsidRPr="00920D1F">
              <w:rPr>
                <w:rFonts w:cs="Times New Roman"/>
                <w:noProof/>
                <w:webHidden/>
                <w:szCs w:val="24"/>
              </w:rPr>
              <w:fldChar w:fldCharType="end"/>
            </w:r>
          </w:hyperlink>
        </w:p>
        <w:p w14:paraId="7735FA56" w14:textId="2E37C991" w:rsidR="007174AC" w:rsidRPr="00920D1F" w:rsidRDefault="00C56037">
          <w:pPr>
            <w:pStyle w:val="TOC1"/>
            <w:tabs>
              <w:tab w:val="right" w:leader="dot" w:pos="9016"/>
            </w:tabs>
            <w:rPr>
              <w:rFonts w:cs="Times New Roman"/>
              <w:noProof/>
              <w:szCs w:val="24"/>
            </w:rPr>
          </w:pPr>
          <w:hyperlink w:anchor="_Toc101201763" w:history="1">
            <w:r w:rsidR="007174AC" w:rsidRPr="00920D1F">
              <w:rPr>
                <w:rStyle w:val="Hyperlink"/>
                <w:rFonts w:eastAsia="Times New Roman" w:cs="Times New Roman"/>
                <w:noProof/>
                <w:color w:val="auto"/>
                <w:szCs w:val="24"/>
                <w:lang w:eastAsia="en-IN"/>
              </w:rPr>
              <w:t>Conclusion</w:t>
            </w:r>
            <w:r w:rsidR="007174AC" w:rsidRPr="00920D1F">
              <w:rPr>
                <w:rFonts w:cs="Times New Roman"/>
                <w:noProof/>
                <w:webHidden/>
                <w:szCs w:val="24"/>
              </w:rPr>
              <w:tab/>
            </w:r>
            <w:r w:rsidR="007174AC" w:rsidRPr="00920D1F">
              <w:rPr>
                <w:rFonts w:cs="Times New Roman"/>
                <w:noProof/>
                <w:webHidden/>
                <w:szCs w:val="24"/>
              </w:rPr>
              <w:fldChar w:fldCharType="begin"/>
            </w:r>
            <w:r w:rsidR="007174AC" w:rsidRPr="00920D1F">
              <w:rPr>
                <w:rFonts w:cs="Times New Roman"/>
                <w:noProof/>
                <w:webHidden/>
                <w:szCs w:val="24"/>
              </w:rPr>
              <w:instrText xml:space="preserve"> PAGEREF _Toc101201763 \h </w:instrText>
            </w:r>
            <w:r w:rsidR="007174AC" w:rsidRPr="00920D1F">
              <w:rPr>
                <w:rFonts w:cs="Times New Roman"/>
                <w:noProof/>
                <w:webHidden/>
                <w:szCs w:val="24"/>
              </w:rPr>
            </w:r>
            <w:r w:rsidR="007174AC" w:rsidRPr="00920D1F">
              <w:rPr>
                <w:rFonts w:cs="Times New Roman"/>
                <w:noProof/>
                <w:webHidden/>
                <w:szCs w:val="24"/>
              </w:rPr>
              <w:fldChar w:fldCharType="separate"/>
            </w:r>
            <w:r w:rsidR="007174AC" w:rsidRPr="00920D1F">
              <w:rPr>
                <w:rFonts w:cs="Times New Roman"/>
                <w:noProof/>
                <w:webHidden/>
                <w:szCs w:val="24"/>
              </w:rPr>
              <w:t>9</w:t>
            </w:r>
            <w:r w:rsidR="007174AC" w:rsidRPr="00920D1F">
              <w:rPr>
                <w:rFonts w:cs="Times New Roman"/>
                <w:noProof/>
                <w:webHidden/>
                <w:szCs w:val="24"/>
              </w:rPr>
              <w:fldChar w:fldCharType="end"/>
            </w:r>
          </w:hyperlink>
        </w:p>
        <w:p w14:paraId="6CD1BDFC" w14:textId="135979AE" w:rsidR="007174AC" w:rsidRPr="00920D1F" w:rsidRDefault="00C56037">
          <w:pPr>
            <w:pStyle w:val="TOC1"/>
            <w:tabs>
              <w:tab w:val="right" w:leader="dot" w:pos="9016"/>
            </w:tabs>
            <w:rPr>
              <w:rFonts w:cs="Times New Roman"/>
              <w:noProof/>
              <w:szCs w:val="24"/>
            </w:rPr>
          </w:pPr>
          <w:hyperlink w:anchor="_Toc101201764" w:history="1">
            <w:r w:rsidR="007174AC" w:rsidRPr="00920D1F">
              <w:rPr>
                <w:rStyle w:val="Hyperlink"/>
                <w:rFonts w:cs="Times New Roman"/>
                <w:noProof/>
                <w:color w:val="auto"/>
                <w:szCs w:val="24"/>
              </w:rPr>
              <w:t>References</w:t>
            </w:r>
            <w:r w:rsidR="007174AC" w:rsidRPr="00920D1F">
              <w:rPr>
                <w:rFonts w:cs="Times New Roman"/>
                <w:noProof/>
                <w:webHidden/>
                <w:szCs w:val="24"/>
              </w:rPr>
              <w:tab/>
            </w:r>
            <w:r w:rsidR="007174AC" w:rsidRPr="00920D1F">
              <w:rPr>
                <w:rFonts w:cs="Times New Roman"/>
                <w:noProof/>
                <w:webHidden/>
                <w:szCs w:val="24"/>
              </w:rPr>
              <w:fldChar w:fldCharType="begin"/>
            </w:r>
            <w:r w:rsidR="007174AC" w:rsidRPr="00920D1F">
              <w:rPr>
                <w:rFonts w:cs="Times New Roman"/>
                <w:noProof/>
                <w:webHidden/>
                <w:szCs w:val="24"/>
              </w:rPr>
              <w:instrText xml:space="preserve"> PAGEREF _Toc101201764 \h </w:instrText>
            </w:r>
            <w:r w:rsidR="007174AC" w:rsidRPr="00920D1F">
              <w:rPr>
                <w:rFonts w:cs="Times New Roman"/>
                <w:noProof/>
                <w:webHidden/>
                <w:szCs w:val="24"/>
              </w:rPr>
            </w:r>
            <w:r w:rsidR="007174AC" w:rsidRPr="00920D1F">
              <w:rPr>
                <w:rFonts w:cs="Times New Roman"/>
                <w:noProof/>
                <w:webHidden/>
                <w:szCs w:val="24"/>
              </w:rPr>
              <w:fldChar w:fldCharType="separate"/>
            </w:r>
            <w:r w:rsidR="007174AC" w:rsidRPr="00920D1F">
              <w:rPr>
                <w:rFonts w:cs="Times New Roman"/>
                <w:noProof/>
                <w:webHidden/>
                <w:szCs w:val="24"/>
              </w:rPr>
              <w:t>10</w:t>
            </w:r>
            <w:r w:rsidR="007174AC" w:rsidRPr="00920D1F">
              <w:rPr>
                <w:rFonts w:cs="Times New Roman"/>
                <w:noProof/>
                <w:webHidden/>
                <w:szCs w:val="24"/>
              </w:rPr>
              <w:fldChar w:fldCharType="end"/>
            </w:r>
          </w:hyperlink>
        </w:p>
        <w:p w14:paraId="1D145D2C" w14:textId="6A9DB64A" w:rsidR="007174AC" w:rsidRPr="00920D1F" w:rsidRDefault="007174AC">
          <w:r w:rsidRPr="00920D1F">
            <w:rPr>
              <w:rFonts w:cs="Times New Roman"/>
              <w:b/>
              <w:bCs/>
              <w:noProof/>
              <w:szCs w:val="24"/>
            </w:rPr>
            <w:fldChar w:fldCharType="end"/>
          </w:r>
        </w:p>
      </w:sdtContent>
    </w:sdt>
    <w:p w14:paraId="503578A7" w14:textId="77777777" w:rsidR="007174AC" w:rsidRPr="00920D1F" w:rsidRDefault="007174AC">
      <w:pPr>
        <w:spacing w:after="160" w:line="259" w:lineRule="auto"/>
        <w:jc w:val="left"/>
        <w:rPr>
          <w:rFonts w:eastAsiaTheme="majorEastAsia" w:cstheme="majorBidi"/>
          <w:b/>
          <w:szCs w:val="32"/>
        </w:rPr>
      </w:pPr>
      <w:r w:rsidRPr="00920D1F">
        <w:br w:type="page"/>
      </w:r>
    </w:p>
    <w:p w14:paraId="3D20D8F7" w14:textId="2C4AE4BA" w:rsidR="00A3388F" w:rsidRPr="00920D1F" w:rsidRDefault="001526FC" w:rsidP="00BB6B6C">
      <w:pPr>
        <w:pStyle w:val="Heading1"/>
      </w:pPr>
      <w:bookmarkStart w:id="0" w:name="_Toc101201757"/>
      <w:r w:rsidRPr="00920D1F">
        <w:lastRenderedPageBreak/>
        <w:t>Introduction</w:t>
      </w:r>
      <w:bookmarkEnd w:id="0"/>
    </w:p>
    <w:p w14:paraId="35F31D86" w14:textId="47EAA0E8" w:rsidR="0087550C" w:rsidRPr="00920D1F" w:rsidRDefault="0087550C" w:rsidP="00BB6B6C">
      <w:pPr>
        <w:spacing w:line="360" w:lineRule="auto"/>
      </w:pPr>
      <w:r w:rsidRPr="00920D1F">
        <w:t>The report will elaborate on the growth and expansion opportunities of the business based on the accounting approaches. Through these opportunities, the company can establish itself in the relevant market as well as gain a competitive edge. The business performance of Amana Ltd is estimated comprehensively with the general approaches of financial accountability to estimate its performance based on the data provided. The last part of the report will offer recommendations based on the estimates that will promote its growth.</w:t>
      </w:r>
    </w:p>
    <w:p w14:paraId="666F28DE" w14:textId="77777777" w:rsidR="007174AC" w:rsidRPr="00920D1F" w:rsidRDefault="007174AC" w:rsidP="007174AC">
      <w:pPr>
        <w:pStyle w:val="Heading1"/>
        <w:rPr>
          <w:rFonts w:eastAsia="Times New Roman"/>
          <w:lang w:eastAsia="en-IN"/>
        </w:rPr>
      </w:pPr>
      <w:bookmarkStart w:id="1" w:name="_Toc101201758"/>
      <w:r w:rsidRPr="00920D1F">
        <w:rPr>
          <w:rFonts w:eastAsia="Times New Roman"/>
          <w:lang w:eastAsia="en-IN"/>
        </w:rPr>
        <w:t>Part A</w:t>
      </w:r>
      <w:bookmarkEnd w:id="1"/>
      <w:r w:rsidRPr="00920D1F">
        <w:rPr>
          <w:rFonts w:eastAsia="Times New Roman"/>
          <w:lang w:eastAsia="en-IN"/>
        </w:rPr>
        <w:t> </w:t>
      </w:r>
    </w:p>
    <w:p w14:paraId="517FA73C" w14:textId="77777777"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color w:val="222222"/>
          <w:szCs w:val="24"/>
          <w:lang w:eastAsia="en-IN"/>
        </w:rPr>
        <w:t>The overall financial performance of Amana Ltd can be determined by considering the actual and original budget of the business. Budget refers to the predicted volume of cash flow in the business by considering the accounting capacity of the organisation. The budget is also beneficial for determining the operating capability of the business (</w:t>
      </w:r>
      <w:r w:rsidRPr="007174AC">
        <w:rPr>
          <w:rFonts w:eastAsia="Times New Roman" w:cs="Times New Roman"/>
          <w:color w:val="222222"/>
          <w:szCs w:val="24"/>
          <w:shd w:val="clear" w:color="auto" w:fill="FFFFFF"/>
          <w:lang w:eastAsia="en-IN"/>
        </w:rPr>
        <w:t xml:space="preserve">Rumble </w:t>
      </w:r>
      <w:r w:rsidRPr="007174AC">
        <w:rPr>
          <w:rFonts w:eastAsia="Times New Roman" w:cs="Times New Roman"/>
          <w:i/>
          <w:iCs/>
          <w:color w:val="222222"/>
          <w:szCs w:val="24"/>
          <w:shd w:val="clear" w:color="auto" w:fill="FFFFFF"/>
          <w:lang w:eastAsia="en-IN"/>
        </w:rPr>
        <w:t>et al.</w:t>
      </w:r>
      <w:r w:rsidRPr="007174AC">
        <w:rPr>
          <w:rFonts w:eastAsia="Times New Roman" w:cs="Times New Roman"/>
          <w:color w:val="222222"/>
          <w:szCs w:val="24"/>
          <w:shd w:val="clear" w:color="auto" w:fill="FFFFFF"/>
          <w:lang w:eastAsia="en-IN"/>
        </w:rPr>
        <w:t>, 2018)</w:t>
      </w:r>
      <w:r w:rsidRPr="007174AC">
        <w:rPr>
          <w:rFonts w:eastAsia="Times New Roman" w:cs="Times New Roman"/>
          <w:color w:val="222222"/>
          <w:szCs w:val="24"/>
          <w:lang w:eastAsia="en-IN"/>
        </w:rPr>
        <w:t>. The original budget indicates the initial detailed reflection of the revenue and expenses of the business whereas the flexible budget indicates how much the budget can be adjusted with the changes in the volume level of the business (</w:t>
      </w:r>
      <w:r w:rsidRPr="007174AC">
        <w:rPr>
          <w:rFonts w:eastAsia="Times New Roman" w:cs="Times New Roman"/>
          <w:color w:val="222222"/>
          <w:szCs w:val="24"/>
          <w:shd w:val="clear" w:color="auto" w:fill="FFFFFF"/>
          <w:lang w:eastAsia="en-IN"/>
        </w:rPr>
        <w:t>Drury, 2013)</w:t>
      </w:r>
      <w:r w:rsidRPr="007174AC">
        <w:rPr>
          <w:rFonts w:eastAsia="Times New Roman" w:cs="Times New Roman"/>
          <w:color w:val="222222"/>
          <w:szCs w:val="24"/>
          <w:lang w:eastAsia="en-IN"/>
        </w:rPr>
        <w:t>. A flexible budget covers variable costs per unit instead of fixed costs which enables an organisation to determine a potential decrease or increase in the monetary requirement of the business. </w:t>
      </w:r>
    </w:p>
    <w:p w14:paraId="293F99CA" w14:textId="77777777" w:rsidR="007174AC" w:rsidRPr="007174AC" w:rsidRDefault="007174AC" w:rsidP="007174AC">
      <w:pPr>
        <w:spacing w:after="0" w:line="360" w:lineRule="auto"/>
        <w:jc w:val="left"/>
        <w:rPr>
          <w:rFonts w:eastAsia="Times New Roman" w:cs="Times New Roman"/>
          <w:szCs w:val="24"/>
          <w:lang w:eastAsia="en-IN"/>
        </w:rPr>
      </w:pPr>
    </w:p>
    <w:p w14:paraId="07FBB0EE" w14:textId="77777777" w:rsidR="007174AC" w:rsidRPr="00920D1F" w:rsidRDefault="007174AC" w:rsidP="007174AC">
      <w:pPr>
        <w:pStyle w:val="Heading2"/>
        <w:rPr>
          <w:rFonts w:eastAsia="Times New Roman"/>
          <w:lang w:eastAsia="en-IN"/>
        </w:rPr>
      </w:pPr>
      <w:bookmarkStart w:id="2" w:name="_Toc101201759"/>
      <w:r w:rsidRPr="00920D1F">
        <w:rPr>
          <w:rFonts w:eastAsia="Times New Roman"/>
          <w:lang w:eastAsia="en-IN"/>
        </w:rPr>
        <w:t>(</w:t>
      </w:r>
      <w:proofErr w:type="spellStart"/>
      <w:r w:rsidRPr="00920D1F">
        <w:rPr>
          <w:rFonts w:eastAsia="Times New Roman"/>
          <w:lang w:eastAsia="en-IN"/>
        </w:rPr>
        <w:t>i</w:t>
      </w:r>
      <w:proofErr w:type="spellEnd"/>
      <w:r w:rsidRPr="00920D1F">
        <w:rPr>
          <w:rFonts w:eastAsia="Times New Roman"/>
          <w:lang w:eastAsia="en-IN"/>
        </w:rPr>
        <w:t>) Preparing control reports by including a flexible budget, budget and variances.</w:t>
      </w:r>
      <w:bookmarkEnd w:id="2"/>
    </w:p>
    <w:p w14:paraId="5DBF4611" w14:textId="51804257" w:rsidR="007174AC" w:rsidRPr="007174AC" w:rsidRDefault="007174AC" w:rsidP="007174AC">
      <w:pPr>
        <w:spacing w:after="0" w:line="360" w:lineRule="auto"/>
        <w:rPr>
          <w:rFonts w:eastAsia="Times New Roman" w:cs="Times New Roman"/>
          <w:szCs w:val="24"/>
          <w:lang w:eastAsia="en-IN"/>
        </w:rPr>
      </w:pPr>
      <w:r w:rsidRPr="00920D1F">
        <w:rPr>
          <w:rFonts w:eastAsia="Times New Roman" w:cs="Times New Roman"/>
          <w:noProof/>
          <w:color w:val="222222"/>
          <w:szCs w:val="24"/>
          <w:bdr w:val="none" w:sz="0" w:space="0" w:color="auto" w:frame="1"/>
          <w:lang w:eastAsia="en-IN"/>
        </w:rPr>
        <w:drawing>
          <wp:inline distT="0" distB="0" distL="0" distR="0" wp14:anchorId="6FBA8D9F" wp14:editId="1E34251B">
            <wp:extent cx="5731510" cy="330644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306445"/>
                    </a:xfrm>
                    <a:prstGeom prst="rect">
                      <a:avLst/>
                    </a:prstGeom>
                    <a:noFill/>
                    <a:ln>
                      <a:noFill/>
                    </a:ln>
                  </pic:spPr>
                </pic:pic>
              </a:graphicData>
            </a:graphic>
          </wp:inline>
        </w:drawing>
      </w:r>
    </w:p>
    <w:p w14:paraId="0DEFEF71" w14:textId="77777777" w:rsidR="007174AC" w:rsidRPr="007174AC" w:rsidRDefault="007174AC" w:rsidP="007174AC">
      <w:pPr>
        <w:spacing w:after="0" w:line="360" w:lineRule="auto"/>
        <w:jc w:val="left"/>
        <w:rPr>
          <w:rFonts w:eastAsia="Times New Roman" w:cs="Times New Roman"/>
          <w:szCs w:val="24"/>
          <w:lang w:eastAsia="en-IN"/>
        </w:rPr>
      </w:pPr>
    </w:p>
    <w:p w14:paraId="48C17FCB" w14:textId="7E70EF2F"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color w:val="222222"/>
          <w:szCs w:val="24"/>
          <w:lang w:eastAsia="en-IN"/>
        </w:rPr>
        <w:lastRenderedPageBreak/>
        <w:t xml:space="preserve">The above calculation of the actual budget of Amana Ltd indicates that the organisation has earned a net profit of £1350000. </w:t>
      </w:r>
      <w:r w:rsidRPr="00920D1F">
        <w:rPr>
          <w:rFonts w:eastAsia="Times New Roman" w:cs="Times New Roman"/>
          <w:color w:val="222222"/>
          <w:szCs w:val="24"/>
          <w:lang w:eastAsia="en-IN"/>
        </w:rPr>
        <w:t>Therefore,</w:t>
      </w:r>
      <w:r w:rsidRPr="007174AC">
        <w:rPr>
          <w:rFonts w:eastAsia="Times New Roman" w:cs="Times New Roman"/>
          <w:color w:val="222222"/>
          <w:szCs w:val="24"/>
          <w:lang w:eastAsia="en-IN"/>
        </w:rPr>
        <w:t xml:space="preserve"> the organisation has the capability of operating the business by considering the actual budget. The budget has determined the total anticipated variable cost and total anticipated fixed cost of the business (</w:t>
      </w:r>
      <w:proofErr w:type="spellStart"/>
      <w:r w:rsidRPr="007174AC">
        <w:rPr>
          <w:rFonts w:eastAsia="Times New Roman" w:cs="Times New Roman"/>
          <w:color w:val="222222"/>
          <w:szCs w:val="24"/>
          <w:shd w:val="clear" w:color="auto" w:fill="FFFFFF"/>
          <w:lang w:eastAsia="en-IN"/>
        </w:rPr>
        <w:t>Alawattage</w:t>
      </w:r>
      <w:proofErr w:type="spellEnd"/>
      <w:r w:rsidRPr="007174AC">
        <w:rPr>
          <w:rFonts w:eastAsia="Times New Roman" w:cs="Times New Roman"/>
          <w:color w:val="222222"/>
          <w:szCs w:val="24"/>
          <w:shd w:val="clear" w:color="auto" w:fill="FFFFFF"/>
          <w:lang w:eastAsia="en-IN"/>
        </w:rPr>
        <w:t xml:space="preserve"> and Wickramasinghe, 2012)</w:t>
      </w:r>
      <w:r w:rsidRPr="007174AC">
        <w:rPr>
          <w:rFonts w:eastAsia="Times New Roman" w:cs="Times New Roman"/>
          <w:color w:val="222222"/>
          <w:szCs w:val="24"/>
          <w:lang w:eastAsia="en-IN"/>
        </w:rPr>
        <w:t>. The variable cost is higher compared to the fixed cost in the budget calculation. </w:t>
      </w:r>
    </w:p>
    <w:p w14:paraId="42505BFF" w14:textId="77777777"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color w:val="222222"/>
          <w:szCs w:val="24"/>
          <w:lang w:eastAsia="en-IN"/>
        </w:rPr>
        <w:t>The concept of the flexible budget has been applied for calculating the budget of the business by considering the given scenario. The flexible budget helps to determine the financial capability of the organisation to survive in the market. The overall details of the flexible budget are shown below.</w:t>
      </w:r>
    </w:p>
    <w:p w14:paraId="1FE629E5" w14:textId="64CD4262" w:rsidR="007174AC" w:rsidRPr="007174AC" w:rsidRDefault="007174AC" w:rsidP="007174AC">
      <w:pPr>
        <w:spacing w:after="0" w:line="360" w:lineRule="auto"/>
        <w:rPr>
          <w:rFonts w:eastAsia="Times New Roman" w:cs="Times New Roman"/>
          <w:szCs w:val="24"/>
          <w:lang w:eastAsia="en-IN"/>
        </w:rPr>
      </w:pPr>
      <w:r w:rsidRPr="00920D1F">
        <w:rPr>
          <w:rFonts w:eastAsia="Times New Roman" w:cs="Times New Roman"/>
          <w:noProof/>
          <w:color w:val="222222"/>
          <w:szCs w:val="24"/>
          <w:bdr w:val="none" w:sz="0" w:space="0" w:color="auto" w:frame="1"/>
          <w:lang w:eastAsia="en-IN"/>
        </w:rPr>
        <w:drawing>
          <wp:inline distT="0" distB="0" distL="0" distR="0" wp14:anchorId="62D81042" wp14:editId="755BFB86">
            <wp:extent cx="5731510" cy="34169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16935"/>
                    </a:xfrm>
                    <a:prstGeom prst="rect">
                      <a:avLst/>
                    </a:prstGeom>
                    <a:noFill/>
                    <a:ln>
                      <a:noFill/>
                    </a:ln>
                  </pic:spPr>
                </pic:pic>
              </a:graphicData>
            </a:graphic>
          </wp:inline>
        </w:drawing>
      </w:r>
    </w:p>
    <w:p w14:paraId="5BE1EB04" w14:textId="77777777" w:rsidR="007174AC" w:rsidRPr="007174AC" w:rsidRDefault="007174AC" w:rsidP="007174AC">
      <w:pPr>
        <w:spacing w:after="0" w:line="360" w:lineRule="auto"/>
        <w:jc w:val="left"/>
        <w:rPr>
          <w:rFonts w:eastAsia="Times New Roman" w:cs="Times New Roman"/>
          <w:szCs w:val="24"/>
          <w:lang w:eastAsia="en-IN"/>
        </w:rPr>
      </w:pPr>
    </w:p>
    <w:p w14:paraId="0501D478" w14:textId="77777777"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color w:val="222222"/>
          <w:szCs w:val="24"/>
          <w:lang w:eastAsia="en-IN"/>
        </w:rPr>
        <w:t>The flexible budget of the business indicates that the organisation has the capability to earn a net profit of £455000 which indicates the operating profitability of the organisation in the given scenario. Therefore, it can be determined that the business outcomes of the given scenario vary from the volume of the actual budget. The actual budget indicates the required volumes in sales for earning sufficient profit (</w:t>
      </w:r>
      <w:r w:rsidRPr="007174AC">
        <w:rPr>
          <w:rFonts w:eastAsia="Times New Roman" w:cs="Times New Roman"/>
          <w:color w:val="222222"/>
          <w:szCs w:val="24"/>
          <w:shd w:val="clear" w:color="auto" w:fill="FFFFFF"/>
          <w:lang w:eastAsia="en-IN"/>
        </w:rPr>
        <w:t>Hofstede, 2012)</w:t>
      </w:r>
      <w:r w:rsidRPr="007174AC">
        <w:rPr>
          <w:rFonts w:eastAsia="Times New Roman" w:cs="Times New Roman"/>
          <w:color w:val="222222"/>
          <w:szCs w:val="24"/>
          <w:lang w:eastAsia="en-IN"/>
        </w:rPr>
        <w:t>. The sales are not up to the mark of the organisation as per the developed budget. Thus, the need for variance analysis arose for understanding how much the financial budget of the business differentiated from the actual budget due to the given business scenario of Covid-19. Variance analysis of the business is presented below.</w:t>
      </w:r>
    </w:p>
    <w:p w14:paraId="3240B52B" w14:textId="77777777" w:rsidR="007174AC" w:rsidRPr="007174AC" w:rsidRDefault="007174AC" w:rsidP="007174AC">
      <w:pPr>
        <w:spacing w:after="0" w:line="360" w:lineRule="auto"/>
        <w:jc w:val="left"/>
        <w:rPr>
          <w:rFonts w:eastAsia="Times New Roman" w:cs="Times New Roman"/>
          <w:szCs w:val="24"/>
          <w:lang w:eastAsia="en-IN"/>
        </w:rPr>
      </w:pPr>
    </w:p>
    <w:p w14:paraId="77730796" w14:textId="6240FCC6" w:rsidR="007174AC" w:rsidRPr="007174AC" w:rsidRDefault="007174AC" w:rsidP="007174AC">
      <w:pPr>
        <w:spacing w:after="0" w:line="360" w:lineRule="auto"/>
        <w:rPr>
          <w:rFonts w:eastAsia="Times New Roman" w:cs="Times New Roman"/>
          <w:szCs w:val="24"/>
          <w:lang w:eastAsia="en-IN"/>
        </w:rPr>
      </w:pPr>
      <w:r w:rsidRPr="00920D1F">
        <w:rPr>
          <w:rFonts w:eastAsia="Times New Roman" w:cs="Times New Roman"/>
          <w:noProof/>
          <w:color w:val="222222"/>
          <w:szCs w:val="24"/>
          <w:bdr w:val="none" w:sz="0" w:space="0" w:color="auto" w:frame="1"/>
          <w:lang w:eastAsia="en-IN"/>
        </w:rPr>
        <w:lastRenderedPageBreak/>
        <w:drawing>
          <wp:inline distT="0" distB="0" distL="0" distR="0" wp14:anchorId="15F4ABCA" wp14:editId="77571156">
            <wp:extent cx="5731510" cy="21380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138045"/>
                    </a:xfrm>
                    <a:prstGeom prst="rect">
                      <a:avLst/>
                    </a:prstGeom>
                    <a:noFill/>
                    <a:ln>
                      <a:noFill/>
                    </a:ln>
                  </pic:spPr>
                </pic:pic>
              </a:graphicData>
            </a:graphic>
          </wp:inline>
        </w:drawing>
      </w:r>
    </w:p>
    <w:p w14:paraId="298590B5" w14:textId="4D94D92E"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color w:val="222222"/>
          <w:szCs w:val="24"/>
          <w:lang w:eastAsia="en-IN"/>
        </w:rPr>
        <w:t>The above table of variance analysis indicates favourable and unfavourable changes in the business by comparing the actual budget with the original budget of the business. In the above table, UF indicates unfavourable changes and F indicates favourable changes. The above table has determined material variance, labour variance and overhead variance. These variances help to determine the overall variance in the financial capability of the business. The variance analysis indicates the detailed information of how much the actual business performance deviated from the budgeted performance (</w:t>
      </w:r>
      <w:r w:rsidRPr="007174AC">
        <w:rPr>
          <w:rFonts w:eastAsia="Times New Roman" w:cs="Times New Roman"/>
          <w:color w:val="222222"/>
          <w:szCs w:val="24"/>
          <w:shd w:val="clear" w:color="auto" w:fill="FFFFFF"/>
          <w:lang w:eastAsia="en-IN"/>
        </w:rPr>
        <w:t>Adler, 2018)</w:t>
      </w:r>
      <w:r w:rsidRPr="007174AC">
        <w:rPr>
          <w:rFonts w:eastAsia="Times New Roman" w:cs="Times New Roman"/>
          <w:color w:val="222222"/>
          <w:szCs w:val="24"/>
          <w:lang w:eastAsia="en-IN"/>
        </w:rPr>
        <w:t>. Variance analysis is beneficial for understanding how the business is impacted due to the changes in the business scenarios because of Covid 19. The variance analysis helps to understand that the financial capability of Amana Ltd is negatively impacted due to deviating the actual performance from the budget. Costing is one of the important areas of the business and changes in some of the costing aspects are favourable but changes in the majority of cost aspects are unfavourable to the business. The identified favourable changes in costing are direct material and direct labour. The cost of overhead, warehouse and rental supervisor salaries are unfavourable to the business.</w:t>
      </w:r>
    </w:p>
    <w:p w14:paraId="040D2C9A" w14:textId="77777777" w:rsidR="007174AC" w:rsidRPr="00920D1F" w:rsidRDefault="007174AC" w:rsidP="007174AC">
      <w:pPr>
        <w:pStyle w:val="Heading2"/>
        <w:rPr>
          <w:rFonts w:eastAsia="Times New Roman"/>
          <w:lang w:eastAsia="en-IN"/>
        </w:rPr>
      </w:pPr>
      <w:bookmarkStart w:id="3" w:name="_Toc101201760"/>
      <w:r w:rsidRPr="00920D1F">
        <w:rPr>
          <w:rFonts w:eastAsia="Times New Roman"/>
          <w:lang w:eastAsia="en-IN"/>
        </w:rPr>
        <w:t xml:space="preserve">(ii) Amana </w:t>
      </w:r>
      <w:proofErr w:type="spellStart"/>
      <w:r w:rsidRPr="00920D1F">
        <w:rPr>
          <w:rFonts w:eastAsia="Times New Roman"/>
          <w:lang w:eastAsia="en-IN"/>
        </w:rPr>
        <w:t>Ltd’s</w:t>
      </w:r>
      <w:proofErr w:type="spellEnd"/>
      <w:r w:rsidRPr="00920D1F">
        <w:rPr>
          <w:rFonts w:eastAsia="Times New Roman"/>
          <w:lang w:eastAsia="en-IN"/>
        </w:rPr>
        <w:t xml:space="preserve"> performance in 2020 by considering the above control report</w:t>
      </w:r>
      <w:bookmarkEnd w:id="3"/>
      <w:r w:rsidRPr="00920D1F">
        <w:rPr>
          <w:rFonts w:eastAsia="Times New Roman"/>
          <w:lang w:eastAsia="en-IN"/>
        </w:rPr>
        <w:t> </w:t>
      </w:r>
    </w:p>
    <w:p w14:paraId="0874AFF2" w14:textId="0F2F710B"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color w:val="222222"/>
          <w:szCs w:val="24"/>
          <w:lang w:eastAsia="en-IN"/>
        </w:rPr>
        <w:t xml:space="preserve">The original budget of Amana Ltd has been developed for identifying anticipated expenses of the business which helps to understand the overall financial performance of the organisation. The budget also helps the organisation to maintain strategic initiatives for ensuring the growth of the organisation during the crisis period of Covid 19. The control report includes the original budget, flexible budget and variance analysis </w:t>
      </w:r>
      <w:r w:rsidRPr="00920D1F">
        <w:rPr>
          <w:rFonts w:eastAsia="Times New Roman" w:cs="Times New Roman"/>
          <w:color w:val="222222"/>
          <w:szCs w:val="24"/>
          <w:lang w:eastAsia="en-IN"/>
        </w:rPr>
        <w:t>of Amana</w:t>
      </w:r>
      <w:r w:rsidRPr="007174AC">
        <w:rPr>
          <w:rFonts w:eastAsia="Times New Roman" w:cs="Times New Roman"/>
          <w:color w:val="222222"/>
          <w:szCs w:val="24"/>
          <w:lang w:eastAsia="en-IN"/>
        </w:rPr>
        <w:t xml:space="preserve"> Ltd. The original budget of the organisation includes estimated revenue, fixed cost and variable cost. The estimated revenue has been determined by multiplying the unit selling price with volume (</w:t>
      </w:r>
      <w:r w:rsidRPr="007174AC">
        <w:rPr>
          <w:rFonts w:eastAsia="Times New Roman" w:cs="Times New Roman"/>
          <w:color w:val="222222"/>
          <w:szCs w:val="24"/>
          <w:shd w:val="clear" w:color="auto" w:fill="FFFFFF"/>
          <w:lang w:eastAsia="en-IN"/>
        </w:rPr>
        <w:t>Booth, 2018)</w:t>
      </w:r>
      <w:r w:rsidRPr="007174AC">
        <w:rPr>
          <w:rFonts w:eastAsia="Times New Roman" w:cs="Times New Roman"/>
          <w:color w:val="222222"/>
          <w:szCs w:val="24"/>
          <w:lang w:eastAsia="en-IN"/>
        </w:rPr>
        <w:t>. </w:t>
      </w:r>
    </w:p>
    <w:p w14:paraId="7F8E7987" w14:textId="77777777"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color w:val="222222"/>
          <w:szCs w:val="24"/>
          <w:lang w:eastAsia="en-IN"/>
        </w:rPr>
        <w:t xml:space="preserve">It has been identified that the business has favourable variance in the cost of direct material and labour. The business has unfavourable variance in terms of revenue. The identified changes in selling price per unit are lower in the actual budget compared to the original budget and the </w:t>
      </w:r>
      <w:r w:rsidRPr="007174AC">
        <w:rPr>
          <w:rFonts w:eastAsia="Times New Roman" w:cs="Times New Roman"/>
          <w:color w:val="222222"/>
          <w:szCs w:val="24"/>
          <w:lang w:eastAsia="en-IN"/>
        </w:rPr>
        <w:lastRenderedPageBreak/>
        <w:t>volume of selling units is higher in the original budget and it has been reduced in the actual budget calculation. Thus, both the changes in the unit cost of the selling price and selling volume are unfavourable which lowers the revenue of the business in the actual budget and makes the changes in the revenue unfavourable. Variance in warehouse rental, supervisor salary and overhead are unfavourable. Therefore, it has been determined that the variance in fixed cost is unfavourable because the fixed expenditure is actually lower compared to the original budget. The overall actual cost of the business is reduced compared to the original budgeted level. Both unfavourable changes in revenue and overall cost have led to unfavourable changes in the net profit of the business. The variance analysis helps to understand that changes in market conditions make the changes in the financial performance of the organisation during 2020. </w:t>
      </w:r>
    </w:p>
    <w:p w14:paraId="0F2BB5BB" w14:textId="625CA455" w:rsidR="007174AC" w:rsidRPr="00920D1F" w:rsidRDefault="007174AC" w:rsidP="007174AC">
      <w:pPr>
        <w:spacing w:after="0" w:line="360" w:lineRule="auto"/>
        <w:rPr>
          <w:rFonts w:eastAsia="Times New Roman" w:cs="Times New Roman"/>
          <w:szCs w:val="24"/>
          <w:lang w:eastAsia="en-IN"/>
        </w:rPr>
      </w:pPr>
      <w:r w:rsidRPr="007174AC">
        <w:rPr>
          <w:rFonts w:eastAsia="Times New Roman" w:cs="Times New Roman"/>
          <w:color w:val="222222"/>
          <w:szCs w:val="24"/>
          <w:lang w:eastAsia="en-IN"/>
        </w:rPr>
        <w:t>The present operating level of the business indicates that it requires some significant changes in its costing structure to achieve the original budget of the business. The current costing structure is insignificant for enhancing the financial probability of the organisation.</w:t>
      </w:r>
    </w:p>
    <w:p w14:paraId="09315C17" w14:textId="59AC0530" w:rsidR="001526FC" w:rsidRPr="00920D1F" w:rsidRDefault="007174AC" w:rsidP="007174AC">
      <w:pPr>
        <w:pStyle w:val="Heading2"/>
      </w:pPr>
      <w:bookmarkStart w:id="4" w:name="_Toc101201761"/>
      <w:r w:rsidRPr="00920D1F">
        <w:t xml:space="preserve">(iii) </w:t>
      </w:r>
      <w:r w:rsidR="001526FC" w:rsidRPr="00920D1F">
        <w:t>Presentation of positive recommendation approach related to “Amana Ltd”</w:t>
      </w:r>
      <w:bookmarkEnd w:id="4"/>
    </w:p>
    <w:p w14:paraId="15806E65" w14:textId="5C29D763" w:rsidR="001526FC" w:rsidRPr="00920D1F" w:rsidRDefault="001526FC" w:rsidP="00BB6B6C">
      <w:pPr>
        <w:spacing w:line="360" w:lineRule="auto"/>
      </w:pPr>
      <w:r w:rsidRPr="00920D1F">
        <w:t>In a comprehensive overview, the exhibition of the budget fetches a corroborating developmental technique associated with functional renditions specifically with the existence of certain fundamental developmental endeavours of the firm that can be effectively structured. Such designs or frameworks are delivered concerning the operational and financial undertakings, particularly those that commonly needed probable monitoring of the significant level</w:t>
      </w:r>
      <w:r w:rsidR="004349BC" w:rsidRPr="00920D1F">
        <w:t xml:space="preserve"> </w:t>
      </w:r>
      <w:r w:rsidR="00D312C6" w:rsidRPr="00920D1F">
        <w:t>(</w:t>
      </w:r>
      <w:proofErr w:type="spellStart"/>
      <w:r w:rsidR="004349BC" w:rsidRPr="00920D1F">
        <w:t>Fakilede</w:t>
      </w:r>
      <w:proofErr w:type="spellEnd"/>
      <w:r w:rsidR="004349BC" w:rsidRPr="00920D1F">
        <w:t>, 2020).</w:t>
      </w:r>
      <w:r w:rsidR="00D312C6" w:rsidRPr="00920D1F">
        <w:t xml:space="preserve"> </w:t>
      </w:r>
      <w:r w:rsidRPr="00920D1F">
        <w:t>In association with the current functional status of such administrative performances primarily two separate costing allocation assessment has been supplied that is used to determine the requisite location, especially with the utilisation of some initial differences in the primary growth strategy of the firm. It can be managed quite effectively.</w:t>
      </w:r>
      <w:r w:rsidR="00D312C6" w:rsidRPr="00920D1F">
        <w:t xml:space="preserve"> </w:t>
      </w:r>
      <w:r w:rsidRPr="00920D1F">
        <w:t>Concerning the present estimation stage, it can be identified that the administration of such a company group is needed to control the product development enterprise, especially in the current system so that the comprehensive stability policy concerning production, that was expected, can effectively be handled</w:t>
      </w:r>
      <w:r w:rsidR="00D312C6" w:rsidRPr="00920D1F">
        <w:t xml:space="preserve"> (Aggarwal and Batra 2018).</w:t>
      </w:r>
      <w:r w:rsidRPr="00920D1F">
        <w:t xml:space="preserve"> With the supervision at a level of such stability during the primary growth, the functional stages of the company can also be activated successfully.</w:t>
      </w:r>
    </w:p>
    <w:p w14:paraId="5C1A129E" w14:textId="12F3A4F4" w:rsidR="001526FC" w:rsidRPr="00920D1F" w:rsidRDefault="001526FC" w:rsidP="00BB6B6C">
      <w:pPr>
        <w:spacing w:line="360" w:lineRule="auto"/>
      </w:pPr>
      <w:r w:rsidRPr="00920D1F">
        <w:t>Taking into account the current marketing status, the general sales performance of the company likewise requires to be modified thoroughly so that the comprehensive growth of marketing performance can also be supported</w:t>
      </w:r>
      <w:r w:rsidR="00D312C6" w:rsidRPr="00920D1F">
        <w:t xml:space="preserve"> (</w:t>
      </w:r>
      <w:proofErr w:type="spellStart"/>
      <w:r w:rsidR="00D312C6" w:rsidRPr="00920D1F">
        <w:t>Fakilede</w:t>
      </w:r>
      <w:proofErr w:type="spellEnd"/>
      <w:r w:rsidR="00D312C6" w:rsidRPr="00920D1F">
        <w:t xml:space="preserve">, 2020). </w:t>
      </w:r>
      <w:r w:rsidRPr="00920D1F">
        <w:t xml:space="preserve">Through the endeavour of favourable </w:t>
      </w:r>
      <w:r w:rsidRPr="00920D1F">
        <w:lastRenderedPageBreak/>
        <w:t>marketing rates for individual commodities the income enhancement technique for the company can likewise be activated. It normally brings a validating growth for the forthcoming financial surveillance of the company</w:t>
      </w:r>
      <w:r w:rsidR="00D312C6" w:rsidRPr="00920D1F">
        <w:t xml:space="preserve"> (Aggarwal and Batra 2018).</w:t>
      </w:r>
      <w:r w:rsidRPr="00920D1F">
        <w:t xml:space="preserve"> According to the current marketing status, the general volume of company variable costing each unit per volume is furnishing a considerably heightened level of strategy, especially what ought to be handled originally. This allows the identification of a primary expense growth design of the company. Approval of such functioning enterprises can likewise be operated for all-around functional and price development goals to identify the positive traits of growth of a business</w:t>
      </w:r>
      <w:r w:rsidR="00D312C6" w:rsidRPr="00920D1F">
        <w:t xml:space="preserve"> (</w:t>
      </w:r>
      <w:proofErr w:type="spellStart"/>
      <w:r w:rsidR="00D312C6" w:rsidRPr="00920D1F">
        <w:t>Fakilede</w:t>
      </w:r>
      <w:proofErr w:type="spellEnd"/>
      <w:r w:rsidR="00D312C6" w:rsidRPr="00920D1F">
        <w:t>, 2020).</w:t>
      </w:r>
    </w:p>
    <w:p w14:paraId="568393B7" w14:textId="2A1073BC" w:rsidR="001526FC" w:rsidRPr="00920D1F" w:rsidRDefault="001526FC" w:rsidP="00BB6B6C">
      <w:pPr>
        <w:spacing w:line="360" w:lineRule="auto"/>
      </w:pPr>
      <w:r w:rsidRPr="00920D1F">
        <w:t>Currently, the effect of the pandemic is a challenging circumstance that requires a company like this to offer effective and significant support to the firm's promotional activities so that a methodical exhibition involving an operating expansion enterprise is linked with the generative volume can likewise be addressed in a favourable directive. With the help of these above applicable suggested techniques the fundamental development involving performing growth of the company can be effectively sustained</w:t>
      </w:r>
      <w:r w:rsidR="00D312C6" w:rsidRPr="00920D1F">
        <w:t xml:space="preserve"> (Aggarwal and Batra 2018).</w:t>
      </w:r>
      <w:r w:rsidRPr="00920D1F">
        <w:t xml:space="preserve"> This can also impact the presence of a comprehensive financial network in a developing method.</w:t>
      </w:r>
    </w:p>
    <w:p w14:paraId="22C8AEB4" w14:textId="77777777" w:rsidR="007174AC" w:rsidRPr="00920D1F" w:rsidRDefault="007174AC" w:rsidP="007174AC">
      <w:pPr>
        <w:pStyle w:val="Heading1"/>
        <w:rPr>
          <w:rFonts w:eastAsia="Times New Roman"/>
          <w:lang w:eastAsia="en-IN"/>
        </w:rPr>
      </w:pPr>
      <w:bookmarkStart w:id="5" w:name="_Toc101201762"/>
      <w:r w:rsidRPr="00920D1F">
        <w:rPr>
          <w:rFonts w:eastAsia="Times New Roman"/>
          <w:lang w:eastAsia="en-IN"/>
        </w:rPr>
        <w:t>Part B</w:t>
      </w:r>
      <w:bookmarkEnd w:id="5"/>
    </w:p>
    <w:p w14:paraId="07E2F0BB" w14:textId="77777777"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color w:val="222222"/>
          <w:szCs w:val="24"/>
          <w:lang w:eastAsia="en-IN"/>
        </w:rPr>
        <w:t>The general costing principles help to determine that making or buying decisions is one of the important business decisions. The given scenario target determining online and offline trading decisions of the business which are considered managerial decisions of the organisation (</w:t>
      </w:r>
      <w:r w:rsidRPr="007174AC">
        <w:rPr>
          <w:rFonts w:eastAsia="Times New Roman" w:cs="Times New Roman"/>
          <w:color w:val="222222"/>
          <w:szCs w:val="24"/>
          <w:shd w:val="clear" w:color="auto" w:fill="FFFFFF"/>
          <w:lang w:eastAsia="en-IN"/>
        </w:rPr>
        <w:t xml:space="preserve">Hussain </w:t>
      </w:r>
      <w:r w:rsidRPr="007174AC">
        <w:rPr>
          <w:rFonts w:eastAsia="Times New Roman" w:cs="Times New Roman"/>
          <w:i/>
          <w:iCs/>
          <w:color w:val="222222"/>
          <w:szCs w:val="24"/>
          <w:shd w:val="clear" w:color="auto" w:fill="FFFFFF"/>
          <w:lang w:eastAsia="en-IN"/>
        </w:rPr>
        <w:t xml:space="preserve">et al., </w:t>
      </w:r>
      <w:r w:rsidRPr="007174AC">
        <w:rPr>
          <w:rFonts w:eastAsia="Times New Roman" w:cs="Times New Roman"/>
          <w:color w:val="222222"/>
          <w:szCs w:val="24"/>
          <w:shd w:val="clear" w:color="auto" w:fill="FFFFFF"/>
          <w:lang w:eastAsia="en-IN"/>
        </w:rPr>
        <w:t>2018)</w:t>
      </w:r>
      <w:r w:rsidRPr="007174AC">
        <w:rPr>
          <w:rFonts w:eastAsia="Times New Roman" w:cs="Times New Roman"/>
          <w:color w:val="222222"/>
          <w:szCs w:val="24"/>
          <w:lang w:eastAsia="en-IN"/>
        </w:rPr>
        <w:t>. The managerial decision-making process requires considering the overall costing approaches for determining efficient business operation capability. The current business scenario of Mr Amana indicates he is considering closing down the branches of his business in Birmingham city centre, Brighton, and Manchester city centre and he target to move online sales through closing down his branches. Therefore, the detailed costing structure related to the business needs to be understood for moving towards online sales along with maintaining 50% of offline sales. Therefore, the financial development approach is beneficial for supporting the operating growth of the organisation.</w:t>
      </w:r>
    </w:p>
    <w:p w14:paraId="2839F866" w14:textId="3253309C"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color w:val="222222"/>
          <w:szCs w:val="24"/>
          <w:lang w:eastAsia="en-IN"/>
        </w:rPr>
        <w:t xml:space="preserve">As per the present marketing initiative of the business the costing structure of the organisation is developed for supporting the management to continue the 50% of the business through offline branches and </w:t>
      </w:r>
      <w:r w:rsidR="00C43CF3" w:rsidRPr="00920D1F">
        <w:rPr>
          <w:rFonts w:eastAsia="Times New Roman" w:cs="Times New Roman"/>
          <w:color w:val="222222"/>
          <w:szCs w:val="24"/>
          <w:lang w:eastAsia="en-IN"/>
        </w:rPr>
        <w:t>rest of</w:t>
      </w:r>
      <w:r w:rsidRPr="007174AC">
        <w:rPr>
          <w:rFonts w:eastAsia="Times New Roman" w:cs="Times New Roman"/>
          <w:color w:val="222222"/>
          <w:szCs w:val="24"/>
          <w:lang w:eastAsia="en-IN"/>
        </w:rPr>
        <w:t xml:space="preserve"> 50% of its business t</w:t>
      </w:r>
      <w:r w:rsidR="00C43CF3" w:rsidRPr="00920D1F">
        <w:rPr>
          <w:rFonts w:eastAsia="Times New Roman" w:cs="Times New Roman"/>
          <w:color w:val="222222"/>
          <w:szCs w:val="24"/>
          <w:lang w:eastAsia="en-IN"/>
        </w:rPr>
        <w:t>hrough</w:t>
      </w:r>
      <w:r w:rsidRPr="007174AC">
        <w:rPr>
          <w:rFonts w:eastAsia="Times New Roman" w:cs="Times New Roman"/>
          <w:color w:val="222222"/>
          <w:szCs w:val="24"/>
          <w:lang w:eastAsia="en-IN"/>
        </w:rPr>
        <w:t xml:space="preserve"> online platforms. The overall costing structure for managing the business on both online and offline platforms is provided below.</w:t>
      </w:r>
    </w:p>
    <w:p w14:paraId="52FB18F3" w14:textId="67FE756E" w:rsidR="007174AC" w:rsidRPr="007174AC" w:rsidRDefault="007174AC" w:rsidP="007174AC">
      <w:pPr>
        <w:spacing w:after="0" w:line="360" w:lineRule="auto"/>
        <w:rPr>
          <w:rFonts w:eastAsia="Times New Roman" w:cs="Times New Roman"/>
          <w:szCs w:val="24"/>
          <w:lang w:eastAsia="en-IN"/>
        </w:rPr>
      </w:pPr>
      <w:r w:rsidRPr="00920D1F">
        <w:rPr>
          <w:rFonts w:eastAsia="Times New Roman" w:cs="Times New Roman"/>
          <w:noProof/>
          <w:color w:val="222222"/>
          <w:szCs w:val="24"/>
          <w:bdr w:val="none" w:sz="0" w:space="0" w:color="auto" w:frame="1"/>
          <w:lang w:eastAsia="en-IN"/>
        </w:rPr>
        <w:lastRenderedPageBreak/>
        <w:drawing>
          <wp:inline distT="0" distB="0" distL="0" distR="0" wp14:anchorId="590B54FF" wp14:editId="310A0214">
            <wp:extent cx="5731510" cy="14331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433195"/>
                    </a:xfrm>
                    <a:prstGeom prst="rect">
                      <a:avLst/>
                    </a:prstGeom>
                    <a:noFill/>
                    <a:ln>
                      <a:noFill/>
                    </a:ln>
                  </pic:spPr>
                </pic:pic>
              </a:graphicData>
            </a:graphic>
          </wp:inline>
        </w:drawing>
      </w:r>
    </w:p>
    <w:p w14:paraId="05F90F74" w14:textId="52AC0876"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color w:val="222222"/>
          <w:szCs w:val="24"/>
          <w:lang w:eastAsia="en-IN"/>
        </w:rPr>
        <w:t xml:space="preserve">The above table has been calculated by considering the overall selling volume of the business </w:t>
      </w:r>
      <w:r w:rsidR="00C43CF3" w:rsidRPr="00920D1F">
        <w:rPr>
          <w:rFonts w:eastAsia="Times New Roman" w:cs="Times New Roman"/>
          <w:color w:val="222222"/>
          <w:szCs w:val="24"/>
          <w:lang w:eastAsia="en-IN"/>
        </w:rPr>
        <w:t>of</w:t>
      </w:r>
      <w:r w:rsidRPr="007174AC">
        <w:rPr>
          <w:rFonts w:eastAsia="Times New Roman" w:cs="Times New Roman"/>
          <w:color w:val="222222"/>
          <w:szCs w:val="24"/>
          <w:lang w:eastAsia="en-IN"/>
        </w:rPr>
        <w:t xml:space="preserve">100000 units which help to determine the total cost of the business is £235000 if Mr Amana continues the business on both offline and online platforms. Mr Amana can also start the online trading of the business apart from continuing in both the platforms by considering a sufficient </w:t>
      </w:r>
      <w:r w:rsidRPr="00920D1F">
        <w:rPr>
          <w:rFonts w:eastAsia="Times New Roman" w:cs="Times New Roman"/>
          <w:color w:val="222222"/>
          <w:szCs w:val="24"/>
          <w:lang w:eastAsia="en-IN"/>
        </w:rPr>
        <w:t>number</w:t>
      </w:r>
      <w:r w:rsidRPr="007174AC">
        <w:rPr>
          <w:rFonts w:eastAsia="Times New Roman" w:cs="Times New Roman"/>
          <w:color w:val="222222"/>
          <w:szCs w:val="24"/>
          <w:lang w:eastAsia="en-IN"/>
        </w:rPr>
        <w:t xml:space="preserve"> of orders which can support the business to generate effective financial performance. The online trading initiative of the business has been considered by Mr Amana through selling the product of the organisation on the platform </w:t>
      </w:r>
      <w:r w:rsidR="00C43CF3" w:rsidRPr="00920D1F">
        <w:rPr>
          <w:rFonts w:eastAsia="Times New Roman" w:cs="Times New Roman"/>
          <w:color w:val="222222"/>
          <w:szCs w:val="24"/>
          <w:lang w:eastAsia="en-IN"/>
        </w:rPr>
        <w:t xml:space="preserve">of </w:t>
      </w:r>
      <w:r w:rsidRPr="007174AC">
        <w:rPr>
          <w:rFonts w:eastAsia="Times New Roman" w:cs="Times New Roman"/>
          <w:color w:val="222222"/>
          <w:szCs w:val="24"/>
          <w:lang w:eastAsia="en-IN"/>
        </w:rPr>
        <w:t>Amazon. The organisation can directly sell to the customers through this online platform. The business requires to pay £50000 as “Amazon fulfilment fees” for initiating the online trading of the business. This option of starting online trading enables Mr Amana to witness a guaranteed sale of 65000 units due to the high level of competition between other sellers and the business of Mr Amana on the platform of Amazon. The business of Mr Amana has the potential to witness an increase in the demand for the products in case it adopts an online mode of selling. However, the business of Mr Amana can also witness challenges in adopting an online trading strategy through Amazon because the business can lack control over the return policy and pricing on the Amazon platform. Therefore, the organisation can experience more uncertainty regarding the sold units to customers (</w:t>
      </w:r>
      <w:r w:rsidRPr="007174AC">
        <w:rPr>
          <w:rFonts w:eastAsia="Times New Roman" w:cs="Times New Roman"/>
          <w:color w:val="222222"/>
          <w:szCs w:val="24"/>
          <w:shd w:val="clear" w:color="auto" w:fill="FFFFFF"/>
          <w:lang w:eastAsia="en-IN"/>
        </w:rPr>
        <w:t>Berman and Thelen, 2018)</w:t>
      </w:r>
      <w:r w:rsidRPr="007174AC">
        <w:rPr>
          <w:rFonts w:eastAsia="Times New Roman" w:cs="Times New Roman"/>
          <w:color w:val="222222"/>
          <w:szCs w:val="24"/>
          <w:lang w:eastAsia="en-IN"/>
        </w:rPr>
        <w:t>.</w:t>
      </w:r>
    </w:p>
    <w:p w14:paraId="3ED27B34" w14:textId="3D9CE6A7"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color w:val="222222"/>
          <w:szCs w:val="24"/>
          <w:lang w:eastAsia="en-IN"/>
        </w:rPr>
        <w:t xml:space="preserve">The online approach of the business enables the organisation to witness positive volume along with the negative aspects of online trading in terms of pricing and return strategy. Both the trading strategies of the business can enable it to witness sustainable growth in the market </w:t>
      </w:r>
      <w:r w:rsidR="00C43CF3" w:rsidRPr="00920D1F">
        <w:rPr>
          <w:rFonts w:eastAsia="Times New Roman" w:cs="Times New Roman"/>
          <w:color w:val="222222"/>
          <w:szCs w:val="24"/>
          <w:lang w:eastAsia="en-IN"/>
        </w:rPr>
        <w:t>whether it operate only in online or both the platforms</w:t>
      </w:r>
      <w:r w:rsidRPr="007174AC">
        <w:rPr>
          <w:rFonts w:eastAsia="Times New Roman" w:cs="Times New Roman"/>
          <w:color w:val="222222"/>
          <w:szCs w:val="24"/>
          <w:lang w:eastAsia="en-IN"/>
        </w:rPr>
        <w:t xml:space="preserve">. The </w:t>
      </w:r>
      <w:r w:rsidR="00C43CF3" w:rsidRPr="00920D1F">
        <w:rPr>
          <w:rFonts w:eastAsia="Times New Roman" w:cs="Times New Roman"/>
          <w:color w:val="222222"/>
          <w:szCs w:val="24"/>
          <w:lang w:eastAsia="en-IN"/>
        </w:rPr>
        <w:t>trading</w:t>
      </w:r>
      <w:r w:rsidRPr="007174AC">
        <w:rPr>
          <w:rFonts w:eastAsia="Times New Roman" w:cs="Times New Roman"/>
          <w:color w:val="222222"/>
          <w:szCs w:val="24"/>
          <w:lang w:eastAsia="en-IN"/>
        </w:rPr>
        <w:t xml:space="preserve"> volume for the business is 100000 units in case it considers both online and offline trading initiatives whereas the trading volume becomes only 65000 units when it adopts only an online platform. Further, the selling unit can fluctuate due to the uncertain return policy (</w:t>
      </w:r>
      <w:r w:rsidRPr="007174AC">
        <w:rPr>
          <w:rFonts w:eastAsia="Times New Roman" w:cs="Times New Roman"/>
          <w:color w:val="222222"/>
          <w:szCs w:val="24"/>
          <w:shd w:val="clear" w:color="auto" w:fill="FFFFFF"/>
          <w:lang w:eastAsia="en-IN"/>
        </w:rPr>
        <w:t>Martín et al., 2019)</w:t>
      </w:r>
      <w:r w:rsidRPr="007174AC">
        <w:rPr>
          <w:rFonts w:eastAsia="Times New Roman" w:cs="Times New Roman"/>
          <w:color w:val="222222"/>
          <w:szCs w:val="24"/>
          <w:lang w:eastAsia="en-IN"/>
        </w:rPr>
        <w:t>. Therefore, it can be illustrated that the first trading approach of the organisation including both online and offline is more beneficial for the organisation. It enables the organisation to ensure equal availability of the business on both platforms as 50% of the business consists of online trading and 50% of offline trading. </w:t>
      </w:r>
    </w:p>
    <w:p w14:paraId="2BCD5E39" w14:textId="3815393E"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color w:val="222222"/>
          <w:szCs w:val="24"/>
          <w:lang w:eastAsia="en-IN"/>
        </w:rPr>
        <w:lastRenderedPageBreak/>
        <w:t>The major retailers of the UK like Morrisons, Sainsbury, and Tesco also follow the strategy of both online and offline trading in order to maximise their financial performance and gain competitive benefit in the retail market. Many retailers during the pandemic hire extra workforce for meeting the high online demand, for example, Tesco higher 16000 staff during the Covid-19 crisis and Sainsbury higher 22,000 people during the same period (</w:t>
      </w:r>
      <w:r w:rsidRPr="007174AC">
        <w:rPr>
          <w:rFonts w:eastAsia="Times New Roman" w:cs="Times New Roman"/>
          <w:color w:val="222222"/>
          <w:szCs w:val="24"/>
          <w:shd w:val="clear" w:color="auto" w:fill="FFFFFF"/>
          <w:lang w:eastAsia="en-IN"/>
        </w:rPr>
        <w:t>Butler, 2020; ‌Willems, 2021)</w:t>
      </w:r>
      <w:r w:rsidRPr="007174AC">
        <w:rPr>
          <w:rFonts w:eastAsia="Times New Roman" w:cs="Times New Roman"/>
          <w:color w:val="222222"/>
          <w:szCs w:val="24"/>
          <w:lang w:eastAsia="en-IN"/>
        </w:rPr>
        <w:t xml:space="preserve">. </w:t>
      </w:r>
      <w:r w:rsidRPr="00920D1F">
        <w:rPr>
          <w:rFonts w:eastAsia="Times New Roman" w:cs="Times New Roman"/>
          <w:color w:val="222222"/>
          <w:szCs w:val="24"/>
          <w:lang w:eastAsia="en-IN"/>
        </w:rPr>
        <w:t>Therefore,</w:t>
      </w:r>
      <w:r w:rsidRPr="007174AC">
        <w:rPr>
          <w:rFonts w:eastAsia="Times New Roman" w:cs="Times New Roman"/>
          <w:color w:val="222222"/>
          <w:szCs w:val="24"/>
          <w:lang w:eastAsia="en-IN"/>
        </w:rPr>
        <w:t xml:space="preserve"> it can be understood that online trading has demand in the UK which can support the organisation to enhance the performance of the business. Thus, the business of Mr Amana has </w:t>
      </w:r>
      <w:r w:rsidR="00C43CF3" w:rsidRPr="00920D1F">
        <w:rPr>
          <w:rFonts w:eastAsia="Times New Roman" w:cs="Times New Roman"/>
          <w:color w:val="222222"/>
          <w:szCs w:val="24"/>
          <w:lang w:eastAsia="en-IN"/>
        </w:rPr>
        <w:t>s</w:t>
      </w:r>
      <w:r w:rsidRPr="007174AC">
        <w:rPr>
          <w:rFonts w:eastAsia="Times New Roman" w:cs="Times New Roman"/>
          <w:color w:val="222222"/>
          <w:szCs w:val="24"/>
          <w:lang w:eastAsia="en-IN"/>
        </w:rPr>
        <w:t xml:space="preserve">cope </w:t>
      </w:r>
      <w:r w:rsidR="00C43CF3" w:rsidRPr="00920D1F">
        <w:rPr>
          <w:rFonts w:eastAsia="Times New Roman" w:cs="Times New Roman"/>
          <w:color w:val="222222"/>
          <w:szCs w:val="24"/>
          <w:lang w:eastAsia="en-IN"/>
        </w:rPr>
        <w:t xml:space="preserve">of </w:t>
      </w:r>
      <w:r w:rsidRPr="007174AC">
        <w:rPr>
          <w:rFonts w:eastAsia="Times New Roman" w:cs="Times New Roman"/>
          <w:color w:val="222222"/>
          <w:szCs w:val="24"/>
          <w:lang w:eastAsia="en-IN"/>
        </w:rPr>
        <w:t>expansion if it adopts complete online trading.</w:t>
      </w:r>
    </w:p>
    <w:p w14:paraId="00A46C81" w14:textId="26C3456B"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color w:val="222222"/>
          <w:szCs w:val="24"/>
          <w:lang w:eastAsia="en-IN"/>
        </w:rPr>
        <w:t>However, Mr Amana cannot control the business if it adopts a complete online trading strategy. The major concern for the business owner is the pricing strategy and the return of customers. On the contrary, an offline strategy enables Mr Amana to control the pricing and return policies (</w:t>
      </w:r>
      <w:r w:rsidRPr="007174AC">
        <w:rPr>
          <w:rFonts w:eastAsia="Times New Roman" w:cs="Times New Roman"/>
          <w:color w:val="222222"/>
          <w:szCs w:val="24"/>
          <w:shd w:val="clear" w:color="auto" w:fill="FFFFFF"/>
          <w:lang w:eastAsia="en-IN"/>
        </w:rPr>
        <w:t xml:space="preserve">Yrjölä </w:t>
      </w:r>
      <w:r w:rsidRPr="007174AC">
        <w:rPr>
          <w:rFonts w:eastAsia="Times New Roman" w:cs="Times New Roman"/>
          <w:i/>
          <w:iCs/>
          <w:color w:val="222222"/>
          <w:szCs w:val="24"/>
          <w:shd w:val="clear" w:color="auto" w:fill="FFFFFF"/>
          <w:lang w:eastAsia="en-IN"/>
        </w:rPr>
        <w:t>et al.</w:t>
      </w:r>
      <w:r w:rsidRPr="007174AC">
        <w:rPr>
          <w:rFonts w:eastAsia="Times New Roman" w:cs="Times New Roman"/>
          <w:color w:val="222222"/>
          <w:szCs w:val="24"/>
          <w:shd w:val="clear" w:color="auto" w:fill="FFFFFF"/>
          <w:lang w:eastAsia="en-IN"/>
        </w:rPr>
        <w:t>, 2018)</w:t>
      </w:r>
      <w:r w:rsidRPr="007174AC">
        <w:rPr>
          <w:rFonts w:eastAsia="Times New Roman" w:cs="Times New Roman"/>
          <w:color w:val="222222"/>
          <w:szCs w:val="24"/>
          <w:lang w:eastAsia="en-IN"/>
        </w:rPr>
        <w:t xml:space="preserve">. Understanding the benefits of both online and offline strategy Mr Amana requires to give importance to both the trading initiatives.  The cost is lower for the online trading strategy but the higher selling volume in adopting both the selling platform enables the organisation to witness higher financial performance which is beneficial for sustaining the business in the UK. </w:t>
      </w:r>
      <w:r w:rsidRPr="00920D1F">
        <w:rPr>
          <w:rFonts w:eastAsia="Times New Roman" w:cs="Times New Roman"/>
          <w:color w:val="222222"/>
          <w:szCs w:val="24"/>
          <w:lang w:eastAsia="en-IN"/>
        </w:rPr>
        <w:t>T</w:t>
      </w:r>
      <w:r w:rsidRPr="007174AC">
        <w:rPr>
          <w:rFonts w:eastAsia="Times New Roman" w:cs="Times New Roman"/>
          <w:color w:val="222222"/>
          <w:szCs w:val="24"/>
          <w:lang w:eastAsia="en-IN"/>
        </w:rPr>
        <w:t>herefore, Mr Amana requires to focus on such a strategy that maximises the performance and growth of the organisation. The positive financial growth of the business and the cost structure indicates benefits for Mr Amana in adopting the 50-50 online and offline trading mode. </w:t>
      </w:r>
    </w:p>
    <w:p w14:paraId="2F76D2A4" w14:textId="77777777" w:rsidR="007174AC" w:rsidRPr="00920D1F" w:rsidRDefault="007174AC" w:rsidP="007174AC">
      <w:pPr>
        <w:pStyle w:val="Heading1"/>
        <w:rPr>
          <w:rFonts w:eastAsia="Times New Roman"/>
          <w:lang w:eastAsia="en-IN"/>
        </w:rPr>
      </w:pPr>
      <w:bookmarkStart w:id="6" w:name="_Toc101201763"/>
      <w:r w:rsidRPr="00920D1F">
        <w:rPr>
          <w:rFonts w:eastAsia="Times New Roman"/>
          <w:lang w:eastAsia="en-IN"/>
        </w:rPr>
        <w:t>Conclusion</w:t>
      </w:r>
      <w:bookmarkEnd w:id="6"/>
      <w:r w:rsidRPr="00920D1F">
        <w:rPr>
          <w:rFonts w:eastAsia="Times New Roman"/>
          <w:lang w:eastAsia="en-IN"/>
        </w:rPr>
        <w:t> </w:t>
      </w:r>
    </w:p>
    <w:p w14:paraId="7C7BBA7C" w14:textId="77777777"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color w:val="222222"/>
          <w:szCs w:val="24"/>
          <w:lang w:eastAsia="en-IN"/>
        </w:rPr>
        <w:t>The study has shown that the financial budget enables the organisation to predict its financial capability. The flexible budget helps to determine that the performance of the organisation suffered due to the pandemic scenario. The variance analysis of Amana Limited indicates the Covid-19 pandemic has created unfavourable changes for the organisation by reducing its overall revenue and net profit. The study has also indicated that the business can get benefit by combining both online and offline trading modes for enhancing the financial performance of the organisation. The study has identified benefits for both the trading mode but the higher sale volume and cost structure help to decide that the mixed trading mode is more beneficial for the business owner.</w:t>
      </w:r>
    </w:p>
    <w:p w14:paraId="5434CABD" w14:textId="77777777" w:rsidR="007174AC" w:rsidRPr="00920D1F" w:rsidRDefault="007174AC" w:rsidP="007174AC">
      <w:pPr>
        <w:spacing w:line="360" w:lineRule="auto"/>
      </w:pPr>
    </w:p>
    <w:p w14:paraId="57DE4B5D" w14:textId="77777777" w:rsidR="001526FC" w:rsidRPr="00920D1F" w:rsidRDefault="001526FC" w:rsidP="007174AC">
      <w:pPr>
        <w:spacing w:after="160" w:line="360" w:lineRule="auto"/>
        <w:jc w:val="left"/>
      </w:pPr>
      <w:r w:rsidRPr="00920D1F">
        <w:br w:type="page"/>
      </w:r>
    </w:p>
    <w:p w14:paraId="5E59BD1D" w14:textId="77851F67" w:rsidR="001526FC" w:rsidRPr="00920D1F" w:rsidRDefault="001526FC" w:rsidP="00BB6B6C">
      <w:pPr>
        <w:pStyle w:val="Heading1"/>
      </w:pPr>
      <w:bookmarkStart w:id="7" w:name="_Toc101201764"/>
      <w:r w:rsidRPr="00920D1F">
        <w:lastRenderedPageBreak/>
        <w:t>References</w:t>
      </w:r>
      <w:bookmarkEnd w:id="7"/>
    </w:p>
    <w:p w14:paraId="0DAEA281" w14:textId="77777777"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szCs w:val="24"/>
          <w:shd w:val="clear" w:color="auto" w:fill="FFFFFF"/>
          <w:lang w:eastAsia="en-IN"/>
        </w:rPr>
        <w:t xml:space="preserve">Adler, R.W., 2018. </w:t>
      </w:r>
      <w:r w:rsidRPr="007174AC">
        <w:rPr>
          <w:rFonts w:eastAsia="Times New Roman" w:cs="Times New Roman"/>
          <w:i/>
          <w:iCs/>
          <w:szCs w:val="24"/>
          <w:shd w:val="clear" w:color="auto" w:fill="FFFFFF"/>
          <w:lang w:eastAsia="en-IN"/>
        </w:rPr>
        <w:t>Strategic performance management: Accounting for organizational control</w:t>
      </w:r>
      <w:r w:rsidRPr="007174AC">
        <w:rPr>
          <w:rFonts w:eastAsia="Times New Roman" w:cs="Times New Roman"/>
          <w:szCs w:val="24"/>
          <w:shd w:val="clear" w:color="auto" w:fill="FFFFFF"/>
          <w:lang w:eastAsia="en-IN"/>
        </w:rPr>
        <w:t>. Routledge.</w:t>
      </w:r>
    </w:p>
    <w:p w14:paraId="7F9CDB24" w14:textId="77777777" w:rsidR="007174AC" w:rsidRPr="00920D1F" w:rsidRDefault="007174AC" w:rsidP="007174AC">
      <w:pPr>
        <w:spacing w:line="360" w:lineRule="auto"/>
        <w:rPr>
          <w:rFonts w:cs="Times New Roman"/>
          <w:szCs w:val="24"/>
        </w:rPr>
      </w:pPr>
      <w:r w:rsidRPr="00920D1F">
        <w:rPr>
          <w:rFonts w:cs="Times New Roman"/>
          <w:szCs w:val="24"/>
        </w:rPr>
        <w:t>Aggarwal, P. and Batra, S., 2018. Business Administration Platform Management through Budget Editor Tool (Doctoral dissertation).</w:t>
      </w:r>
    </w:p>
    <w:p w14:paraId="3F9001B1" w14:textId="77777777" w:rsidR="007174AC" w:rsidRPr="007174AC" w:rsidRDefault="007174AC" w:rsidP="007174AC">
      <w:pPr>
        <w:spacing w:after="0" w:line="360" w:lineRule="auto"/>
        <w:rPr>
          <w:rFonts w:eastAsia="Times New Roman" w:cs="Times New Roman"/>
          <w:szCs w:val="24"/>
          <w:lang w:eastAsia="en-IN"/>
        </w:rPr>
      </w:pPr>
      <w:proofErr w:type="spellStart"/>
      <w:r w:rsidRPr="007174AC">
        <w:rPr>
          <w:rFonts w:eastAsia="Times New Roman" w:cs="Times New Roman"/>
          <w:szCs w:val="24"/>
          <w:shd w:val="clear" w:color="auto" w:fill="FFFFFF"/>
          <w:lang w:eastAsia="en-IN"/>
        </w:rPr>
        <w:t>Alawattage</w:t>
      </w:r>
      <w:proofErr w:type="spellEnd"/>
      <w:r w:rsidRPr="007174AC">
        <w:rPr>
          <w:rFonts w:eastAsia="Times New Roman" w:cs="Times New Roman"/>
          <w:szCs w:val="24"/>
          <w:shd w:val="clear" w:color="auto" w:fill="FFFFFF"/>
          <w:lang w:eastAsia="en-IN"/>
        </w:rPr>
        <w:t xml:space="preserve">, C. and Wickramasinghe, D., 2012. </w:t>
      </w:r>
      <w:r w:rsidRPr="007174AC">
        <w:rPr>
          <w:rFonts w:eastAsia="Times New Roman" w:cs="Times New Roman"/>
          <w:i/>
          <w:iCs/>
          <w:szCs w:val="24"/>
          <w:shd w:val="clear" w:color="auto" w:fill="FFFFFF"/>
          <w:lang w:eastAsia="en-IN"/>
        </w:rPr>
        <w:t>Management accounting change: approaches and perspectives</w:t>
      </w:r>
      <w:r w:rsidRPr="007174AC">
        <w:rPr>
          <w:rFonts w:eastAsia="Times New Roman" w:cs="Times New Roman"/>
          <w:szCs w:val="24"/>
          <w:shd w:val="clear" w:color="auto" w:fill="FFFFFF"/>
          <w:lang w:eastAsia="en-IN"/>
        </w:rPr>
        <w:t>. Routledge.</w:t>
      </w:r>
    </w:p>
    <w:p w14:paraId="129DC8D5" w14:textId="77777777" w:rsidR="007174AC" w:rsidRPr="007174AC" w:rsidRDefault="007174AC" w:rsidP="007174AC">
      <w:pPr>
        <w:spacing w:before="240" w:after="240" w:line="360" w:lineRule="auto"/>
        <w:rPr>
          <w:rFonts w:eastAsia="Times New Roman" w:cs="Times New Roman"/>
          <w:szCs w:val="24"/>
          <w:lang w:eastAsia="en-IN"/>
        </w:rPr>
      </w:pPr>
      <w:r w:rsidRPr="007174AC">
        <w:rPr>
          <w:rFonts w:eastAsia="Times New Roman" w:cs="Times New Roman"/>
          <w:szCs w:val="24"/>
          <w:shd w:val="clear" w:color="auto" w:fill="FFFFFF"/>
          <w:lang w:eastAsia="en-IN"/>
        </w:rPr>
        <w:t xml:space="preserve">Berman, B. and Thelen, S., 2018. Planning and implementing an effective omnichannel marketing program. </w:t>
      </w:r>
      <w:r w:rsidRPr="007174AC">
        <w:rPr>
          <w:rFonts w:eastAsia="Times New Roman" w:cs="Times New Roman"/>
          <w:i/>
          <w:iCs/>
          <w:szCs w:val="24"/>
          <w:shd w:val="clear" w:color="auto" w:fill="FFFFFF"/>
          <w:lang w:eastAsia="en-IN"/>
        </w:rPr>
        <w:t>International Journal of Retail &amp; Distribution Management</w:t>
      </w:r>
      <w:r w:rsidRPr="007174AC">
        <w:rPr>
          <w:rFonts w:eastAsia="Times New Roman" w:cs="Times New Roman"/>
          <w:szCs w:val="24"/>
          <w:shd w:val="clear" w:color="auto" w:fill="FFFFFF"/>
          <w:lang w:eastAsia="en-IN"/>
        </w:rPr>
        <w:t>.‌</w:t>
      </w:r>
    </w:p>
    <w:p w14:paraId="4A2E4B93" w14:textId="77777777"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szCs w:val="24"/>
          <w:shd w:val="clear" w:color="auto" w:fill="FFFFFF"/>
          <w:lang w:eastAsia="en-IN"/>
        </w:rPr>
        <w:t xml:space="preserve">Booth, P., 2018. </w:t>
      </w:r>
      <w:r w:rsidRPr="007174AC">
        <w:rPr>
          <w:rFonts w:eastAsia="Times New Roman" w:cs="Times New Roman"/>
          <w:i/>
          <w:iCs/>
          <w:szCs w:val="24"/>
          <w:shd w:val="clear" w:color="auto" w:fill="FFFFFF"/>
          <w:lang w:eastAsia="en-IN"/>
        </w:rPr>
        <w:t>Management control in a voluntary organization: accounting and accountants in organizational context</w:t>
      </w:r>
      <w:r w:rsidRPr="007174AC">
        <w:rPr>
          <w:rFonts w:eastAsia="Times New Roman" w:cs="Times New Roman"/>
          <w:szCs w:val="24"/>
          <w:shd w:val="clear" w:color="auto" w:fill="FFFFFF"/>
          <w:lang w:eastAsia="en-IN"/>
        </w:rPr>
        <w:t>. Routledge.</w:t>
      </w:r>
    </w:p>
    <w:p w14:paraId="6D162915" w14:textId="77777777" w:rsidR="007174AC" w:rsidRPr="007174AC" w:rsidRDefault="007174AC" w:rsidP="007174AC">
      <w:pPr>
        <w:spacing w:after="240" w:line="360" w:lineRule="auto"/>
        <w:rPr>
          <w:rFonts w:eastAsia="Times New Roman" w:cs="Times New Roman"/>
          <w:szCs w:val="24"/>
          <w:lang w:eastAsia="en-IN"/>
        </w:rPr>
      </w:pPr>
      <w:r w:rsidRPr="007174AC">
        <w:rPr>
          <w:rFonts w:eastAsia="Times New Roman" w:cs="Times New Roman"/>
          <w:szCs w:val="24"/>
          <w:shd w:val="clear" w:color="auto" w:fill="FFFFFF"/>
          <w:lang w:eastAsia="en-IN"/>
        </w:rPr>
        <w:t xml:space="preserve">Butler, S. (2020). </w:t>
      </w:r>
      <w:r w:rsidRPr="007174AC">
        <w:rPr>
          <w:rFonts w:eastAsia="Times New Roman" w:cs="Times New Roman"/>
          <w:i/>
          <w:iCs/>
          <w:szCs w:val="24"/>
          <w:shd w:val="clear" w:color="auto" w:fill="FFFFFF"/>
          <w:lang w:eastAsia="en-IN"/>
        </w:rPr>
        <w:t>Tesco gives permanent jobs to 16,000 staff taken on in Covid crisis</w:t>
      </w:r>
      <w:r w:rsidRPr="007174AC">
        <w:rPr>
          <w:rFonts w:eastAsia="Times New Roman" w:cs="Times New Roman"/>
          <w:szCs w:val="24"/>
          <w:shd w:val="clear" w:color="auto" w:fill="FFFFFF"/>
          <w:lang w:eastAsia="en-IN"/>
        </w:rPr>
        <w:t>. [online] the Guardian. Available at: https://www.theguardian.com/business/2020/aug/24/tesco-gives-permanent-jobs-to-16000-staff-taken-on-in-covid-crisis [Accessed 18 Apr. 2022].</w:t>
      </w:r>
    </w:p>
    <w:p w14:paraId="0632ECF0" w14:textId="77777777" w:rsidR="007174AC" w:rsidRPr="00920D1F" w:rsidRDefault="007174AC" w:rsidP="007174AC">
      <w:pPr>
        <w:spacing w:line="360" w:lineRule="auto"/>
        <w:rPr>
          <w:rFonts w:cs="Times New Roman"/>
          <w:szCs w:val="24"/>
        </w:rPr>
      </w:pPr>
      <w:r w:rsidRPr="00920D1F">
        <w:rPr>
          <w:rFonts w:cs="Times New Roman"/>
          <w:szCs w:val="24"/>
        </w:rPr>
        <w:t>de Queiroz Falcão, R.P., de Castro, A.R.C., do Nascimento, E.S., da Silva Barboza, T. and Ferreira, J.B., 2018. Improving business performance of budget hotels through social media. REVISTA ACADÊMICA OBSERVATÓRIO DE INOVAÇÃO DO TURISMO, 12(1), pp.45-65.</w:t>
      </w:r>
    </w:p>
    <w:p w14:paraId="6AB872A6" w14:textId="77777777"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szCs w:val="24"/>
          <w:shd w:val="clear" w:color="auto" w:fill="FFFFFF"/>
          <w:lang w:eastAsia="en-IN"/>
        </w:rPr>
        <w:t xml:space="preserve">Drury, C.M., 2013. </w:t>
      </w:r>
      <w:r w:rsidRPr="007174AC">
        <w:rPr>
          <w:rFonts w:eastAsia="Times New Roman" w:cs="Times New Roman"/>
          <w:i/>
          <w:iCs/>
          <w:szCs w:val="24"/>
          <w:shd w:val="clear" w:color="auto" w:fill="FFFFFF"/>
          <w:lang w:eastAsia="en-IN"/>
        </w:rPr>
        <w:t>Management and cost accounting</w:t>
      </w:r>
      <w:r w:rsidRPr="007174AC">
        <w:rPr>
          <w:rFonts w:eastAsia="Times New Roman" w:cs="Times New Roman"/>
          <w:szCs w:val="24"/>
          <w:shd w:val="clear" w:color="auto" w:fill="FFFFFF"/>
          <w:lang w:eastAsia="en-IN"/>
        </w:rPr>
        <w:t>. Springer.</w:t>
      </w:r>
    </w:p>
    <w:p w14:paraId="411344BD" w14:textId="77777777" w:rsidR="007174AC" w:rsidRPr="00920D1F" w:rsidRDefault="007174AC" w:rsidP="007174AC">
      <w:pPr>
        <w:spacing w:line="360" w:lineRule="auto"/>
        <w:rPr>
          <w:rFonts w:cs="Times New Roman"/>
          <w:szCs w:val="24"/>
        </w:rPr>
      </w:pPr>
      <w:proofErr w:type="spellStart"/>
      <w:r w:rsidRPr="00920D1F">
        <w:rPr>
          <w:rFonts w:cs="Times New Roman"/>
          <w:szCs w:val="24"/>
        </w:rPr>
        <w:t>Fakilede</w:t>
      </w:r>
      <w:proofErr w:type="spellEnd"/>
      <w:r w:rsidRPr="00920D1F">
        <w:rPr>
          <w:rFonts w:cs="Times New Roman"/>
          <w:szCs w:val="24"/>
        </w:rPr>
        <w:t>, J., 2020. Strategies Utility Business Organizations Use to Deliver Construction Projects On-Budget and On-Schedule (Doctoral dissertation, Walden University).</w:t>
      </w:r>
    </w:p>
    <w:p w14:paraId="1B40D8DC" w14:textId="77777777"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szCs w:val="24"/>
          <w:shd w:val="clear" w:color="auto" w:fill="FFFFFF"/>
          <w:lang w:eastAsia="en-IN"/>
        </w:rPr>
        <w:t xml:space="preserve">Hofstede, G.H., 2012. </w:t>
      </w:r>
      <w:r w:rsidRPr="007174AC">
        <w:rPr>
          <w:rFonts w:eastAsia="Times New Roman" w:cs="Times New Roman"/>
          <w:i/>
          <w:iCs/>
          <w:szCs w:val="24"/>
          <w:shd w:val="clear" w:color="auto" w:fill="FFFFFF"/>
          <w:lang w:eastAsia="en-IN"/>
        </w:rPr>
        <w:t>The game of budget control</w:t>
      </w:r>
      <w:r w:rsidRPr="007174AC">
        <w:rPr>
          <w:rFonts w:eastAsia="Times New Roman" w:cs="Times New Roman"/>
          <w:szCs w:val="24"/>
          <w:shd w:val="clear" w:color="auto" w:fill="FFFFFF"/>
          <w:lang w:eastAsia="en-IN"/>
        </w:rPr>
        <w:t>. Routledge.</w:t>
      </w:r>
    </w:p>
    <w:p w14:paraId="21CC2D5E" w14:textId="77777777" w:rsidR="007174AC" w:rsidRPr="00920D1F" w:rsidRDefault="007174AC" w:rsidP="007174AC">
      <w:pPr>
        <w:spacing w:line="360" w:lineRule="auto"/>
        <w:rPr>
          <w:rFonts w:cs="Times New Roman"/>
          <w:szCs w:val="24"/>
        </w:rPr>
      </w:pPr>
      <w:r w:rsidRPr="00920D1F">
        <w:rPr>
          <w:rFonts w:cs="Times New Roman"/>
          <w:szCs w:val="24"/>
        </w:rPr>
        <w:t xml:space="preserve">HU, Y.B., 2019. Study on Budget Management Combined with Business and Finance in China Power Grid Enterprises. </w:t>
      </w:r>
      <w:proofErr w:type="spellStart"/>
      <w:r w:rsidRPr="00920D1F">
        <w:rPr>
          <w:rFonts w:cs="Times New Roman"/>
          <w:szCs w:val="24"/>
        </w:rPr>
        <w:t>DEStech</w:t>
      </w:r>
      <w:proofErr w:type="spellEnd"/>
      <w:r w:rsidRPr="00920D1F">
        <w:rPr>
          <w:rFonts w:cs="Times New Roman"/>
          <w:szCs w:val="24"/>
        </w:rPr>
        <w:t xml:space="preserve"> Transactions on Economics, Business and Management, (</w:t>
      </w:r>
      <w:proofErr w:type="spellStart"/>
      <w:r w:rsidRPr="00920D1F">
        <w:rPr>
          <w:rFonts w:cs="Times New Roman"/>
          <w:szCs w:val="24"/>
        </w:rPr>
        <w:t>emba</w:t>
      </w:r>
      <w:proofErr w:type="spellEnd"/>
      <w:r w:rsidRPr="00920D1F">
        <w:rPr>
          <w:rFonts w:cs="Times New Roman"/>
          <w:szCs w:val="24"/>
        </w:rPr>
        <w:t>).</w:t>
      </w:r>
    </w:p>
    <w:p w14:paraId="30F52087" w14:textId="77777777"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szCs w:val="24"/>
          <w:shd w:val="clear" w:color="auto" w:fill="FFFFFF"/>
          <w:lang w:eastAsia="en-IN"/>
        </w:rPr>
        <w:t xml:space="preserve">Hussain, J., Salia, S. and Karim, A., 2018. Is knowledge that powerful? Financial literacy and access to finance: An analysis of enterprises in the UK. </w:t>
      </w:r>
      <w:r w:rsidRPr="007174AC">
        <w:rPr>
          <w:rFonts w:eastAsia="Times New Roman" w:cs="Times New Roman"/>
          <w:i/>
          <w:iCs/>
          <w:szCs w:val="24"/>
          <w:shd w:val="clear" w:color="auto" w:fill="FFFFFF"/>
          <w:lang w:eastAsia="en-IN"/>
        </w:rPr>
        <w:t>Journal of Small Business and Enterprise Development</w:t>
      </w:r>
      <w:r w:rsidRPr="007174AC">
        <w:rPr>
          <w:rFonts w:eastAsia="Times New Roman" w:cs="Times New Roman"/>
          <w:szCs w:val="24"/>
          <w:shd w:val="clear" w:color="auto" w:fill="FFFFFF"/>
          <w:lang w:eastAsia="en-IN"/>
        </w:rPr>
        <w:t>.</w:t>
      </w:r>
    </w:p>
    <w:p w14:paraId="46EDA96B" w14:textId="77777777" w:rsidR="007174AC" w:rsidRPr="007174AC" w:rsidRDefault="007174AC" w:rsidP="007174AC">
      <w:pPr>
        <w:spacing w:before="240" w:after="240" w:line="360" w:lineRule="auto"/>
        <w:rPr>
          <w:rFonts w:eastAsia="Times New Roman" w:cs="Times New Roman"/>
          <w:szCs w:val="24"/>
          <w:lang w:eastAsia="en-IN"/>
        </w:rPr>
      </w:pPr>
      <w:r w:rsidRPr="007174AC">
        <w:rPr>
          <w:rFonts w:eastAsia="Times New Roman" w:cs="Times New Roman"/>
          <w:szCs w:val="24"/>
          <w:shd w:val="clear" w:color="auto" w:fill="FFFFFF"/>
          <w:lang w:eastAsia="en-IN"/>
        </w:rPr>
        <w:lastRenderedPageBreak/>
        <w:t xml:space="preserve">Martín, J.C., Pagliara, F. and Román, C., 2019. The research topics on e-grocery: Trends and existing gaps. </w:t>
      </w:r>
      <w:r w:rsidRPr="007174AC">
        <w:rPr>
          <w:rFonts w:eastAsia="Times New Roman" w:cs="Times New Roman"/>
          <w:i/>
          <w:iCs/>
          <w:szCs w:val="24"/>
          <w:shd w:val="clear" w:color="auto" w:fill="FFFFFF"/>
          <w:lang w:eastAsia="en-IN"/>
        </w:rPr>
        <w:t>Sustainability</w:t>
      </w:r>
      <w:r w:rsidRPr="007174AC">
        <w:rPr>
          <w:rFonts w:eastAsia="Times New Roman" w:cs="Times New Roman"/>
          <w:szCs w:val="24"/>
          <w:shd w:val="clear" w:color="auto" w:fill="FFFFFF"/>
          <w:lang w:eastAsia="en-IN"/>
        </w:rPr>
        <w:t xml:space="preserve">, </w:t>
      </w:r>
      <w:r w:rsidRPr="007174AC">
        <w:rPr>
          <w:rFonts w:eastAsia="Times New Roman" w:cs="Times New Roman"/>
          <w:i/>
          <w:iCs/>
          <w:szCs w:val="24"/>
          <w:shd w:val="clear" w:color="auto" w:fill="FFFFFF"/>
          <w:lang w:eastAsia="en-IN"/>
        </w:rPr>
        <w:t>11</w:t>
      </w:r>
      <w:r w:rsidRPr="007174AC">
        <w:rPr>
          <w:rFonts w:eastAsia="Times New Roman" w:cs="Times New Roman"/>
          <w:szCs w:val="24"/>
          <w:shd w:val="clear" w:color="auto" w:fill="FFFFFF"/>
          <w:lang w:eastAsia="en-IN"/>
        </w:rPr>
        <w:t>(2), p.321.</w:t>
      </w:r>
    </w:p>
    <w:p w14:paraId="26894790" w14:textId="77777777"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szCs w:val="24"/>
          <w:shd w:val="clear" w:color="auto" w:fill="FFFFFF"/>
          <w:lang w:eastAsia="en-IN"/>
        </w:rPr>
        <w:t xml:space="preserve">Rumble, G., Neil, M. and Tout, A., 2018. Budgetary and Resource Forecasting 1. In </w:t>
      </w:r>
      <w:r w:rsidRPr="007174AC">
        <w:rPr>
          <w:rFonts w:eastAsia="Times New Roman" w:cs="Times New Roman"/>
          <w:i/>
          <w:iCs/>
          <w:szCs w:val="24"/>
          <w:shd w:val="clear" w:color="auto" w:fill="FFFFFF"/>
          <w:lang w:eastAsia="en-IN"/>
        </w:rPr>
        <w:t>Distance teaching for higher and adult education</w:t>
      </w:r>
      <w:r w:rsidRPr="007174AC">
        <w:rPr>
          <w:rFonts w:eastAsia="Times New Roman" w:cs="Times New Roman"/>
          <w:szCs w:val="24"/>
          <w:shd w:val="clear" w:color="auto" w:fill="FFFFFF"/>
          <w:lang w:eastAsia="en-IN"/>
        </w:rPr>
        <w:t xml:space="preserve"> (pp. 235-270). Routledge.</w:t>
      </w:r>
    </w:p>
    <w:p w14:paraId="7B8B230B" w14:textId="77777777" w:rsidR="007174AC" w:rsidRPr="007174AC" w:rsidRDefault="007174AC" w:rsidP="007174AC">
      <w:pPr>
        <w:spacing w:before="240" w:after="240" w:line="360" w:lineRule="auto"/>
        <w:rPr>
          <w:rFonts w:eastAsia="Times New Roman" w:cs="Times New Roman"/>
          <w:szCs w:val="24"/>
          <w:lang w:eastAsia="en-IN"/>
        </w:rPr>
      </w:pPr>
      <w:r w:rsidRPr="007174AC">
        <w:rPr>
          <w:rFonts w:eastAsia="Times New Roman" w:cs="Times New Roman"/>
          <w:szCs w:val="24"/>
          <w:shd w:val="clear" w:color="auto" w:fill="FFFFFF"/>
          <w:lang w:eastAsia="en-IN"/>
        </w:rPr>
        <w:t xml:space="preserve">‌Willems, M. (2021). </w:t>
      </w:r>
      <w:r w:rsidRPr="007174AC">
        <w:rPr>
          <w:rFonts w:eastAsia="Times New Roman" w:cs="Times New Roman"/>
          <w:i/>
          <w:iCs/>
          <w:szCs w:val="24"/>
          <w:shd w:val="clear" w:color="auto" w:fill="FFFFFF"/>
          <w:lang w:eastAsia="en-IN"/>
        </w:rPr>
        <w:t>Sainsbury’s looking to hire 22,000 people in supermarket’s biggest-ever recruitment drive</w:t>
      </w:r>
      <w:r w:rsidRPr="007174AC">
        <w:rPr>
          <w:rFonts w:eastAsia="Times New Roman" w:cs="Times New Roman"/>
          <w:szCs w:val="24"/>
          <w:shd w:val="clear" w:color="auto" w:fill="FFFFFF"/>
          <w:lang w:eastAsia="en-IN"/>
        </w:rPr>
        <w:t xml:space="preserve">. [online] </w:t>
      </w:r>
      <w:proofErr w:type="spellStart"/>
      <w:r w:rsidRPr="007174AC">
        <w:rPr>
          <w:rFonts w:eastAsia="Times New Roman" w:cs="Times New Roman"/>
          <w:szCs w:val="24"/>
          <w:shd w:val="clear" w:color="auto" w:fill="FFFFFF"/>
          <w:lang w:eastAsia="en-IN"/>
        </w:rPr>
        <w:t>CityAM</w:t>
      </w:r>
      <w:proofErr w:type="spellEnd"/>
      <w:r w:rsidRPr="007174AC">
        <w:rPr>
          <w:rFonts w:eastAsia="Times New Roman" w:cs="Times New Roman"/>
          <w:szCs w:val="24"/>
          <w:shd w:val="clear" w:color="auto" w:fill="FFFFFF"/>
          <w:lang w:eastAsia="en-IN"/>
        </w:rPr>
        <w:t>. Available at: https://www.cityam.com/sainsburys-looking-to-hire-22000-people-in-supermarkets-biggest-ever-recruitment-drive/ [Accessed 18 Apr. 2022].</w:t>
      </w:r>
    </w:p>
    <w:p w14:paraId="23CC64FE" w14:textId="77777777" w:rsidR="007174AC" w:rsidRPr="007174AC" w:rsidRDefault="007174AC" w:rsidP="007174AC">
      <w:pPr>
        <w:spacing w:after="0" w:line="360" w:lineRule="auto"/>
        <w:rPr>
          <w:rFonts w:eastAsia="Times New Roman" w:cs="Times New Roman"/>
          <w:szCs w:val="24"/>
          <w:lang w:eastAsia="en-IN"/>
        </w:rPr>
      </w:pPr>
      <w:r w:rsidRPr="007174AC">
        <w:rPr>
          <w:rFonts w:eastAsia="Times New Roman" w:cs="Times New Roman"/>
          <w:szCs w:val="24"/>
          <w:shd w:val="clear" w:color="auto" w:fill="FFFFFF"/>
          <w:lang w:eastAsia="en-IN"/>
        </w:rPr>
        <w:t xml:space="preserve">Yrjölä, M., </w:t>
      </w:r>
      <w:proofErr w:type="spellStart"/>
      <w:r w:rsidRPr="007174AC">
        <w:rPr>
          <w:rFonts w:eastAsia="Times New Roman" w:cs="Times New Roman"/>
          <w:szCs w:val="24"/>
          <w:shd w:val="clear" w:color="auto" w:fill="FFFFFF"/>
          <w:lang w:eastAsia="en-IN"/>
        </w:rPr>
        <w:t>Saarijärvi</w:t>
      </w:r>
      <w:proofErr w:type="spellEnd"/>
      <w:r w:rsidRPr="007174AC">
        <w:rPr>
          <w:rFonts w:eastAsia="Times New Roman" w:cs="Times New Roman"/>
          <w:szCs w:val="24"/>
          <w:shd w:val="clear" w:color="auto" w:fill="FFFFFF"/>
          <w:lang w:eastAsia="en-IN"/>
        </w:rPr>
        <w:t xml:space="preserve">, H. and Nummela, H., 2018. The value propositions of multi-, cross-, and omni-channel retailing. </w:t>
      </w:r>
      <w:r w:rsidRPr="007174AC">
        <w:rPr>
          <w:rFonts w:eastAsia="Times New Roman" w:cs="Times New Roman"/>
          <w:i/>
          <w:iCs/>
          <w:szCs w:val="24"/>
          <w:shd w:val="clear" w:color="auto" w:fill="FFFFFF"/>
          <w:lang w:eastAsia="en-IN"/>
        </w:rPr>
        <w:t>International Journal of Retail &amp; Distribution Management</w:t>
      </w:r>
      <w:r w:rsidRPr="007174AC">
        <w:rPr>
          <w:rFonts w:eastAsia="Times New Roman" w:cs="Times New Roman"/>
          <w:szCs w:val="24"/>
          <w:shd w:val="clear" w:color="auto" w:fill="FFFFFF"/>
          <w:lang w:eastAsia="en-IN"/>
        </w:rPr>
        <w:t>.</w:t>
      </w:r>
    </w:p>
    <w:p w14:paraId="36F08AE0" w14:textId="77777777" w:rsidR="007174AC" w:rsidRPr="00920D1F" w:rsidRDefault="007174AC" w:rsidP="00BB6B6C">
      <w:pPr>
        <w:spacing w:line="360" w:lineRule="auto"/>
      </w:pPr>
    </w:p>
    <w:sectPr w:rsidR="007174AC" w:rsidRPr="00920D1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362C2D" w14:textId="77777777" w:rsidR="00E727C9" w:rsidRDefault="00E727C9" w:rsidP="007174AC">
      <w:pPr>
        <w:spacing w:after="0" w:line="240" w:lineRule="auto"/>
      </w:pPr>
      <w:r>
        <w:separator/>
      </w:r>
    </w:p>
  </w:endnote>
  <w:endnote w:type="continuationSeparator" w:id="0">
    <w:p w14:paraId="2854D158" w14:textId="77777777" w:rsidR="00E727C9" w:rsidRDefault="00E727C9" w:rsidP="007174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1458163"/>
      <w:docPartObj>
        <w:docPartGallery w:val="Page Numbers (Bottom of Page)"/>
        <w:docPartUnique/>
      </w:docPartObj>
    </w:sdtPr>
    <w:sdtEndPr>
      <w:rPr>
        <w:noProof/>
      </w:rPr>
    </w:sdtEndPr>
    <w:sdtContent>
      <w:p w14:paraId="0FF51453" w14:textId="11FCB96A" w:rsidR="007174AC" w:rsidRDefault="007174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66940E" w14:textId="77777777" w:rsidR="007174AC" w:rsidRDefault="007174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BC98B9" w14:textId="77777777" w:rsidR="00E727C9" w:rsidRDefault="00E727C9" w:rsidP="007174AC">
      <w:pPr>
        <w:spacing w:after="0" w:line="240" w:lineRule="auto"/>
      </w:pPr>
      <w:r>
        <w:separator/>
      </w:r>
    </w:p>
  </w:footnote>
  <w:footnote w:type="continuationSeparator" w:id="0">
    <w:p w14:paraId="5194D049" w14:textId="77777777" w:rsidR="00E727C9" w:rsidRDefault="00E727C9" w:rsidP="007174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6FC"/>
    <w:rsid w:val="000C472B"/>
    <w:rsid w:val="000F4B1E"/>
    <w:rsid w:val="001526FC"/>
    <w:rsid w:val="001A7B8F"/>
    <w:rsid w:val="00265F10"/>
    <w:rsid w:val="002B0A75"/>
    <w:rsid w:val="00371F21"/>
    <w:rsid w:val="003760E0"/>
    <w:rsid w:val="004349BC"/>
    <w:rsid w:val="004A1E1F"/>
    <w:rsid w:val="004E6B2B"/>
    <w:rsid w:val="00500EE2"/>
    <w:rsid w:val="005B0ED7"/>
    <w:rsid w:val="0061137C"/>
    <w:rsid w:val="00611FE5"/>
    <w:rsid w:val="00636478"/>
    <w:rsid w:val="006B520B"/>
    <w:rsid w:val="007174AC"/>
    <w:rsid w:val="00756702"/>
    <w:rsid w:val="007777B8"/>
    <w:rsid w:val="007945E8"/>
    <w:rsid w:val="00835BC8"/>
    <w:rsid w:val="00847EDD"/>
    <w:rsid w:val="0087550C"/>
    <w:rsid w:val="00920D1F"/>
    <w:rsid w:val="00983F71"/>
    <w:rsid w:val="00B63A14"/>
    <w:rsid w:val="00BA69ED"/>
    <w:rsid w:val="00BB6B6C"/>
    <w:rsid w:val="00BC1D40"/>
    <w:rsid w:val="00C43CF3"/>
    <w:rsid w:val="00D312C6"/>
    <w:rsid w:val="00D57B51"/>
    <w:rsid w:val="00DD5C26"/>
    <w:rsid w:val="00E549D3"/>
    <w:rsid w:val="00E727C9"/>
    <w:rsid w:val="00EB41FD"/>
    <w:rsid w:val="00EC042B"/>
    <w:rsid w:val="00F05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F1AAD"/>
  <w15:chartTrackingRefBased/>
  <w15:docId w15:val="{CA209137-0DB1-45EE-8A63-C0480DCE1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3A14"/>
    <w:pPr>
      <w:spacing w:after="200" w:line="276" w:lineRule="auto"/>
      <w:jc w:val="both"/>
    </w:pPr>
    <w:rPr>
      <w:rFonts w:ascii="Times New Roman" w:hAnsi="Times New Roman"/>
      <w:sz w:val="24"/>
    </w:rPr>
  </w:style>
  <w:style w:type="paragraph" w:styleId="Heading1">
    <w:name w:val="heading 1"/>
    <w:basedOn w:val="Normal"/>
    <w:next w:val="Normal"/>
    <w:link w:val="Heading1Char"/>
    <w:uiPriority w:val="9"/>
    <w:qFormat/>
    <w:rsid w:val="007174AC"/>
    <w:pPr>
      <w:keepNext/>
      <w:keepLines/>
      <w:spacing w:before="240" w:after="0" w:line="360"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174AC"/>
    <w:pPr>
      <w:keepNext/>
      <w:keepLines/>
      <w:spacing w:before="40" w:after="0" w:line="360" w:lineRule="auto"/>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74A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7174AC"/>
    <w:rPr>
      <w:rFonts w:ascii="Times New Roman" w:eastAsiaTheme="majorEastAsia" w:hAnsi="Times New Roman" w:cstheme="majorBidi"/>
      <w:b/>
      <w:sz w:val="24"/>
      <w:szCs w:val="26"/>
    </w:rPr>
  </w:style>
  <w:style w:type="paragraph" w:styleId="NormalWeb">
    <w:name w:val="Normal (Web)"/>
    <w:basedOn w:val="Normal"/>
    <w:uiPriority w:val="99"/>
    <w:semiHidden/>
    <w:unhideWhenUsed/>
    <w:rsid w:val="007174AC"/>
    <w:pPr>
      <w:spacing w:before="100" w:beforeAutospacing="1" w:after="100" w:afterAutospacing="1" w:line="240" w:lineRule="auto"/>
      <w:jc w:val="left"/>
    </w:pPr>
    <w:rPr>
      <w:rFonts w:eastAsia="Times New Roman" w:cs="Times New Roman"/>
      <w:szCs w:val="24"/>
      <w:lang w:val="en-IN" w:eastAsia="en-IN"/>
    </w:rPr>
  </w:style>
  <w:style w:type="paragraph" w:styleId="TOCHeading">
    <w:name w:val="TOC Heading"/>
    <w:basedOn w:val="Heading1"/>
    <w:next w:val="Normal"/>
    <w:uiPriority w:val="39"/>
    <w:unhideWhenUsed/>
    <w:qFormat/>
    <w:rsid w:val="007174A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174AC"/>
    <w:pPr>
      <w:spacing w:after="100"/>
    </w:pPr>
  </w:style>
  <w:style w:type="paragraph" w:styleId="TOC2">
    <w:name w:val="toc 2"/>
    <w:basedOn w:val="Normal"/>
    <w:next w:val="Normal"/>
    <w:autoRedefine/>
    <w:uiPriority w:val="39"/>
    <w:unhideWhenUsed/>
    <w:rsid w:val="007174AC"/>
    <w:pPr>
      <w:spacing w:after="100"/>
      <w:ind w:left="240"/>
    </w:pPr>
  </w:style>
  <w:style w:type="character" w:styleId="Hyperlink">
    <w:name w:val="Hyperlink"/>
    <w:basedOn w:val="DefaultParagraphFont"/>
    <w:uiPriority w:val="99"/>
    <w:unhideWhenUsed/>
    <w:rsid w:val="007174AC"/>
    <w:rPr>
      <w:color w:val="0563C1" w:themeColor="hyperlink"/>
      <w:u w:val="single"/>
    </w:rPr>
  </w:style>
  <w:style w:type="paragraph" w:styleId="Header">
    <w:name w:val="header"/>
    <w:basedOn w:val="Normal"/>
    <w:link w:val="HeaderChar"/>
    <w:uiPriority w:val="99"/>
    <w:unhideWhenUsed/>
    <w:rsid w:val="007174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74AC"/>
    <w:rPr>
      <w:rFonts w:ascii="Times New Roman" w:hAnsi="Times New Roman"/>
      <w:sz w:val="24"/>
    </w:rPr>
  </w:style>
  <w:style w:type="paragraph" w:styleId="Footer">
    <w:name w:val="footer"/>
    <w:basedOn w:val="Normal"/>
    <w:link w:val="FooterChar"/>
    <w:uiPriority w:val="99"/>
    <w:unhideWhenUsed/>
    <w:rsid w:val="007174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74A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054974">
      <w:bodyDiv w:val="1"/>
      <w:marLeft w:val="0"/>
      <w:marRight w:val="0"/>
      <w:marTop w:val="0"/>
      <w:marBottom w:val="0"/>
      <w:divBdr>
        <w:top w:val="none" w:sz="0" w:space="0" w:color="auto"/>
        <w:left w:val="none" w:sz="0" w:space="0" w:color="auto"/>
        <w:bottom w:val="none" w:sz="0" w:space="0" w:color="auto"/>
        <w:right w:val="none" w:sz="0" w:space="0" w:color="auto"/>
      </w:divBdr>
    </w:div>
    <w:div w:id="620460791">
      <w:bodyDiv w:val="1"/>
      <w:marLeft w:val="0"/>
      <w:marRight w:val="0"/>
      <w:marTop w:val="0"/>
      <w:marBottom w:val="0"/>
      <w:divBdr>
        <w:top w:val="none" w:sz="0" w:space="0" w:color="auto"/>
        <w:left w:val="none" w:sz="0" w:space="0" w:color="auto"/>
        <w:bottom w:val="none" w:sz="0" w:space="0" w:color="auto"/>
        <w:right w:val="none" w:sz="0" w:space="0" w:color="auto"/>
      </w:divBdr>
    </w:div>
    <w:div w:id="1942835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F4832F-023D-4C37-A4F7-FB2F36C822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2905</Words>
  <Characters>16562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 A2</dc:title>
  <dc:subject/>
  <dc:creator>Maria Hagiu</dc:creator>
  <cp:keywords/>
  <dc:description/>
  <cp:lastModifiedBy>Maria Hagiu</cp:lastModifiedBy>
  <cp:revision>2</cp:revision>
  <dcterms:created xsi:type="dcterms:W3CDTF">2022-05-03T18:05:00Z</dcterms:created>
  <dcterms:modified xsi:type="dcterms:W3CDTF">2022-05-03T18:05:00Z</dcterms:modified>
</cp:coreProperties>
</file>