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4FA936" w14:textId="5B0BFD51" w:rsidR="70B33332" w:rsidRDefault="70B33332" w:rsidP="22204C03">
      <w:pPr>
        <w:spacing w:line="259" w:lineRule="auto"/>
        <w:jc w:val="center"/>
      </w:pPr>
      <w:r w:rsidRPr="22204C03">
        <w:rPr>
          <w:rFonts w:ascii="Calibri" w:eastAsia="Calibri" w:hAnsi="Calibri" w:cs="Calibri"/>
          <w:b/>
          <w:bCs/>
          <w:color w:val="000000" w:themeColor="text1"/>
          <w:sz w:val="72"/>
          <w:szCs w:val="72"/>
        </w:rPr>
        <w:t>Taith International Project Report</w:t>
      </w:r>
    </w:p>
    <w:p w14:paraId="5E5787A5" w14:textId="11AB047E" w:rsidR="00FC3C27" w:rsidRDefault="00FC3C27"/>
    <w:p w14:paraId="21ECE8E8" w14:textId="4338F685" w:rsidR="262A2136" w:rsidRDefault="262A2136"/>
    <w:p w14:paraId="0A9825A9" w14:textId="226E013B" w:rsidR="078B5012" w:rsidRDefault="078B5012" w:rsidP="262A2136">
      <w:pPr>
        <w:spacing w:line="259" w:lineRule="auto"/>
        <w:jc w:val="center"/>
      </w:pPr>
      <w:r>
        <w:rPr>
          <w:noProof/>
        </w:rPr>
        <w:drawing>
          <wp:inline distT="0" distB="0" distL="0" distR="0" wp14:anchorId="10254CD5" wp14:editId="088041EF">
            <wp:extent cx="5724525" cy="2857500"/>
            <wp:effectExtent l="0" t="0" r="0" b="0"/>
            <wp:docPr id="19025265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526523" name="Picture 1902526523"/>
                    <pic:cNvPicPr/>
                  </pic:nvPicPr>
                  <pic:blipFill>
                    <a:blip r:embed="rId7">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14:paraId="192CDB32" w14:textId="25894106" w:rsidR="6469150A" w:rsidRDefault="6469150A" w:rsidP="22204C03">
      <w:pPr>
        <w:spacing w:line="259" w:lineRule="auto"/>
        <w:jc w:val="center"/>
        <w:rPr>
          <w:rFonts w:ascii="Aptos" w:eastAsia="Aptos" w:hAnsi="Aptos" w:cs="Aptos"/>
        </w:rPr>
      </w:pPr>
      <w:r w:rsidRPr="22204C03">
        <w:rPr>
          <w:rFonts w:ascii="Calibri" w:eastAsia="Calibri" w:hAnsi="Calibri" w:cs="Calibri"/>
          <w:b/>
          <w:bCs/>
          <w:color w:val="000000" w:themeColor="text1"/>
          <w:sz w:val="72"/>
          <w:szCs w:val="72"/>
        </w:rPr>
        <w:t>Taith Learning &amp; Development Record</w:t>
      </w:r>
    </w:p>
    <w:p w14:paraId="4EC1B94A" w14:textId="0CCC5737" w:rsidR="078B5012" w:rsidRDefault="078B5012" w:rsidP="262A2136">
      <w:pPr>
        <w:spacing w:line="259" w:lineRule="auto"/>
        <w:jc w:val="center"/>
        <w:rPr>
          <w:rFonts w:ascii="Calibri" w:eastAsia="Calibri" w:hAnsi="Calibri" w:cs="Calibri"/>
          <w:color w:val="000000" w:themeColor="text1"/>
          <w:sz w:val="72"/>
          <w:szCs w:val="72"/>
        </w:rPr>
      </w:pPr>
      <w:r w:rsidRPr="262A2136">
        <w:rPr>
          <w:rFonts w:ascii="Calibri" w:eastAsia="Calibri" w:hAnsi="Calibri" w:cs="Calibri"/>
          <w:b/>
          <w:bCs/>
          <w:color w:val="000000" w:themeColor="text1"/>
          <w:sz w:val="72"/>
          <w:szCs w:val="72"/>
        </w:rPr>
        <w:t>Author: Andrew Jones</w:t>
      </w:r>
    </w:p>
    <w:p w14:paraId="7B9E93D6" w14:textId="08D1A89C" w:rsidR="078B5012" w:rsidRDefault="078B5012" w:rsidP="262A2136">
      <w:pPr>
        <w:jc w:val="center"/>
      </w:pPr>
      <w:r w:rsidRPr="22204C03">
        <w:rPr>
          <w:rFonts w:ascii="Calibri" w:eastAsia="Calibri" w:hAnsi="Calibri" w:cs="Calibri"/>
          <w:b/>
          <w:bCs/>
          <w:color w:val="000000" w:themeColor="text1"/>
          <w:sz w:val="72"/>
          <w:szCs w:val="72"/>
        </w:rPr>
        <w:t>Date: 12</w:t>
      </w:r>
      <w:r w:rsidRPr="22204C03">
        <w:rPr>
          <w:rFonts w:ascii="Calibri" w:eastAsia="Calibri" w:hAnsi="Calibri" w:cs="Calibri"/>
          <w:b/>
          <w:bCs/>
          <w:color w:val="000000" w:themeColor="text1"/>
          <w:sz w:val="72"/>
          <w:szCs w:val="72"/>
          <w:vertAlign w:val="superscript"/>
        </w:rPr>
        <w:t>th</w:t>
      </w:r>
      <w:r w:rsidRPr="22204C03">
        <w:rPr>
          <w:rFonts w:ascii="Calibri" w:eastAsia="Calibri" w:hAnsi="Calibri" w:cs="Calibri"/>
          <w:b/>
          <w:bCs/>
          <w:color w:val="000000" w:themeColor="text1"/>
          <w:sz w:val="72"/>
          <w:szCs w:val="72"/>
        </w:rPr>
        <w:t xml:space="preserve"> July 2026</w:t>
      </w:r>
    </w:p>
    <w:p w14:paraId="29FEC770" w14:textId="13546746" w:rsidR="22204C03" w:rsidRDefault="22204C03" w:rsidP="22204C03">
      <w:pPr>
        <w:jc w:val="center"/>
        <w:rPr>
          <w:rFonts w:ascii="Calibri" w:eastAsia="Calibri" w:hAnsi="Calibri" w:cs="Calibri"/>
          <w:color w:val="000000" w:themeColor="text1"/>
        </w:rPr>
      </w:pPr>
    </w:p>
    <w:p w14:paraId="0D741F17" w14:textId="75032BA0" w:rsidR="22204C03" w:rsidRDefault="22204C03" w:rsidP="22204C03">
      <w:pPr>
        <w:jc w:val="center"/>
        <w:rPr>
          <w:rFonts w:ascii="Calibri" w:eastAsia="Calibri" w:hAnsi="Calibri" w:cs="Calibri"/>
          <w:color w:val="000000" w:themeColor="text1"/>
        </w:rPr>
      </w:pPr>
    </w:p>
    <w:p w14:paraId="1F6D4C61" w14:textId="79F8EC3A" w:rsidR="44C95A9B" w:rsidRDefault="44C95A9B" w:rsidP="0D317180">
      <w:pPr>
        <w:spacing w:line="259" w:lineRule="auto"/>
        <w:jc w:val="center"/>
      </w:pPr>
      <w:r w:rsidRPr="0D317180">
        <w:rPr>
          <w:rFonts w:ascii="Calibri" w:eastAsia="Calibri" w:hAnsi="Calibri" w:cs="Calibri"/>
          <w:b/>
          <w:bCs/>
          <w:color w:val="000000" w:themeColor="text1"/>
          <w:sz w:val="48"/>
          <w:szCs w:val="48"/>
          <w:u w:val="single"/>
        </w:rPr>
        <w:lastRenderedPageBreak/>
        <w:t>Table of Contents</w:t>
      </w:r>
    </w:p>
    <w:sdt>
      <w:sdtPr>
        <w:id w:val="50153048"/>
        <w:docPartObj>
          <w:docPartGallery w:val="Table of Contents"/>
          <w:docPartUnique/>
        </w:docPartObj>
      </w:sdtPr>
      <w:sdtContent>
        <w:p w14:paraId="0E856F63" w14:textId="32B80828" w:rsidR="0D317180" w:rsidRDefault="0D317180" w:rsidP="0D317180">
          <w:pPr>
            <w:pStyle w:val="TOC1"/>
            <w:tabs>
              <w:tab w:val="left" w:pos="480"/>
              <w:tab w:val="right" w:leader="dot" w:pos="9015"/>
            </w:tabs>
            <w:rPr>
              <w:noProof/>
            </w:rPr>
          </w:pPr>
          <w:r>
            <w:fldChar w:fldCharType="begin"/>
          </w:r>
          <w:r>
            <w:instrText>TOC \o "1-9" \z \u \h</w:instrText>
          </w:r>
          <w:r>
            <w:fldChar w:fldCharType="separate"/>
          </w:r>
          <w:hyperlink w:anchor="_Toc1506631086">
            <w:r w:rsidRPr="0D317180">
              <w:rPr>
                <w:rStyle w:val="Hyperlink"/>
                <w:noProof/>
              </w:rPr>
              <w:t>1.</w:t>
            </w:r>
            <w:r>
              <w:rPr>
                <w:noProof/>
              </w:rPr>
              <w:tab/>
            </w:r>
            <w:r w:rsidRPr="0D317180">
              <w:rPr>
                <w:rStyle w:val="Hyperlink"/>
                <w:noProof/>
              </w:rPr>
              <w:t>Introduction</w:t>
            </w:r>
            <w:r>
              <w:rPr>
                <w:noProof/>
              </w:rPr>
              <w:tab/>
            </w:r>
            <w:r>
              <w:rPr>
                <w:noProof/>
              </w:rPr>
              <w:fldChar w:fldCharType="begin"/>
            </w:r>
            <w:r>
              <w:rPr>
                <w:noProof/>
              </w:rPr>
              <w:instrText>PAGEREF _Toc1506631086 \h</w:instrText>
            </w:r>
            <w:r>
              <w:rPr>
                <w:noProof/>
              </w:rPr>
            </w:r>
            <w:r>
              <w:rPr>
                <w:noProof/>
              </w:rPr>
              <w:fldChar w:fldCharType="separate"/>
            </w:r>
            <w:r w:rsidR="00915D14">
              <w:rPr>
                <w:noProof/>
              </w:rPr>
              <w:t>3</w:t>
            </w:r>
            <w:r>
              <w:rPr>
                <w:noProof/>
              </w:rPr>
              <w:fldChar w:fldCharType="end"/>
            </w:r>
          </w:hyperlink>
        </w:p>
        <w:p w14:paraId="7CCBD11B" w14:textId="41CFC40E" w:rsidR="0D317180" w:rsidRDefault="0D317180" w:rsidP="0D317180">
          <w:pPr>
            <w:pStyle w:val="TOC1"/>
            <w:tabs>
              <w:tab w:val="left" w:pos="480"/>
              <w:tab w:val="right" w:leader="dot" w:pos="9015"/>
            </w:tabs>
            <w:rPr>
              <w:noProof/>
            </w:rPr>
          </w:pPr>
          <w:hyperlink w:anchor="_Toc1381735349">
            <w:r w:rsidRPr="0D317180">
              <w:rPr>
                <w:rStyle w:val="Hyperlink"/>
                <w:noProof/>
              </w:rPr>
              <w:t>2.</w:t>
            </w:r>
            <w:r>
              <w:rPr>
                <w:noProof/>
              </w:rPr>
              <w:tab/>
            </w:r>
            <w:r w:rsidRPr="0D317180">
              <w:rPr>
                <w:rStyle w:val="Hyperlink"/>
                <w:noProof/>
              </w:rPr>
              <w:t>Industry Background</w:t>
            </w:r>
            <w:r>
              <w:rPr>
                <w:noProof/>
              </w:rPr>
              <w:tab/>
            </w:r>
            <w:r>
              <w:rPr>
                <w:noProof/>
              </w:rPr>
              <w:fldChar w:fldCharType="begin"/>
            </w:r>
            <w:r>
              <w:rPr>
                <w:noProof/>
              </w:rPr>
              <w:instrText>PAGEREF _Toc1381735349 \h</w:instrText>
            </w:r>
            <w:r>
              <w:rPr>
                <w:noProof/>
              </w:rPr>
            </w:r>
            <w:r>
              <w:rPr>
                <w:noProof/>
              </w:rPr>
              <w:fldChar w:fldCharType="separate"/>
            </w:r>
            <w:r w:rsidR="00915D14">
              <w:rPr>
                <w:noProof/>
              </w:rPr>
              <w:t>3</w:t>
            </w:r>
            <w:r>
              <w:rPr>
                <w:noProof/>
              </w:rPr>
              <w:fldChar w:fldCharType="end"/>
            </w:r>
          </w:hyperlink>
        </w:p>
        <w:p w14:paraId="599D275F" w14:textId="5AA6E8BC" w:rsidR="0D317180" w:rsidRDefault="0D317180" w:rsidP="0D317180">
          <w:pPr>
            <w:pStyle w:val="TOC1"/>
            <w:tabs>
              <w:tab w:val="left" w:pos="480"/>
              <w:tab w:val="right" w:leader="dot" w:pos="9015"/>
            </w:tabs>
            <w:rPr>
              <w:noProof/>
            </w:rPr>
          </w:pPr>
          <w:hyperlink w:anchor="_Toc249737355">
            <w:r w:rsidRPr="0D317180">
              <w:rPr>
                <w:rStyle w:val="Hyperlink"/>
                <w:noProof/>
              </w:rPr>
              <w:t>3.</w:t>
            </w:r>
            <w:r>
              <w:rPr>
                <w:noProof/>
              </w:rPr>
              <w:tab/>
            </w:r>
            <w:r w:rsidRPr="0D317180">
              <w:rPr>
                <w:rStyle w:val="Hyperlink"/>
                <w:noProof/>
              </w:rPr>
              <w:t>Role and Impact</w:t>
            </w:r>
            <w:r>
              <w:rPr>
                <w:noProof/>
              </w:rPr>
              <w:tab/>
            </w:r>
            <w:r>
              <w:rPr>
                <w:noProof/>
              </w:rPr>
              <w:fldChar w:fldCharType="begin"/>
            </w:r>
            <w:r>
              <w:rPr>
                <w:noProof/>
              </w:rPr>
              <w:instrText>PAGEREF _Toc249737355 \h</w:instrText>
            </w:r>
            <w:r>
              <w:rPr>
                <w:noProof/>
              </w:rPr>
            </w:r>
            <w:r>
              <w:rPr>
                <w:noProof/>
              </w:rPr>
              <w:fldChar w:fldCharType="separate"/>
            </w:r>
            <w:r w:rsidR="00915D14">
              <w:rPr>
                <w:noProof/>
              </w:rPr>
              <w:t>4</w:t>
            </w:r>
            <w:r>
              <w:rPr>
                <w:noProof/>
              </w:rPr>
              <w:fldChar w:fldCharType="end"/>
            </w:r>
          </w:hyperlink>
        </w:p>
        <w:p w14:paraId="3DF6D243" w14:textId="7B08744A" w:rsidR="0D317180" w:rsidRDefault="0D317180" w:rsidP="0D317180">
          <w:pPr>
            <w:pStyle w:val="TOC2"/>
            <w:tabs>
              <w:tab w:val="right" w:leader="dot" w:pos="9015"/>
            </w:tabs>
            <w:rPr>
              <w:noProof/>
            </w:rPr>
          </w:pPr>
          <w:hyperlink w:anchor="_Toc1493094115">
            <w:r w:rsidRPr="0D317180">
              <w:rPr>
                <w:rStyle w:val="Hyperlink"/>
                <w:noProof/>
              </w:rPr>
              <w:t>3.1 Destination Management</w:t>
            </w:r>
            <w:r>
              <w:rPr>
                <w:noProof/>
              </w:rPr>
              <w:tab/>
            </w:r>
            <w:r>
              <w:rPr>
                <w:noProof/>
              </w:rPr>
              <w:fldChar w:fldCharType="begin"/>
            </w:r>
            <w:r>
              <w:rPr>
                <w:noProof/>
              </w:rPr>
              <w:instrText>PAGEREF _Toc1493094115 \h</w:instrText>
            </w:r>
            <w:r>
              <w:rPr>
                <w:noProof/>
              </w:rPr>
            </w:r>
            <w:r>
              <w:rPr>
                <w:noProof/>
              </w:rPr>
              <w:fldChar w:fldCharType="separate"/>
            </w:r>
            <w:r w:rsidR="00915D14">
              <w:rPr>
                <w:noProof/>
              </w:rPr>
              <w:t>4</w:t>
            </w:r>
            <w:r>
              <w:rPr>
                <w:noProof/>
              </w:rPr>
              <w:fldChar w:fldCharType="end"/>
            </w:r>
          </w:hyperlink>
        </w:p>
        <w:p w14:paraId="10D89560" w14:textId="6DC3F035" w:rsidR="0D317180" w:rsidRDefault="0D317180" w:rsidP="0D317180">
          <w:pPr>
            <w:pStyle w:val="TOC2"/>
            <w:tabs>
              <w:tab w:val="right" w:leader="dot" w:pos="9015"/>
            </w:tabs>
            <w:rPr>
              <w:noProof/>
            </w:rPr>
          </w:pPr>
          <w:hyperlink w:anchor="_Toc657603812">
            <w:r w:rsidRPr="0D317180">
              <w:rPr>
                <w:rStyle w:val="Hyperlink"/>
                <w:noProof/>
              </w:rPr>
              <w:t>3.2 Sustainable Tourism</w:t>
            </w:r>
            <w:r>
              <w:rPr>
                <w:noProof/>
              </w:rPr>
              <w:tab/>
            </w:r>
            <w:r>
              <w:rPr>
                <w:noProof/>
              </w:rPr>
              <w:fldChar w:fldCharType="begin"/>
            </w:r>
            <w:r>
              <w:rPr>
                <w:noProof/>
              </w:rPr>
              <w:instrText>PAGEREF _Toc657603812 \h</w:instrText>
            </w:r>
            <w:r>
              <w:rPr>
                <w:noProof/>
              </w:rPr>
            </w:r>
            <w:r>
              <w:rPr>
                <w:noProof/>
              </w:rPr>
              <w:fldChar w:fldCharType="separate"/>
            </w:r>
            <w:r w:rsidR="00915D14">
              <w:rPr>
                <w:noProof/>
              </w:rPr>
              <w:t>5</w:t>
            </w:r>
            <w:r>
              <w:rPr>
                <w:noProof/>
              </w:rPr>
              <w:fldChar w:fldCharType="end"/>
            </w:r>
          </w:hyperlink>
        </w:p>
        <w:p w14:paraId="025D3FA3" w14:textId="7835B85C" w:rsidR="0D317180" w:rsidRDefault="0D317180" w:rsidP="0D317180">
          <w:pPr>
            <w:pStyle w:val="TOC2"/>
            <w:tabs>
              <w:tab w:val="right" w:leader="dot" w:pos="9015"/>
            </w:tabs>
            <w:rPr>
              <w:noProof/>
            </w:rPr>
          </w:pPr>
          <w:hyperlink w:anchor="_Toc688891786">
            <w:r w:rsidRPr="0D317180">
              <w:rPr>
                <w:rStyle w:val="Hyperlink"/>
                <w:noProof/>
              </w:rPr>
              <w:t>3.3 Heritage Interpretation</w:t>
            </w:r>
            <w:r>
              <w:rPr>
                <w:noProof/>
              </w:rPr>
              <w:tab/>
            </w:r>
            <w:r>
              <w:rPr>
                <w:noProof/>
              </w:rPr>
              <w:fldChar w:fldCharType="begin"/>
            </w:r>
            <w:r>
              <w:rPr>
                <w:noProof/>
              </w:rPr>
              <w:instrText>PAGEREF _Toc688891786 \h</w:instrText>
            </w:r>
            <w:r>
              <w:rPr>
                <w:noProof/>
              </w:rPr>
            </w:r>
            <w:r>
              <w:rPr>
                <w:noProof/>
              </w:rPr>
              <w:fldChar w:fldCharType="separate"/>
            </w:r>
            <w:r w:rsidR="00915D14">
              <w:rPr>
                <w:noProof/>
              </w:rPr>
              <w:t>6</w:t>
            </w:r>
            <w:r>
              <w:rPr>
                <w:noProof/>
              </w:rPr>
              <w:fldChar w:fldCharType="end"/>
            </w:r>
          </w:hyperlink>
        </w:p>
        <w:p w14:paraId="58484AE2" w14:textId="11BB07AD" w:rsidR="0D317180" w:rsidRDefault="0D317180" w:rsidP="0D317180">
          <w:pPr>
            <w:pStyle w:val="TOC2"/>
            <w:tabs>
              <w:tab w:val="right" w:leader="dot" w:pos="9015"/>
            </w:tabs>
            <w:rPr>
              <w:noProof/>
            </w:rPr>
          </w:pPr>
          <w:hyperlink w:anchor="_Toc1681516567">
            <w:r w:rsidRPr="0D317180">
              <w:rPr>
                <w:rStyle w:val="Hyperlink"/>
                <w:noProof/>
              </w:rPr>
              <w:t>3.4 Tourist Satisfaction</w:t>
            </w:r>
            <w:r>
              <w:rPr>
                <w:noProof/>
              </w:rPr>
              <w:tab/>
            </w:r>
            <w:r>
              <w:rPr>
                <w:noProof/>
              </w:rPr>
              <w:fldChar w:fldCharType="begin"/>
            </w:r>
            <w:r>
              <w:rPr>
                <w:noProof/>
              </w:rPr>
              <w:instrText>PAGEREF _Toc1681516567 \h</w:instrText>
            </w:r>
            <w:r>
              <w:rPr>
                <w:noProof/>
              </w:rPr>
            </w:r>
            <w:r>
              <w:rPr>
                <w:noProof/>
              </w:rPr>
              <w:fldChar w:fldCharType="separate"/>
            </w:r>
            <w:r w:rsidR="00915D14">
              <w:rPr>
                <w:noProof/>
              </w:rPr>
              <w:t>6</w:t>
            </w:r>
            <w:r>
              <w:rPr>
                <w:noProof/>
              </w:rPr>
              <w:fldChar w:fldCharType="end"/>
            </w:r>
          </w:hyperlink>
        </w:p>
        <w:p w14:paraId="6C7ADD31" w14:textId="19F04311" w:rsidR="0D317180" w:rsidRDefault="0D317180" w:rsidP="0D317180">
          <w:pPr>
            <w:pStyle w:val="TOC1"/>
            <w:tabs>
              <w:tab w:val="left" w:pos="480"/>
              <w:tab w:val="right" w:leader="dot" w:pos="9015"/>
            </w:tabs>
            <w:rPr>
              <w:noProof/>
            </w:rPr>
          </w:pPr>
          <w:hyperlink w:anchor="_Toc2066235550">
            <w:r w:rsidRPr="0D317180">
              <w:rPr>
                <w:rStyle w:val="Hyperlink"/>
                <w:noProof/>
              </w:rPr>
              <w:t>4.</w:t>
            </w:r>
            <w:r>
              <w:rPr>
                <w:noProof/>
              </w:rPr>
              <w:tab/>
            </w:r>
            <w:r w:rsidRPr="0D317180">
              <w:rPr>
                <w:rStyle w:val="Hyperlink"/>
                <w:noProof/>
              </w:rPr>
              <w:t>Analysis of Malaysia's Tour Guide Policy</w:t>
            </w:r>
            <w:r>
              <w:rPr>
                <w:noProof/>
              </w:rPr>
              <w:tab/>
            </w:r>
            <w:r>
              <w:rPr>
                <w:noProof/>
              </w:rPr>
              <w:fldChar w:fldCharType="begin"/>
            </w:r>
            <w:r>
              <w:rPr>
                <w:noProof/>
              </w:rPr>
              <w:instrText>PAGEREF _Toc2066235550 \h</w:instrText>
            </w:r>
            <w:r>
              <w:rPr>
                <w:noProof/>
              </w:rPr>
            </w:r>
            <w:r>
              <w:rPr>
                <w:noProof/>
              </w:rPr>
              <w:fldChar w:fldCharType="separate"/>
            </w:r>
            <w:r w:rsidR="00915D14">
              <w:rPr>
                <w:noProof/>
              </w:rPr>
              <w:t>7</w:t>
            </w:r>
            <w:r>
              <w:rPr>
                <w:noProof/>
              </w:rPr>
              <w:fldChar w:fldCharType="end"/>
            </w:r>
          </w:hyperlink>
        </w:p>
        <w:p w14:paraId="0D19D459" w14:textId="11E3516B" w:rsidR="0D317180" w:rsidRDefault="0D317180" w:rsidP="0D317180">
          <w:pPr>
            <w:pStyle w:val="TOC3"/>
            <w:tabs>
              <w:tab w:val="right" w:leader="dot" w:pos="9015"/>
            </w:tabs>
            <w:rPr>
              <w:noProof/>
            </w:rPr>
          </w:pPr>
          <w:hyperlink w:anchor="_Toc568446536">
            <w:r w:rsidRPr="0D317180">
              <w:rPr>
                <w:rStyle w:val="Hyperlink"/>
                <w:noProof/>
              </w:rPr>
              <w:t>4.1 Tourist Safety</w:t>
            </w:r>
            <w:r>
              <w:rPr>
                <w:noProof/>
              </w:rPr>
              <w:tab/>
            </w:r>
            <w:r>
              <w:rPr>
                <w:noProof/>
              </w:rPr>
              <w:fldChar w:fldCharType="begin"/>
            </w:r>
            <w:r>
              <w:rPr>
                <w:noProof/>
              </w:rPr>
              <w:instrText>PAGEREF _Toc568446536 \h</w:instrText>
            </w:r>
            <w:r>
              <w:rPr>
                <w:noProof/>
              </w:rPr>
            </w:r>
            <w:r>
              <w:rPr>
                <w:noProof/>
              </w:rPr>
              <w:fldChar w:fldCharType="separate"/>
            </w:r>
            <w:r w:rsidR="00915D14">
              <w:rPr>
                <w:noProof/>
              </w:rPr>
              <w:t>7</w:t>
            </w:r>
            <w:r>
              <w:rPr>
                <w:noProof/>
              </w:rPr>
              <w:fldChar w:fldCharType="end"/>
            </w:r>
          </w:hyperlink>
        </w:p>
        <w:p w14:paraId="53B99DFD" w14:textId="30EC966A" w:rsidR="0D317180" w:rsidRDefault="0D317180" w:rsidP="0D317180">
          <w:pPr>
            <w:pStyle w:val="TOC3"/>
            <w:tabs>
              <w:tab w:val="right" w:leader="dot" w:pos="9015"/>
            </w:tabs>
            <w:rPr>
              <w:noProof/>
            </w:rPr>
          </w:pPr>
          <w:hyperlink w:anchor="_Toc1329807203">
            <w:r w:rsidRPr="0D317180">
              <w:rPr>
                <w:rStyle w:val="Hyperlink"/>
                <w:noProof/>
              </w:rPr>
              <w:t>4.2 Cultural Understanding</w:t>
            </w:r>
            <w:r>
              <w:rPr>
                <w:noProof/>
              </w:rPr>
              <w:tab/>
            </w:r>
            <w:r>
              <w:rPr>
                <w:noProof/>
              </w:rPr>
              <w:fldChar w:fldCharType="begin"/>
            </w:r>
            <w:r>
              <w:rPr>
                <w:noProof/>
              </w:rPr>
              <w:instrText>PAGEREF _Toc1329807203 \h</w:instrText>
            </w:r>
            <w:r>
              <w:rPr>
                <w:noProof/>
              </w:rPr>
            </w:r>
            <w:r>
              <w:rPr>
                <w:noProof/>
              </w:rPr>
              <w:fldChar w:fldCharType="separate"/>
            </w:r>
            <w:r w:rsidR="00915D14">
              <w:rPr>
                <w:noProof/>
              </w:rPr>
              <w:t>7</w:t>
            </w:r>
            <w:r>
              <w:rPr>
                <w:noProof/>
              </w:rPr>
              <w:fldChar w:fldCharType="end"/>
            </w:r>
          </w:hyperlink>
        </w:p>
        <w:p w14:paraId="3F7CE91D" w14:textId="1E9AF80A" w:rsidR="0D317180" w:rsidRDefault="0D317180" w:rsidP="0D317180">
          <w:pPr>
            <w:pStyle w:val="TOC3"/>
            <w:tabs>
              <w:tab w:val="right" w:leader="dot" w:pos="9015"/>
            </w:tabs>
            <w:rPr>
              <w:noProof/>
            </w:rPr>
          </w:pPr>
          <w:hyperlink w:anchor="_Toc1804734320">
            <w:r w:rsidRPr="0D317180">
              <w:rPr>
                <w:rStyle w:val="Hyperlink"/>
                <w:noProof/>
              </w:rPr>
              <w:t>4.3 Professional Standards and Visitor Experience</w:t>
            </w:r>
            <w:r>
              <w:rPr>
                <w:noProof/>
              </w:rPr>
              <w:tab/>
            </w:r>
            <w:r>
              <w:rPr>
                <w:noProof/>
              </w:rPr>
              <w:fldChar w:fldCharType="begin"/>
            </w:r>
            <w:r>
              <w:rPr>
                <w:noProof/>
              </w:rPr>
              <w:instrText>PAGEREF _Toc1804734320 \h</w:instrText>
            </w:r>
            <w:r>
              <w:rPr>
                <w:noProof/>
              </w:rPr>
            </w:r>
            <w:r>
              <w:rPr>
                <w:noProof/>
              </w:rPr>
              <w:fldChar w:fldCharType="separate"/>
            </w:r>
            <w:r w:rsidR="00915D14">
              <w:rPr>
                <w:noProof/>
              </w:rPr>
              <w:t>8</w:t>
            </w:r>
            <w:r>
              <w:rPr>
                <w:noProof/>
              </w:rPr>
              <w:fldChar w:fldCharType="end"/>
            </w:r>
          </w:hyperlink>
        </w:p>
        <w:p w14:paraId="3D1F11F5" w14:textId="72DD3D5B" w:rsidR="0D317180" w:rsidRDefault="0D317180" w:rsidP="0D317180">
          <w:pPr>
            <w:pStyle w:val="TOC3"/>
            <w:tabs>
              <w:tab w:val="right" w:leader="dot" w:pos="9015"/>
            </w:tabs>
            <w:rPr>
              <w:noProof/>
            </w:rPr>
          </w:pPr>
          <w:hyperlink w:anchor="_Toc1455691224">
            <w:r w:rsidRPr="0D317180">
              <w:rPr>
                <w:rStyle w:val="Hyperlink"/>
                <w:noProof/>
              </w:rPr>
              <w:t>4.4 Challenges</w:t>
            </w:r>
            <w:r>
              <w:rPr>
                <w:noProof/>
              </w:rPr>
              <w:tab/>
            </w:r>
            <w:r>
              <w:rPr>
                <w:noProof/>
              </w:rPr>
              <w:fldChar w:fldCharType="begin"/>
            </w:r>
            <w:r>
              <w:rPr>
                <w:noProof/>
              </w:rPr>
              <w:instrText>PAGEREF _Toc1455691224 \h</w:instrText>
            </w:r>
            <w:r>
              <w:rPr>
                <w:noProof/>
              </w:rPr>
            </w:r>
            <w:r>
              <w:rPr>
                <w:noProof/>
              </w:rPr>
              <w:fldChar w:fldCharType="separate"/>
            </w:r>
            <w:r w:rsidR="00915D14">
              <w:rPr>
                <w:noProof/>
              </w:rPr>
              <w:t>8</w:t>
            </w:r>
            <w:r>
              <w:rPr>
                <w:noProof/>
              </w:rPr>
              <w:fldChar w:fldCharType="end"/>
            </w:r>
          </w:hyperlink>
        </w:p>
        <w:p w14:paraId="73D7F9B9" w14:textId="7BDE3F00" w:rsidR="0D317180" w:rsidRDefault="0D317180" w:rsidP="0D317180">
          <w:pPr>
            <w:pStyle w:val="TOC2"/>
            <w:tabs>
              <w:tab w:val="left" w:pos="720"/>
              <w:tab w:val="right" w:leader="dot" w:pos="9015"/>
            </w:tabs>
            <w:rPr>
              <w:noProof/>
            </w:rPr>
          </w:pPr>
          <w:hyperlink w:anchor="_Toc1069311">
            <w:r w:rsidRPr="0D317180">
              <w:rPr>
                <w:rStyle w:val="Hyperlink"/>
                <w:noProof/>
              </w:rPr>
              <w:t>5.</w:t>
            </w:r>
            <w:r>
              <w:rPr>
                <w:noProof/>
              </w:rPr>
              <w:tab/>
            </w:r>
            <w:r w:rsidRPr="0D317180">
              <w:rPr>
                <w:rStyle w:val="Hyperlink"/>
                <w:noProof/>
              </w:rPr>
              <w:t>Recommendations</w:t>
            </w:r>
            <w:r>
              <w:rPr>
                <w:noProof/>
              </w:rPr>
              <w:tab/>
            </w:r>
            <w:r>
              <w:rPr>
                <w:noProof/>
              </w:rPr>
              <w:fldChar w:fldCharType="begin"/>
            </w:r>
            <w:r>
              <w:rPr>
                <w:noProof/>
              </w:rPr>
              <w:instrText>PAGEREF _Toc1069311 \h</w:instrText>
            </w:r>
            <w:r>
              <w:rPr>
                <w:noProof/>
              </w:rPr>
            </w:r>
            <w:r>
              <w:rPr>
                <w:noProof/>
              </w:rPr>
              <w:fldChar w:fldCharType="separate"/>
            </w:r>
            <w:r w:rsidR="00915D14">
              <w:rPr>
                <w:noProof/>
              </w:rPr>
              <w:t>8</w:t>
            </w:r>
            <w:r>
              <w:rPr>
                <w:noProof/>
              </w:rPr>
              <w:fldChar w:fldCharType="end"/>
            </w:r>
          </w:hyperlink>
        </w:p>
        <w:p w14:paraId="29485EBC" w14:textId="07B9610B" w:rsidR="0D317180" w:rsidRDefault="0D317180" w:rsidP="0D317180">
          <w:pPr>
            <w:pStyle w:val="TOC2"/>
            <w:tabs>
              <w:tab w:val="left" w:pos="720"/>
              <w:tab w:val="right" w:leader="dot" w:pos="9015"/>
            </w:tabs>
            <w:rPr>
              <w:noProof/>
            </w:rPr>
          </w:pPr>
          <w:hyperlink w:anchor="_Toc1655882591">
            <w:r w:rsidRPr="0D317180">
              <w:rPr>
                <w:rStyle w:val="Hyperlink"/>
                <w:noProof/>
              </w:rPr>
              <w:t>6.</w:t>
            </w:r>
            <w:r>
              <w:rPr>
                <w:noProof/>
              </w:rPr>
              <w:tab/>
            </w:r>
            <w:r w:rsidRPr="0D317180">
              <w:rPr>
                <w:rStyle w:val="Hyperlink"/>
                <w:noProof/>
              </w:rPr>
              <w:t>Conclusion</w:t>
            </w:r>
            <w:r>
              <w:rPr>
                <w:noProof/>
              </w:rPr>
              <w:tab/>
            </w:r>
            <w:r>
              <w:rPr>
                <w:noProof/>
              </w:rPr>
              <w:fldChar w:fldCharType="begin"/>
            </w:r>
            <w:r>
              <w:rPr>
                <w:noProof/>
              </w:rPr>
              <w:instrText>PAGEREF _Toc1655882591 \h</w:instrText>
            </w:r>
            <w:r>
              <w:rPr>
                <w:noProof/>
              </w:rPr>
            </w:r>
            <w:r>
              <w:rPr>
                <w:noProof/>
              </w:rPr>
              <w:fldChar w:fldCharType="separate"/>
            </w:r>
            <w:r w:rsidR="00915D14">
              <w:rPr>
                <w:noProof/>
              </w:rPr>
              <w:t>9</w:t>
            </w:r>
            <w:r>
              <w:rPr>
                <w:noProof/>
              </w:rPr>
              <w:fldChar w:fldCharType="end"/>
            </w:r>
          </w:hyperlink>
        </w:p>
        <w:p w14:paraId="6D4B6E88" w14:textId="594A6973" w:rsidR="0D317180" w:rsidRDefault="0D317180">
          <w:r>
            <w:fldChar w:fldCharType="end"/>
          </w:r>
        </w:p>
      </w:sdtContent>
    </w:sdt>
    <w:p w14:paraId="4B9ADA3F" w14:textId="3E69C47C" w:rsidR="0D317180" w:rsidRDefault="0D317180" w:rsidP="0D317180">
      <w:pPr>
        <w:spacing w:line="259" w:lineRule="auto"/>
        <w:jc w:val="center"/>
        <w:rPr>
          <w:rFonts w:ascii="Calibri" w:eastAsia="Calibri" w:hAnsi="Calibri" w:cs="Calibri"/>
          <w:b/>
          <w:bCs/>
          <w:color w:val="000000" w:themeColor="text1"/>
          <w:sz w:val="48"/>
          <w:szCs w:val="48"/>
          <w:u w:val="single"/>
        </w:rPr>
      </w:pPr>
    </w:p>
    <w:p w14:paraId="42399308" w14:textId="667D7273" w:rsidR="0D317180" w:rsidRDefault="0D317180" w:rsidP="0D317180">
      <w:pPr>
        <w:spacing w:line="259" w:lineRule="auto"/>
        <w:jc w:val="center"/>
        <w:rPr>
          <w:rFonts w:ascii="Calibri" w:eastAsia="Calibri" w:hAnsi="Calibri" w:cs="Calibri"/>
          <w:b/>
          <w:bCs/>
          <w:color w:val="000000" w:themeColor="text1"/>
          <w:sz w:val="48"/>
          <w:szCs w:val="48"/>
          <w:u w:val="single"/>
        </w:rPr>
      </w:pPr>
    </w:p>
    <w:p w14:paraId="0FB96225" w14:textId="1711F021" w:rsidR="0D317180" w:rsidRDefault="0D317180" w:rsidP="0D317180">
      <w:pPr>
        <w:spacing w:line="259" w:lineRule="auto"/>
        <w:jc w:val="center"/>
        <w:rPr>
          <w:rFonts w:ascii="Calibri" w:eastAsia="Calibri" w:hAnsi="Calibri" w:cs="Calibri"/>
          <w:b/>
          <w:bCs/>
          <w:color w:val="000000" w:themeColor="text1"/>
          <w:sz w:val="48"/>
          <w:szCs w:val="48"/>
          <w:u w:val="single"/>
        </w:rPr>
      </w:pPr>
    </w:p>
    <w:p w14:paraId="1D502CD4" w14:textId="30DDA851" w:rsidR="0D317180" w:rsidRDefault="0D317180" w:rsidP="0D317180">
      <w:pPr>
        <w:spacing w:line="259" w:lineRule="auto"/>
        <w:jc w:val="center"/>
        <w:rPr>
          <w:rFonts w:ascii="Calibri" w:eastAsia="Calibri" w:hAnsi="Calibri" w:cs="Calibri"/>
          <w:b/>
          <w:bCs/>
          <w:color w:val="000000" w:themeColor="text1"/>
          <w:sz w:val="48"/>
          <w:szCs w:val="48"/>
          <w:u w:val="single"/>
        </w:rPr>
      </w:pPr>
    </w:p>
    <w:p w14:paraId="4736E7FA" w14:textId="0F9DDDB9" w:rsidR="0D317180" w:rsidRDefault="0D317180" w:rsidP="0D317180">
      <w:pPr>
        <w:spacing w:line="259" w:lineRule="auto"/>
        <w:jc w:val="center"/>
        <w:rPr>
          <w:rFonts w:ascii="Calibri" w:eastAsia="Calibri" w:hAnsi="Calibri" w:cs="Calibri"/>
          <w:b/>
          <w:bCs/>
          <w:color w:val="000000" w:themeColor="text1"/>
          <w:sz w:val="48"/>
          <w:szCs w:val="48"/>
          <w:u w:val="single"/>
        </w:rPr>
      </w:pPr>
    </w:p>
    <w:p w14:paraId="0CBFD4D1" w14:textId="3707058B" w:rsidR="0D317180" w:rsidRDefault="0D317180" w:rsidP="0D317180">
      <w:pPr>
        <w:spacing w:line="259" w:lineRule="auto"/>
        <w:jc w:val="center"/>
        <w:rPr>
          <w:rFonts w:ascii="Calibri" w:eastAsia="Calibri" w:hAnsi="Calibri" w:cs="Calibri"/>
          <w:b/>
          <w:bCs/>
          <w:color w:val="000000" w:themeColor="text1"/>
          <w:sz w:val="48"/>
          <w:szCs w:val="48"/>
          <w:u w:val="single"/>
        </w:rPr>
      </w:pPr>
    </w:p>
    <w:p w14:paraId="472CA84B" w14:textId="696F7B91" w:rsidR="0D317180" w:rsidRDefault="0D317180" w:rsidP="0D317180">
      <w:pPr>
        <w:spacing w:line="259" w:lineRule="auto"/>
        <w:jc w:val="center"/>
        <w:rPr>
          <w:rFonts w:ascii="Calibri" w:eastAsia="Calibri" w:hAnsi="Calibri" w:cs="Calibri"/>
          <w:b/>
          <w:bCs/>
          <w:color w:val="000000" w:themeColor="text1"/>
          <w:sz w:val="48"/>
          <w:szCs w:val="48"/>
          <w:u w:val="single"/>
        </w:rPr>
      </w:pPr>
    </w:p>
    <w:p w14:paraId="11469CBA" w14:textId="765A55B8" w:rsidR="0D317180" w:rsidRDefault="0D317180" w:rsidP="0D317180">
      <w:pPr>
        <w:spacing w:line="259" w:lineRule="auto"/>
        <w:jc w:val="center"/>
        <w:rPr>
          <w:rFonts w:ascii="Calibri" w:eastAsia="Calibri" w:hAnsi="Calibri" w:cs="Calibri"/>
          <w:b/>
          <w:bCs/>
          <w:color w:val="000000" w:themeColor="text1"/>
          <w:sz w:val="48"/>
          <w:szCs w:val="48"/>
          <w:u w:val="single"/>
        </w:rPr>
      </w:pPr>
    </w:p>
    <w:p w14:paraId="28762A37" w14:textId="462E8D8A" w:rsidR="22204C03" w:rsidRDefault="27B8D85C" w:rsidP="0D317180">
      <w:pPr>
        <w:spacing w:line="259" w:lineRule="auto"/>
        <w:jc w:val="center"/>
        <w:rPr>
          <w:rFonts w:ascii="Calibri" w:eastAsia="Calibri" w:hAnsi="Calibri" w:cs="Calibri"/>
          <w:b/>
          <w:bCs/>
          <w:color w:val="000000" w:themeColor="text1"/>
          <w:sz w:val="48"/>
          <w:szCs w:val="48"/>
          <w:u w:val="single"/>
        </w:rPr>
      </w:pPr>
      <w:r w:rsidRPr="0D317180">
        <w:rPr>
          <w:rFonts w:ascii="Calibri" w:eastAsia="Calibri" w:hAnsi="Calibri" w:cs="Calibri"/>
          <w:b/>
          <w:bCs/>
          <w:color w:val="000000" w:themeColor="text1"/>
          <w:sz w:val="48"/>
          <w:szCs w:val="48"/>
          <w:u w:val="single"/>
        </w:rPr>
        <w:t>Taith International Project Report</w:t>
      </w:r>
    </w:p>
    <w:p w14:paraId="645BF123" w14:textId="24E80FD8" w:rsidR="3CEC3D2B" w:rsidRDefault="0061777A" w:rsidP="0D317180">
      <w:pPr>
        <w:pStyle w:val="Heading1"/>
        <w:numPr>
          <w:ilvl w:val="0"/>
          <w:numId w:val="2"/>
        </w:numPr>
        <w:rPr>
          <w:rFonts w:ascii="Calibri" w:eastAsia="Calibri" w:hAnsi="Calibri" w:cs="Calibri"/>
          <w:b/>
          <w:bCs/>
        </w:rPr>
      </w:pPr>
      <w:bookmarkStart w:id="0" w:name="_Toc1506631086"/>
      <w:r>
        <w:rPr>
          <w:rFonts w:ascii="Calibri" w:eastAsia="Calibri" w:hAnsi="Calibri" w:cs="Calibri"/>
          <w:b/>
          <w:bCs/>
        </w:rPr>
        <w:t xml:space="preserve"> </w:t>
      </w:r>
      <w:r w:rsidR="3CEC3D2B" w:rsidRPr="0D317180">
        <w:rPr>
          <w:rFonts w:ascii="Calibri" w:eastAsia="Calibri" w:hAnsi="Calibri" w:cs="Calibri"/>
          <w:b/>
          <w:bCs/>
        </w:rPr>
        <w:t>Introduction</w:t>
      </w:r>
      <w:bookmarkEnd w:id="0"/>
    </w:p>
    <w:p w14:paraId="356DBA2C" w14:textId="7B41FAD3" w:rsidR="3CEC3D2B" w:rsidRDefault="3CEC3D2B" w:rsidP="0D317180">
      <w:pPr>
        <w:jc w:val="both"/>
        <w:rPr>
          <w:rFonts w:ascii="Calibri" w:eastAsia="Calibri" w:hAnsi="Calibri" w:cs="Calibri"/>
        </w:rPr>
      </w:pPr>
      <w:r w:rsidRPr="0D317180">
        <w:rPr>
          <w:rFonts w:ascii="Calibri" w:eastAsia="Calibri" w:hAnsi="Calibri" w:cs="Calibri"/>
        </w:rPr>
        <w:t>Malaysia requires licensed tour guides for many organised international tourist groups. This report examines the purpose of this policy, explores its impact on tourists and the tourism industry, and evaluates whether it remains appropriate in modern tourism. The report draws upon both primary and secondary data. Primary data was obtained through observations and experiences during the Taith International Experience in Malaysia, including interactions with the licensed tour guides who accompanied the group. Secondary data was gathered from government publications and industry reports for the analysis and recommendations.</w:t>
      </w:r>
    </w:p>
    <w:p w14:paraId="177D44BA" w14:textId="44474877" w:rsidR="0D317180" w:rsidRDefault="0D317180" w:rsidP="0D317180">
      <w:pPr>
        <w:jc w:val="both"/>
        <w:rPr>
          <w:rFonts w:ascii="Calibri" w:eastAsia="Calibri" w:hAnsi="Calibri" w:cs="Calibri"/>
        </w:rPr>
      </w:pPr>
    </w:p>
    <w:p w14:paraId="1136E552" w14:textId="30C4115A" w:rsidR="4D5798D4" w:rsidRDefault="4D5798D4" w:rsidP="0D317180">
      <w:pPr>
        <w:pStyle w:val="Heading1"/>
        <w:numPr>
          <w:ilvl w:val="0"/>
          <w:numId w:val="2"/>
        </w:numPr>
        <w:rPr>
          <w:rFonts w:ascii="Calibri" w:eastAsia="Calibri" w:hAnsi="Calibri" w:cs="Calibri"/>
          <w:b/>
          <w:bCs/>
        </w:rPr>
      </w:pPr>
      <w:r w:rsidRPr="0D317180">
        <w:rPr>
          <w:rFonts w:ascii="Calibri" w:eastAsia="Calibri" w:hAnsi="Calibri" w:cs="Calibri"/>
          <w:b/>
          <w:bCs/>
        </w:rPr>
        <w:t xml:space="preserve"> </w:t>
      </w:r>
      <w:bookmarkStart w:id="1" w:name="_Toc1381735349"/>
      <w:r w:rsidR="3CEC3D2B" w:rsidRPr="0D317180">
        <w:rPr>
          <w:rFonts w:ascii="Calibri" w:eastAsia="Calibri" w:hAnsi="Calibri" w:cs="Calibri"/>
          <w:b/>
          <w:bCs/>
        </w:rPr>
        <w:t>Industry Background</w:t>
      </w:r>
      <w:bookmarkEnd w:id="1"/>
    </w:p>
    <w:p w14:paraId="727EBAD5" w14:textId="691CB753" w:rsidR="2B2CD75D" w:rsidRDefault="2B2CD75D" w:rsidP="0D317180">
      <w:pPr>
        <w:spacing w:before="240" w:after="240"/>
        <w:jc w:val="both"/>
        <w:rPr>
          <w:rFonts w:ascii="Calibri" w:eastAsia="Calibri" w:hAnsi="Calibri" w:cs="Calibri"/>
        </w:rPr>
      </w:pPr>
      <w:r w:rsidRPr="0D317180">
        <w:rPr>
          <w:rFonts w:ascii="Calibri" w:eastAsia="Calibri" w:hAnsi="Calibri" w:cs="Calibri"/>
        </w:rPr>
        <w:t xml:space="preserve">Malaysia is one of Southeast Asia's leading tourism destinations, welcoming over 25 million international visitors in 2024 (Reuters, 2025). Its appeal is founded on a diverse range of natural landscapes, rich cultural heritage, modern cities and a multicultural society, attracting visitors with a wide variety of tourism interests (Tourism Malaysia, n.d.). Tourism is also a major contributor to the Malaysian economy, generating approximately </w:t>
      </w:r>
      <w:r w:rsidR="4F689EDC" w:rsidRPr="0D317180">
        <w:rPr>
          <w:rFonts w:ascii="Calibri" w:eastAsia="Calibri" w:hAnsi="Calibri" w:cs="Calibri"/>
        </w:rPr>
        <w:t>£</w:t>
      </w:r>
      <w:r w:rsidR="0061777A">
        <w:rPr>
          <w:rFonts w:ascii="Calibri" w:eastAsia="Calibri" w:hAnsi="Calibri" w:cs="Calibri"/>
        </w:rPr>
        <w:t>9.71</w:t>
      </w:r>
      <w:r w:rsidR="4F689EDC" w:rsidRPr="0D317180">
        <w:rPr>
          <w:rFonts w:ascii="Calibri" w:eastAsia="Calibri" w:hAnsi="Calibri" w:cs="Calibri"/>
        </w:rPr>
        <w:t xml:space="preserve"> </w:t>
      </w:r>
      <w:r w:rsidR="002A3109">
        <w:rPr>
          <w:rFonts w:ascii="Calibri" w:eastAsia="Calibri" w:hAnsi="Calibri" w:cs="Calibri"/>
        </w:rPr>
        <w:t>billion,</w:t>
      </w:r>
      <w:r w:rsidRPr="0D317180">
        <w:rPr>
          <w:rFonts w:ascii="Calibri" w:eastAsia="Calibri" w:hAnsi="Calibri" w:cs="Calibri"/>
        </w:rPr>
        <w:t xml:space="preserve"> and accounting for 15.1% of national GDP in 2024. Furthermore, the sector supported around 3.5 million jobs, representing 21.6% of total employment, demonstrating its significant contribution to national economic development and local livelihoods (Department of Statistics Malaysia (DOSM), 2025).</w:t>
      </w:r>
    </w:p>
    <w:p w14:paraId="1C9D3473" w14:textId="41B2DE1B" w:rsidR="2B2CD75D" w:rsidRDefault="2B2CD75D" w:rsidP="0D317180">
      <w:pPr>
        <w:spacing w:before="240" w:after="240"/>
        <w:jc w:val="both"/>
        <w:rPr>
          <w:rFonts w:ascii="Calibri" w:eastAsia="Calibri" w:hAnsi="Calibri" w:cs="Calibri"/>
        </w:rPr>
      </w:pPr>
      <w:r w:rsidRPr="0D317180">
        <w:rPr>
          <w:rFonts w:ascii="Calibri" w:eastAsia="Calibri" w:hAnsi="Calibri" w:cs="Calibri"/>
        </w:rPr>
        <w:t>The tourism industry is overseen by the Ministry of Tourism, Arts and Culture (MOTAC), which is responsible for tourism policy, industry regulation and the licensing of tourism professionals, while Tourism Malaysia promotes the country internationally and supports destination marketing. Together, these organisations aim to maintain service quality, strengthen Malaysia's tourism competitiveness and encourage sustainable tourism development.</w:t>
      </w:r>
    </w:p>
    <w:p w14:paraId="5A5C1A9B" w14:textId="4F7074C5" w:rsidR="2B2CD75D" w:rsidRDefault="2B2CD75D" w:rsidP="0D317180">
      <w:pPr>
        <w:spacing w:before="240" w:after="240"/>
        <w:jc w:val="both"/>
        <w:rPr>
          <w:rFonts w:ascii="Calibri" w:eastAsia="Calibri" w:hAnsi="Calibri" w:cs="Calibri"/>
        </w:rPr>
      </w:pPr>
      <w:r w:rsidRPr="0D317180">
        <w:rPr>
          <w:rFonts w:ascii="Calibri" w:eastAsia="Calibri" w:hAnsi="Calibri" w:cs="Calibri"/>
        </w:rPr>
        <w:t xml:space="preserve">A distinctive feature of Malaysia's tourism industry is its regulation of tour guides. Under the Tourism Industry Act 1992 (Act 482), individuals must obtain a licence from MOTAC before providing guiding services. To become licensed, guides are required to complete approved training programmes and satisfy professional competency standards. Tourists are also able to verify a guide's licence through MOTAC's official register, helping to ensure that guiding </w:t>
      </w:r>
      <w:r w:rsidRPr="0D317180">
        <w:rPr>
          <w:rFonts w:ascii="Calibri" w:eastAsia="Calibri" w:hAnsi="Calibri" w:cs="Calibri"/>
        </w:rPr>
        <w:lastRenderedPageBreak/>
        <w:t>services are delivered by qualified professionals and reducing the prevalence of unlicensed operators.</w:t>
      </w:r>
    </w:p>
    <w:p w14:paraId="569EBE93" w14:textId="44D8EB74" w:rsidR="2B2CD75D" w:rsidRDefault="2B2CD75D" w:rsidP="0D317180">
      <w:pPr>
        <w:spacing w:before="240" w:after="240"/>
        <w:jc w:val="both"/>
        <w:rPr>
          <w:rFonts w:ascii="Calibri" w:eastAsia="Calibri" w:hAnsi="Calibri" w:cs="Calibri"/>
        </w:rPr>
      </w:pPr>
      <w:r w:rsidRPr="0D317180">
        <w:rPr>
          <w:rFonts w:ascii="Calibri" w:eastAsia="Calibri" w:hAnsi="Calibri" w:cs="Calibri"/>
        </w:rPr>
        <w:t>The requirement to use licensed tour guides was a notable aspect of the Taith International Experience and highlighted Malaysia's emphasis on quality assurance within destination management. Compared with the more flexible approach commonly adopted in the United Kingdom, Malaysia places greater reliance on government regulation to maintain professional standards and enhance visitor experiences. This observation provides the context for evaluating the effectiveness of Malaysia's licensed tour guide policy in supporting destination management and the wider tourism industry.</w:t>
      </w:r>
    </w:p>
    <w:p w14:paraId="4B7F3373" w14:textId="4628A36E" w:rsidR="0D317180" w:rsidRDefault="0D317180" w:rsidP="0D317180">
      <w:pPr>
        <w:spacing w:before="240" w:after="240"/>
        <w:jc w:val="both"/>
        <w:rPr>
          <w:rFonts w:ascii="Calibri" w:eastAsia="Calibri" w:hAnsi="Calibri" w:cs="Calibri"/>
        </w:rPr>
      </w:pPr>
    </w:p>
    <w:p w14:paraId="70082F7B" w14:textId="71E1CD83" w:rsidR="319B459A" w:rsidRDefault="319B459A" w:rsidP="0D317180">
      <w:pPr>
        <w:pStyle w:val="Heading1"/>
        <w:numPr>
          <w:ilvl w:val="0"/>
          <w:numId w:val="2"/>
        </w:numPr>
        <w:rPr>
          <w:rFonts w:ascii="Calibri" w:eastAsia="Calibri" w:hAnsi="Calibri" w:cs="Calibri"/>
          <w:b/>
          <w:bCs/>
        </w:rPr>
      </w:pPr>
      <w:r w:rsidRPr="0D317180">
        <w:rPr>
          <w:rFonts w:ascii="Calibri" w:eastAsia="Calibri" w:hAnsi="Calibri" w:cs="Calibri"/>
          <w:b/>
          <w:bCs/>
        </w:rPr>
        <w:t xml:space="preserve"> </w:t>
      </w:r>
      <w:bookmarkStart w:id="2" w:name="_Toc249737355"/>
      <w:r w:rsidR="24101A7F" w:rsidRPr="0D317180">
        <w:rPr>
          <w:rFonts w:ascii="Calibri" w:eastAsia="Calibri" w:hAnsi="Calibri" w:cs="Calibri"/>
          <w:b/>
          <w:bCs/>
        </w:rPr>
        <w:t>Role and Impact</w:t>
      </w:r>
      <w:bookmarkEnd w:id="2"/>
    </w:p>
    <w:p w14:paraId="13BE1A92" w14:textId="50E4EFAB" w:rsidR="3EDD4EE8" w:rsidRDefault="3EDD4EE8" w:rsidP="0D317180">
      <w:pPr>
        <w:spacing w:before="240" w:after="240"/>
        <w:jc w:val="both"/>
        <w:rPr>
          <w:rFonts w:ascii="Calibri" w:eastAsia="Calibri" w:hAnsi="Calibri" w:cs="Calibri"/>
        </w:rPr>
      </w:pPr>
      <w:r w:rsidRPr="0D317180">
        <w:rPr>
          <w:rFonts w:ascii="Calibri" w:eastAsia="Calibri" w:hAnsi="Calibri" w:cs="Calibri"/>
        </w:rPr>
        <w:t xml:space="preserve">Tourism management requires destinations to balance economic growth with the protection of cultural heritage, environmental sustainability and visitor satisfaction. As international tourism continues to evolve, governments are increasingly required to regulate tourism activities to ensure destinations remain competitive while safeguarding local communities and resources (OECD, 2024). Within this context, licensed tour guides contribute significantly to the quality of the visitor experience. Their responsibilities extend beyond providing directions or </w:t>
      </w:r>
      <w:r w:rsidR="2B4F53DD" w:rsidRPr="0D317180">
        <w:rPr>
          <w:rFonts w:ascii="Calibri" w:eastAsia="Calibri" w:hAnsi="Calibri" w:cs="Calibri"/>
        </w:rPr>
        <w:t>information</w:t>
      </w:r>
      <w:r w:rsidRPr="0D317180">
        <w:rPr>
          <w:rFonts w:ascii="Calibri" w:eastAsia="Calibri" w:hAnsi="Calibri" w:cs="Calibri"/>
        </w:rPr>
        <w:t xml:space="preserve"> to interpreting cultural heritage, facilitating communication, managing visitor groups and promoting responsible tourism practices. By supporting visitor learning, safety and confidence, professional guides enhance both the educational value and overall enjoyment of travel. As Nowacki (2021) suggests, tour guides act as educators, cultural ambassadors and facilitators of sustainable tourism, helping visitors develop a deeper understanding and appreciation of the destinations they visit.</w:t>
      </w:r>
    </w:p>
    <w:p w14:paraId="70AD6F61" w14:textId="27FFDDD4" w:rsidR="3188D845" w:rsidRDefault="3188D845" w:rsidP="0D317180">
      <w:pPr>
        <w:pStyle w:val="Heading2"/>
        <w:spacing w:before="299" w:after="299"/>
        <w:jc w:val="both"/>
        <w:rPr>
          <w:rFonts w:ascii="Calibri" w:eastAsia="Calibri" w:hAnsi="Calibri" w:cs="Calibri"/>
          <w:b/>
          <w:bCs/>
        </w:rPr>
      </w:pPr>
      <w:bookmarkStart w:id="3" w:name="_Toc1493094115"/>
      <w:r w:rsidRPr="0D317180">
        <w:rPr>
          <w:rFonts w:ascii="Calibri" w:eastAsia="Calibri" w:hAnsi="Calibri" w:cs="Calibri"/>
          <w:b/>
          <w:bCs/>
        </w:rPr>
        <w:t>3.1 Destination Management</w:t>
      </w:r>
      <w:bookmarkEnd w:id="3"/>
    </w:p>
    <w:p w14:paraId="4E1B778F" w14:textId="3534155F" w:rsidR="5C29BEB8" w:rsidRDefault="5C29BEB8" w:rsidP="0D317180">
      <w:pPr>
        <w:spacing w:before="240" w:after="240"/>
        <w:jc w:val="both"/>
        <w:rPr>
          <w:rFonts w:ascii="Calibri" w:eastAsia="Calibri" w:hAnsi="Calibri" w:cs="Calibri"/>
        </w:rPr>
      </w:pPr>
      <w:r w:rsidRPr="0D317180">
        <w:rPr>
          <w:rFonts w:ascii="Calibri" w:eastAsia="Calibri" w:hAnsi="Calibri" w:cs="Calibri"/>
        </w:rPr>
        <w:t>Destination management involves the strategic planning and regulation of tourism to maximise economic, social and environmental benefits while ensuring destinations remain sustainable and competitive. According to the OECD (2024), governments achieve these objectives by developing policies that protect tourism assets, improve visitor experiences and support local communities.</w:t>
      </w:r>
    </w:p>
    <w:p w14:paraId="2908D27C" w14:textId="60C1247C" w:rsidR="7CD4C134" w:rsidRDefault="7CD4C134" w:rsidP="0D317180">
      <w:pPr>
        <w:spacing w:before="240" w:after="240"/>
        <w:jc w:val="both"/>
        <w:rPr>
          <w:rFonts w:ascii="Calibri" w:eastAsia="Calibri" w:hAnsi="Calibri" w:cs="Calibri"/>
        </w:rPr>
      </w:pPr>
      <w:r w:rsidRPr="0D317180">
        <w:rPr>
          <w:rFonts w:ascii="Calibri" w:eastAsia="Calibri" w:hAnsi="Calibri" w:cs="Calibri"/>
        </w:rPr>
        <w:t xml:space="preserve">Butler's (2024) revised Tourism Area Life Cycle (TALC) model argues that the long-term success of tourism destinations depends on proactive management, sustainability and adaptation to changing visitor expectations. Rather than viewing destination decline as inevitable, the revised model highlights the importance of strategic interventions, including </w:t>
      </w:r>
      <w:r w:rsidRPr="0D317180">
        <w:rPr>
          <w:rFonts w:ascii="Calibri" w:eastAsia="Calibri" w:hAnsi="Calibri" w:cs="Calibri"/>
        </w:rPr>
        <w:lastRenderedPageBreak/>
        <w:t>regulation, quality assurance and innovation, to maintain competitiveness. Within this context, Malaysia's licensing system represents a proactive policy intervention that supports destination resilience by maintaining professional service standards, protecting cultural heritage and enhancing visitor experiences.</w:t>
      </w:r>
    </w:p>
    <w:p w14:paraId="66BB9DFB" w14:textId="5184B734" w:rsidR="0D317180" w:rsidRDefault="0D317180" w:rsidP="0D317180">
      <w:pPr>
        <w:spacing w:before="240" w:after="240"/>
        <w:jc w:val="both"/>
        <w:rPr>
          <w:rFonts w:ascii="Calibri" w:eastAsia="Calibri" w:hAnsi="Calibri" w:cs="Calibri"/>
        </w:rPr>
      </w:pPr>
    </w:p>
    <w:p w14:paraId="664B2613" w14:textId="09B2717E" w:rsidR="5C29BEB8" w:rsidRPr="00104D7B" w:rsidRDefault="5C29BEB8" w:rsidP="0D317180">
      <w:pPr>
        <w:spacing w:before="240" w:after="240"/>
        <w:jc w:val="both"/>
        <w:rPr>
          <w:rFonts w:ascii="Calibri" w:eastAsia="Calibri" w:hAnsi="Calibri" w:cs="Calibri"/>
        </w:rPr>
      </w:pPr>
      <w:r w:rsidRPr="00104D7B">
        <w:rPr>
          <w:rFonts w:ascii="Calibri" w:eastAsia="Calibri" w:hAnsi="Calibri" w:cs="Calibri"/>
        </w:rPr>
        <w:t xml:space="preserve">Licensing ensures guides possess the knowledge, communication skills and professional standards required to provide accurate information, manage visitor groups and represent destinations effectively. Beyond delivering information, guides influence visitors' perceptions through their interpretation of local culture, history and heritage. Nowacki (2021) argues that guides fulfil multiple roles as educators, interpreters and facilitators, creating meaningful connections between visitors and destinations. Therefore, regulating tour guides contributes to stronger destination reputation, improved service quality and long-term tourism competitiveness (OECD, 2024; Nowacki, 2021). These responsibilities are particularly relevant in multicultural destinations such as Malaysia, where </w:t>
      </w:r>
      <w:r w:rsidR="003C1EB0" w:rsidRPr="00104D7B">
        <w:rPr>
          <w:rFonts w:ascii="Calibri" w:eastAsia="Calibri" w:hAnsi="Calibri" w:cs="Calibri"/>
        </w:rPr>
        <w:t>professional guidance helps to ensure that visitors receive accurate and culturally appropriate information</w:t>
      </w:r>
      <w:r w:rsidR="003C1EB0" w:rsidRPr="00104D7B">
        <w:rPr>
          <w:rFonts w:ascii="Calibri" w:eastAsia="Calibri" w:hAnsi="Calibri" w:cs="Calibri"/>
        </w:rPr>
        <w:t>.</w:t>
      </w:r>
    </w:p>
    <w:p w14:paraId="4F9427AF" w14:textId="6C73011B" w:rsidR="70B36C2B" w:rsidRDefault="4C7011F8" w:rsidP="0D317180">
      <w:pPr>
        <w:pStyle w:val="Heading2"/>
        <w:spacing w:before="299" w:after="299"/>
        <w:jc w:val="both"/>
        <w:rPr>
          <w:rFonts w:ascii="Calibri" w:eastAsia="Calibri" w:hAnsi="Calibri" w:cs="Calibri"/>
          <w:b/>
          <w:bCs/>
        </w:rPr>
      </w:pPr>
      <w:bookmarkStart w:id="4" w:name="_Toc657603812"/>
      <w:r w:rsidRPr="0D317180">
        <w:rPr>
          <w:rFonts w:ascii="Calibri" w:eastAsia="Calibri" w:hAnsi="Calibri" w:cs="Calibri"/>
          <w:b/>
          <w:bCs/>
        </w:rPr>
        <w:t>3.2 Sustainable Tourism</w:t>
      </w:r>
      <w:bookmarkEnd w:id="4"/>
    </w:p>
    <w:p w14:paraId="30D8947F" w14:textId="593D636B" w:rsidR="1EF929D0" w:rsidRDefault="1EF929D0" w:rsidP="0D317180">
      <w:pPr>
        <w:spacing w:before="240" w:after="240"/>
        <w:jc w:val="both"/>
        <w:rPr>
          <w:rFonts w:ascii="Calibri" w:eastAsia="Calibri" w:hAnsi="Calibri" w:cs="Calibri"/>
        </w:rPr>
      </w:pPr>
      <w:r w:rsidRPr="0D317180">
        <w:rPr>
          <w:rFonts w:ascii="Calibri" w:eastAsia="Calibri" w:hAnsi="Calibri" w:cs="Calibri"/>
        </w:rPr>
        <w:t>Sustainable tourism seeks to balance economic development with the protection of environmental resources, cultural heritage and community wellbeing. Rather than focusing solely on increasing visitor numbers, it promotes responsible travel that creates benefits for both tourists and host communities (UN Tourism, 2024).</w:t>
      </w:r>
    </w:p>
    <w:p w14:paraId="5F89F0A9" w14:textId="0B2D82A9" w:rsidR="1EF929D0" w:rsidRDefault="1EF929D0" w:rsidP="0D317180">
      <w:pPr>
        <w:spacing w:before="240" w:after="240"/>
        <w:jc w:val="both"/>
        <w:rPr>
          <w:rFonts w:ascii="Calibri" w:eastAsia="Calibri" w:hAnsi="Calibri" w:cs="Calibri"/>
        </w:rPr>
      </w:pPr>
      <w:r w:rsidRPr="0D317180">
        <w:rPr>
          <w:rFonts w:ascii="Calibri" w:eastAsia="Calibri" w:hAnsi="Calibri" w:cs="Calibri"/>
        </w:rPr>
        <w:t>Professional guides contribute to these objectives by encouraging responsible visitor behaviour throughout the travel experience. Their responsibilities include explaining appropriate conduct at cultural and religious sites, promoting environmental awareness and recommending locally owned businesses and authentic cultural experiences that support host communities. Both Güzel et al. (2021) and Nowacki (2021) emphasise that guides influence tourists beyond simply providing information. While Güzel et al. highlight their ability to encourage sustainable attitudes and behaviours, Nowacki focuses on their role in strengthening cultural appreciation and supporting the long-term sustainability of destinations. These responsibilities are particularly valuable in destinations characterised by cultural diversity, where visitors may require guidance to engage respectfully with local traditions and communities.</w:t>
      </w:r>
    </w:p>
    <w:p w14:paraId="2691EBE0" w14:textId="3A12D4E3" w:rsidR="70B36C2B" w:rsidRDefault="4C7011F8" w:rsidP="0D317180">
      <w:pPr>
        <w:pStyle w:val="Heading2"/>
        <w:spacing w:before="299" w:after="299"/>
        <w:jc w:val="both"/>
        <w:rPr>
          <w:rFonts w:ascii="Calibri" w:eastAsia="Calibri" w:hAnsi="Calibri" w:cs="Calibri"/>
          <w:b/>
          <w:bCs/>
        </w:rPr>
      </w:pPr>
      <w:bookmarkStart w:id="5" w:name="_Toc688891786"/>
      <w:r w:rsidRPr="0D317180">
        <w:rPr>
          <w:rFonts w:ascii="Calibri" w:eastAsia="Calibri" w:hAnsi="Calibri" w:cs="Calibri"/>
          <w:b/>
          <w:bCs/>
        </w:rPr>
        <w:lastRenderedPageBreak/>
        <w:t>3.3 Heritage Interpretation</w:t>
      </w:r>
      <w:bookmarkEnd w:id="5"/>
    </w:p>
    <w:p w14:paraId="3F78D39C" w14:textId="7F1C3F92" w:rsidR="6CBE1CAD" w:rsidRDefault="6CBE1CAD" w:rsidP="0D317180">
      <w:pPr>
        <w:spacing w:before="240" w:after="240"/>
        <w:jc w:val="both"/>
        <w:rPr>
          <w:rFonts w:ascii="Calibri" w:eastAsia="Calibri" w:hAnsi="Calibri" w:cs="Calibri"/>
        </w:rPr>
      </w:pPr>
      <w:r w:rsidRPr="0D317180">
        <w:rPr>
          <w:rFonts w:ascii="Calibri" w:eastAsia="Calibri" w:hAnsi="Calibri" w:cs="Calibri"/>
        </w:rPr>
        <w:t>A fundamental responsibility of professional tour guides is the interpretation of cultural, historical and religious heritage. Rather than presenting isolated facts, guides explain the stories, traditions and significance associated with destinations, enabling visitors to develop a deeper understanding of the places they visit.</w:t>
      </w:r>
    </w:p>
    <w:p w14:paraId="15B396CF" w14:textId="3267388F" w:rsidR="6CBE1CAD" w:rsidRDefault="6CBE1CAD" w:rsidP="0D317180">
      <w:pPr>
        <w:spacing w:before="240" w:after="240"/>
        <w:jc w:val="both"/>
        <w:rPr>
          <w:rFonts w:ascii="Calibri" w:eastAsia="Calibri" w:hAnsi="Calibri" w:cs="Calibri"/>
        </w:rPr>
      </w:pPr>
      <w:r w:rsidRPr="0D317180">
        <w:rPr>
          <w:rFonts w:ascii="Calibri" w:eastAsia="Calibri" w:hAnsi="Calibri" w:cs="Calibri"/>
        </w:rPr>
        <w:t>Nowacki (2021) identifies heritage interpretation as one of the guide's most significant professional responsibilities, arguing that effective interpretation enhances visitor learning while creating stronger emotional connections with destinations. Similarly, Weng, Liang and Bao (2020) found that visitors who received professional tour guiding developed a greater appreciation of heritage sites than those who explored independently. Together, these studies suggest that interpretation not only improves visitors' understanding but also creates more memorable and meaningful tourism experiences. In multicultural destinations such as Malaysia, where international tourists may have limited knowledge of local history, religions and customs, accurate interpretation enables visitors to engage more respectfully with cultural heritage while reducing the risk of misunderstanding.</w:t>
      </w:r>
    </w:p>
    <w:p w14:paraId="6B4E6147" w14:textId="74AD2908" w:rsidR="2C5CC81C" w:rsidRDefault="6C6F488F" w:rsidP="0D317180">
      <w:pPr>
        <w:pStyle w:val="Heading2"/>
        <w:spacing w:before="299" w:after="299"/>
        <w:jc w:val="both"/>
        <w:rPr>
          <w:rFonts w:ascii="Calibri" w:eastAsia="Calibri" w:hAnsi="Calibri" w:cs="Calibri"/>
          <w:b/>
          <w:bCs/>
        </w:rPr>
      </w:pPr>
      <w:bookmarkStart w:id="6" w:name="_Toc1681516567"/>
      <w:r w:rsidRPr="0D317180">
        <w:rPr>
          <w:rFonts w:ascii="Calibri" w:eastAsia="Calibri" w:hAnsi="Calibri" w:cs="Calibri"/>
          <w:b/>
          <w:bCs/>
        </w:rPr>
        <w:t>3.4 Tourist Satisfaction</w:t>
      </w:r>
      <w:bookmarkEnd w:id="6"/>
    </w:p>
    <w:p w14:paraId="768DB064" w14:textId="7F1F3BD8" w:rsidR="0B47CF91" w:rsidRDefault="0B47CF91" w:rsidP="0D317180">
      <w:pPr>
        <w:spacing w:before="240" w:after="240"/>
        <w:jc w:val="both"/>
        <w:rPr>
          <w:rFonts w:ascii="Calibri" w:eastAsia="Calibri" w:hAnsi="Calibri" w:cs="Calibri"/>
        </w:rPr>
      </w:pPr>
      <w:r w:rsidRPr="0D317180">
        <w:rPr>
          <w:rFonts w:ascii="Calibri" w:eastAsia="Calibri" w:hAnsi="Calibri" w:cs="Calibri"/>
        </w:rPr>
        <w:t>The quality of tour guide services is widely recognised as an important determinant of tourist satisfaction because guides influence visitors' understanding, enjoyment and overall experience of a destination. Satisfaction is shaped by factors including service quality, educational value, emotional engagement and the ability of tourism experiences to create lasting memories.</w:t>
      </w:r>
    </w:p>
    <w:p w14:paraId="1FC07E4A" w14:textId="624879DB" w:rsidR="059C064F" w:rsidRDefault="059C064F" w:rsidP="0D317180">
      <w:pPr>
        <w:spacing w:before="240" w:after="240"/>
        <w:jc w:val="both"/>
        <w:rPr>
          <w:rFonts w:ascii="Calibri" w:eastAsia="Calibri" w:hAnsi="Calibri" w:cs="Calibri"/>
        </w:rPr>
      </w:pPr>
      <w:r w:rsidRPr="0D317180">
        <w:rPr>
          <w:rFonts w:ascii="Calibri" w:eastAsia="Calibri" w:hAnsi="Calibri" w:cs="Calibri"/>
        </w:rPr>
        <w:t>Wan Aniq Syakier and Hanafiah (2022) found that tour guide performance has a significant positive influence on tourist satisfaction, behavioural intentions and revisit intentions.</w:t>
      </w:r>
      <w:r w:rsidR="0B47CF91" w:rsidRPr="0D317180">
        <w:rPr>
          <w:rFonts w:ascii="Calibri" w:eastAsia="Calibri" w:hAnsi="Calibri" w:cs="Calibri"/>
        </w:rPr>
        <w:t xml:space="preserve"> Their research demonstrated that knowledgeable, professional and engaging guides create more enjoyable experiences by adapting their communication to visitors' interests, answering questions effectively and providing reassurance throughout the journey. Weng, Liang and Bao (2020) similarly argue that meaningful heritage interpretation enhances visitors' appreciation of destinations, contributing to more rewarding and memorable experiences. </w:t>
      </w:r>
      <w:r w:rsidR="06E05915" w:rsidRPr="0D317180">
        <w:rPr>
          <w:rFonts w:ascii="Calibri" w:eastAsia="Calibri" w:hAnsi="Calibri" w:cs="Calibri"/>
        </w:rPr>
        <w:t xml:space="preserve">These findings indicate that licensed tour guides improve visitor satisfaction through both their professional expertise and the quality of their communication, demonstrating that effective interpretation depends not only on the accuracy of information provided but also on the way it is delivered. </w:t>
      </w:r>
      <w:r w:rsidR="0B47CF91" w:rsidRPr="0D317180">
        <w:rPr>
          <w:rFonts w:ascii="Calibri" w:eastAsia="Calibri" w:hAnsi="Calibri" w:cs="Calibri"/>
        </w:rPr>
        <w:t xml:space="preserve"> As a result, effective tour guiding contributes not only to positive visitor experiences but also to a stronger destination image and greater long-term competitiveness.</w:t>
      </w:r>
    </w:p>
    <w:p w14:paraId="1B654964" w14:textId="0CEC5206" w:rsidR="4D8B1219" w:rsidRDefault="4D8B1219" w:rsidP="0D317180">
      <w:pPr>
        <w:pStyle w:val="Heading1"/>
        <w:numPr>
          <w:ilvl w:val="0"/>
          <w:numId w:val="2"/>
        </w:numPr>
        <w:rPr>
          <w:rFonts w:ascii="Calibri" w:eastAsia="Calibri" w:hAnsi="Calibri" w:cs="Calibri"/>
          <w:b/>
          <w:bCs/>
        </w:rPr>
      </w:pPr>
      <w:r w:rsidRPr="0D317180">
        <w:rPr>
          <w:rFonts w:ascii="Calibri" w:eastAsia="Calibri" w:hAnsi="Calibri" w:cs="Calibri"/>
          <w:b/>
          <w:bCs/>
        </w:rPr>
        <w:lastRenderedPageBreak/>
        <w:t xml:space="preserve"> </w:t>
      </w:r>
      <w:bookmarkStart w:id="7" w:name="_Toc2066235550"/>
      <w:r w:rsidRPr="0D317180">
        <w:rPr>
          <w:rFonts w:ascii="Calibri" w:eastAsia="Calibri" w:hAnsi="Calibri" w:cs="Calibri"/>
          <w:b/>
          <w:bCs/>
        </w:rPr>
        <w:t>Analysis of Malaysia's Tour Guide Policy</w:t>
      </w:r>
      <w:bookmarkEnd w:id="7"/>
    </w:p>
    <w:p w14:paraId="1B40D482" w14:textId="3CD9AC56" w:rsidR="6FBFB042" w:rsidRDefault="6FBFB042" w:rsidP="0D317180">
      <w:pPr>
        <w:spacing w:before="240" w:after="240"/>
        <w:jc w:val="both"/>
        <w:rPr>
          <w:rFonts w:ascii="Calibri" w:eastAsia="Calibri" w:hAnsi="Calibri" w:cs="Calibri"/>
        </w:rPr>
      </w:pPr>
      <w:r w:rsidRPr="0D317180">
        <w:rPr>
          <w:rFonts w:ascii="Calibri" w:eastAsia="Calibri" w:hAnsi="Calibri" w:cs="Calibri"/>
        </w:rPr>
        <w:t xml:space="preserve">The </w:t>
      </w:r>
      <w:r w:rsidR="644D29A4" w:rsidRPr="0D317180">
        <w:rPr>
          <w:rFonts w:ascii="Calibri" w:eastAsia="Calibri" w:hAnsi="Calibri" w:cs="Calibri"/>
        </w:rPr>
        <w:t xml:space="preserve">previous research </w:t>
      </w:r>
      <w:r w:rsidRPr="0D317180">
        <w:rPr>
          <w:rFonts w:ascii="Calibri" w:eastAsia="Calibri" w:hAnsi="Calibri" w:cs="Calibri"/>
        </w:rPr>
        <w:t>demonstrates that licensed tour guides contribute to destination management by improving visitor safety, supporting heritage interpretation, encouraging sustainable tourism and enhancing visitor satisfaction. Malaysia's policy requiring international tourists to be accompanied by licensed guides reflects these principles in practice. Drawing on observations from the Taith International Experience, this section evaluates the effectiveness of the policy</w:t>
      </w:r>
      <w:r w:rsidR="0A36F3F7" w:rsidRPr="0D317180">
        <w:rPr>
          <w:rFonts w:ascii="Calibri" w:eastAsia="Calibri" w:hAnsi="Calibri" w:cs="Calibri"/>
        </w:rPr>
        <w:t xml:space="preserve"> by </w:t>
      </w:r>
      <w:r w:rsidR="00915D14" w:rsidRPr="00915D14">
        <w:rPr>
          <w:rFonts w:ascii="Calibri" w:eastAsia="Calibri" w:hAnsi="Calibri" w:cs="Calibri"/>
        </w:rPr>
        <w:t xml:space="preserve">drawing on observations and group discussions undertaken during the </w:t>
      </w:r>
      <w:proofErr w:type="spellStart"/>
      <w:r w:rsidR="00915D14" w:rsidRPr="00915D14">
        <w:rPr>
          <w:rFonts w:ascii="Calibri" w:eastAsia="Calibri" w:hAnsi="Calibri" w:cs="Calibri"/>
        </w:rPr>
        <w:t>Taith</w:t>
      </w:r>
      <w:proofErr w:type="spellEnd"/>
      <w:r w:rsidR="00915D14" w:rsidRPr="00915D14">
        <w:rPr>
          <w:rFonts w:ascii="Calibri" w:eastAsia="Calibri" w:hAnsi="Calibri" w:cs="Calibri"/>
        </w:rPr>
        <w:t xml:space="preserve"> International Experience</w:t>
      </w:r>
    </w:p>
    <w:p w14:paraId="4E783B7B" w14:textId="4CB520A8" w:rsidR="6FBFB042" w:rsidRDefault="6FBFB042" w:rsidP="0D317180">
      <w:pPr>
        <w:pStyle w:val="Heading3"/>
        <w:spacing w:before="281" w:after="281"/>
        <w:jc w:val="both"/>
        <w:rPr>
          <w:rFonts w:ascii="Calibri" w:eastAsia="Calibri" w:hAnsi="Calibri" w:cs="Calibri"/>
          <w:b/>
          <w:bCs/>
          <w:sz w:val="32"/>
          <w:szCs w:val="32"/>
        </w:rPr>
      </w:pPr>
      <w:bookmarkStart w:id="8" w:name="_Toc568446536"/>
      <w:r w:rsidRPr="0D317180">
        <w:rPr>
          <w:rFonts w:ascii="Calibri" w:eastAsia="Calibri" w:hAnsi="Calibri" w:cs="Calibri"/>
          <w:b/>
          <w:bCs/>
          <w:sz w:val="32"/>
          <w:szCs w:val="32"/>
        </w:rPr>
        <w:t>4.1 Tourist Safety</w:t>
      </w:r>
      <w:bookmarkEnd w:id="8"/>
    </w:p>
    <w:p w14:paraId="21034F36" w14:textId="04567F52" w:rsidR="6FBFB042" w:rsidRDefault="6FBFB042" w:rsidP="0D317180">
      <w:pPr>
        <w:spacing w:before="240" w:after="240"/>
        <w:jc w:val="both"/>
        <w:rPr>
          <w:rFonts w:ascii="Calibri" w:eastAsia="Calibri" w:hAnsi="Calibri" w:cs="Calibri"/>
        </w:rPr>
      </w:pPr>
      <w:r w:rsidRPr="0D317180">
        <w:rPr>
          <w:rFonts w:ascii="Calibri" w:eastAsia="Calibri" w:hAnsi="Calibri" w:cs="Calibri"/>
        </w:rPr>
        <w:t>Malaysia's licensing system improves visitor safety by ensuring guides are trained to manage groups and provide support throughout the journey (MOTAC, 202</w:t>
      </w:r>
      <w:r w:rsidR="0061777A">
        <w:rPr>
          <w:rFonts w:ascii="Calibri" w:eastAsia="Calibri" w:hAnsi="Calibri" w:cs="Calibri"/>
        </w:rPr>
        <w:t>5</w:t>
      </w:r>
      <w:r w:rsidRPr="0D317180">
        <w:rPr>
          <w:rFonts w:ascii="Calibri" w:eastAsia="Calibri" w:hAnsi="Calibri" w:cs="Calibri"/>
        </w:rPr>
        <w:t>). During the Taith International Experience, the guide coordinated transport, organised the itinerary and ensured the group remained together between attractions. This reduced uncertainty and demonstrated how regulated tour guiding contributes to safer and more organised travel experiences</w:t>
      </w:r>
      <w:r w:rsidR="16B40168" w:rsidRPr="0D317180">
        <w:rPr>
          <w:rFonts w:ascii="Calibri" w:eastAsia="Calibri" w:hAnsi="Calibri" w:cs="Calibri"/>
        </w:rPr>
        <w:t xml:space="preserve">. By keeping track of how many of us there were, </w:t>
      </w:r>
      <w:r w:rsidR="0061777A" w:rsidRPr="0061777A">
        <w:rPr>
          <w:rFonts w:ascii="Calibri" w:eastAsia="Calibri" w:hAnsi="Calibri" w:cs="Calibri"/>
        </w:rPr>
        <w:t>getting to know us over several days</w:t>
      </w:r>
      <w:r w:rsidR="0061777A">
        <w:rPr>
          <w:rFonts w:ascii="Calibri" w:eastAsia="Calibri" w:hAnsi="Calibri" w:cs="Calibri"/>
        </w:rPr>
        <w:t xml:space="preserve"> </w:t>
      </w:r>
      <w:r w:rsidR="16B40168" w:rsidRPr="0D317180">
        <w:rPr>
          <w:rFonts w:ascii="Calibri" w:eastAsia="Calibri" w:hAnsi="Calibri" w:cs="Calibri"/>
        </w:rPr>
        <w:t xml:space="preserve">of being our guide, and having a cheerful personality, the guide </w:t>
      </w:r>
      <w:r w:rsidR="0061777A" w:rsidRPr="0061777A">
        <w:rPr>
          <w:rFonts w:ascii="Calibri" w:eastAsia="Calibri" w:hAnsi="Calibri" w:cs="Calibri"/>
        </w:rPr>
        <w:t>developed a rapport with the group, increasing feelings of trust and security</w:t>
      </w:r>
      <w:r w:rsidR="16B40168" w:rsidRPr="0D317180">
        <w:rPr>
          <w:rFonts w:ascii="Calibri" w:eastAsia="Calibri" w:hAnsi="Calibri" w:cs="Calibri"/>
        </w:rPr>
        <w:t>, and made the experience in an unknown location feel safe and positive.</w:t>
      </w:r>
    </w:p>
    <w:p w14:paraId="7DEFA83E" w14:textId="769EED5C" w:rsidR="6FBFB042" w:rsidRDefault="6FBFB042" w:rsidP="0D317180">
      <w:pPr>
        <w:pStyle w:val="Heading3"/>
        <w:spacing w:before="281" w:after="281"/>
        <w:jc w:val="both"/>
        <w:rPr>
          <w:rFonts w:ascii="Calibri" w:eastAsia="Calibri" w:hAnsi="Calibri" w:cs="Calibri"/>
          <w:b/>
          <w:bCs/>
          <w:sz w:val="32"/>
          <w:szCs w:val="32"/>
        </w:rPr>
      </w:pPr>
      <w:bookmarkStart w:id="9" w:name="_Toc1329807203"/>
      <w:r w:rsidRPr="0D317180">
        <w:rPr>
          <w:rFonts w:ascii="Calibri" w:eastAsia="Calibri" w:hAnsi="Calibri" w:cs="Calibri"/>
          <w:b/>
          <w:bCs/>
          <w:sz w:val="32"/>
          <w:szCs w:val="32"/>
        </w:rPr>
        <w:t>4.2 Cultural Understanding</w:t>
      </w:r>
      <w:bookmarkEnd w:id="9"/>
    </w:p>
    <w:p w14:paraId="5745E5B9" w14:textId="51054F42" w:rsidR="477FC177" w:rsidRDefault="477FC177" w:rsidP="0D317180">
      <w:pPr>
        <w:spacing w:before="240" w:after="240"/>
        <w:jc w:val="both"/>
        <w:rPr>
          <w:rFonts w:ascii="Calibri" w:eastAsia="Calibri" w:hAnsi="Calibri" w:cs="Calibri"/>
        </w:rPr>
      </w:pPr>
      <w:r w:rsidRPr="0D317180">
        <w:rPr>
          <w:rFonts w:ascii="Calibri" w:eastAsia="Calibri" w:hAnsi="Calibri" w:cs="Calibri"/>
        </w:rPr>
        <w:t xml:space="preserve">Malaysia's multicultural society makes cultural understanding an important part of the visitor experience. Licensed tour guides support this by explaining local customs, religious practices and historical contexts, helping international visitors engage respectfully with destinations. By providing cultural context and explaining appropriate behaviour, guides reduce misunderstandings while allowing tourists to develop a deeper appreciation of local traditions and heritage. During the Taith International Experience, the guide contributed to cultural understanding by explaining Malaysia's multicultural history throughout the journey from Kuala Lumpur to Penang. They discussed the different communities that have influenced Malaysia, how various cultural groups arrived and their contributions to the country's identity. The guide also recommended local shops, activities and attractions, enabling the group to engage more meaningfully with Malaysian culture rather than simply visiting destinations as tourists. These observations support Butler's (2024) revised Tourism Area Life Cycle model, which argues that destinations maintain their competitiveness through proactive management strategies that enhance visitor experiences while protecting cultural heritage. </w:t>
      </w:r>
      <w:r w:rsidRPr="0D317180">
        <w:rPr>
          <w:rFonts w:ascii="Calibri" w:eastAsia="Calibri" w:hAnsi="Calibri" w:cs="Calibri"/>
        </w:rPr>
        <w:lastRenderedPageBreak/>
        <w:t>By requiring licensed guides to provide accurate cultural interpretation, Malaysia strengthens destination quality and promotes a more authentic and respectful tourism experience.</w:t>
      </w:r>
    </w:p>
    <w:p w14:paraId="1BFD7439" w14:textId="06A22CC8" w:rsidR="1A5210C4" w:rsidRDefault="1A5210C4" w:rsidP="0D317180">
      <w:pPr>
        <w:pStyle w:val="Heading3"/>
        <w:rPr>
          <w:rFonts w:ascii="Calibri" w:eastAsia="Calibri" w:hAnsi="Calibri" w:cs="Calibri"/>
          <w:b/>
          <w:bCs/>
          <w:sz w:val="32"/>
          <w:szCs w:val="32"/>
        </w:rPr>
      </w:pPr>
      <w:bookmarkStart w:id="10" w:name="_Toc1804734320"/>
      <w:r w:rsidRPr="0D317180">
        <w:rPr>
          <w:rFonts w:ascii="Calibri" w:eastAsia="Calibri" w:hAnsi="Calibri" w:cs="Calibri"/>
          <w:b/>
          <w:bCs/>
          <w:sz w:val="32"/>
          <w:szCs w:val="32"/>
        </w:rPr>
        <w:t>4.3 Professional Standards and Visitor Experience</w:t>
      </w:r>
      <w:bookmarkEnd w:id="10"/>
    </w:p>
    <w:p w14:paraId="581254EB" w14:textId="2D124620" w:rsidR="12EDF2F8" w:rsidRDefault="12EDF2F8" w:rsidP="0D317180">
      <w:pPr>
        <w:spacing w:before="240" w:after="240"/>
        <w:jc w:val="both"/>
        <w:rPr>
          <w:rFonts w:ascii="Calibri" w:eastAsia="Calibri" w:hAnsi="Calibri" w:cs="Calibri"/>
        </w:rPr>
      </w:pPr>
      <w:r w:rsidRPr="0D317180">
        <w:rPr>
          <w:rFonts w:ascii="Calibri" w:eastAsia="Calibri" w:hAnsi="Calibri" w:cs="Calibri"/>
        </w:rPr>
        <w:t>Malaysia's licensing system aims to ensure guides provide accurate information and maintain consistent professional standards (MOTAC, 202</w:t>
      </w:r>
      <w:r w:rsidR="0061777A">
        <w:rPr>
          <w:rFonts w:ascii="Calibri" w:eastAsia="Calibri" w:hAnsi="Calibri" w:cs="Calibri"/>
        </w:rPr>
        <w:t>5</w:t>
      </w:r>
      <w:r w:rsidRPr="0D317180">
        <w:rPr>
          <w:rFonts w:ascii="Calibri" w:eastAsia="Calibri" w:hAnsi="Calibri" w:cs="Calibri"/>
        </w:rPr>
        <w:t>). Throughout the Taith International Experience, the guide demonstrated these qualities by answering questions, sharing knowledge about Malaysia's culture and history, and recommending local food, shops and attractions. These interactions created a more engaging experience by providing insights that may have been difficult to gain through independent travel.</w:t>
      </w:r>
    </w:p>
    <w:p w14:paraId="6F8AB5BE" w14:textId="4E235517" w:rsidR="12EDF2F8" w:rsidRDefault="12EDF2F8" w:rsidP="0D317180">
      <w:pPr>
        <w:spacing w:before="240" w:after="240"/>
        <w:jc w:val="both"/>
        <w:rPr>
          <w:rFonts w:ascii="Calibri" w:eastAsia="Calibri" w:hAnsi="Calibri" w:cs="Calibri"/>
        </w:rPr>
      </w:pPr>
      <w:r w:rsidRPr="0D317180">
        <w:rPr>
          <w:rFonts w:ascii="Calibri" w:eastAsia="Calibri" w:hAnsi="Calibri" w:cs="Calibri"/>
        </w:rPr>
        <w:t>The relationship developed between the guide and the group also influenced the overall experience. By becoming familiar with the group over multiple days, remembering individuals and maintaining a positive attitude, the guide created a welcoming atmosphere that increased confidence while travelling in an unfamiliar environment. This supports the literature suggesting that tour guides contribute to visitor satisfaction through personal interaction, local knowledge and meaningful engagement.</w:t>
      </w:r>
    </w:p>
    <w:p w14:paraId="69237E03" w14:textId="0A0633BA" w:rsidR="6FBFB042" w:rsidRDefault="6FBFB042" w:rsidP="0D317180">
      <w:pPr>
        <w:pStyle w:val="Heading3"/>
        <w:spacing w:before="281" w:after="281"/>
        <w:jc w:val="both"/>
        <w:rPr>
          <w:rFonts w:ascii="Calibri" w:eastAsia="Calibri" w:hAnsi="Calibri" w:cs="Calibri"/>
          <w:b/>
          <w:bCs/>
          <w:sz w:val="32"/>
          <w:szCs w:val="32"/>
        </w:rPr>
      </w:pPr>
      <w:bookmarkStart w:id="11" w:name="_Toc1455691224"/>
      <w:r w:rsidRPr="0D317180">
        <w:rPr>
          <w:rFonts w:ascii="Calibri" w:eastAsia="Calibri" w:hAnsi="Calibri" w:cs="Calibri"/>
          <w:b/>
          <w:bCs/>
          <w:sz w:val="32"/>
          <w:szCs w:val="32"/>
        </w:rPr>
        <w:t>4.4 Challenges</w:t>
      </w:r>
      <w:bookmarkEnd w:id="11"/>
    </w:p>
    <w:p w14:paraId="10B77D37" w14:textId="10CDFD5A" w:rsidR="7A979972" w:rsidRDefault="7A979972" w:rsidP="0D317180">
      <w:pPr>
        <w:spacing w:before="240" w:after="240"/>
        <w:jc w:val="both"/>
        <w:rPr>
          <w:rFonts w:ascii="Calibri" w:eastAsia="Calibri" w:hAnsi="Calibri" w:cs="Calibri"/>
        </w:rPr>
      </w:pPr>
      <w:r w:rsidRPr="0D317180">
        <w:rPr>
          <w:rFonts w:ascii="Calibri" w:eastAsia="Calibri" w:hAnsi="Calibri" w:cs="Calibri"/>
        </w:rPr>
        <w:t>Despite its benefits, the policy has some limitations. Advances in technology, including Google Maps, AI, translation applications and digital guidebooks, have made independent travel increasingly accessible, allowing some visitors to explore destinations without relying on professional guides. Additionally, some tourists may prefer greater flexibility, privacy and lower travel costs rather than following structured guided experiences. During the Taith International Experience, the early starts following late excursions on previous days highlighted another potential challenge of guided travel, as long journeys with continuous explanations from the guide were sometimes difficult to engage with when the group was tired. This suggests that while guided experiences can provide valuable information, the timing, pace and amount of information provided must be carefully managed to suit visitor needs.</w:t>
      </w:r>
    </w:p>
    <w:p w14:paraId="625225E6" w14:textId="02E6EA38" w:rsidR="0D317180" w:rsidRDefault="0D317180" w:rsidP="0D317180">
      <w:pPr>
        <w:pStyle w:val="Heading2"/>
        <w:spacing w:before="240" w:after="240"/>
        <w:jc w:val="both"/>
        <w:rPr>
          <w:rFonts w:ascii="Calibri" w:eastAsia="Calibri" w:hAnsi="Calibri" w:cs="Calibri"/>
          <w:b/>
          <w:bCs/>
          <w:sz w:val="36"/>
          <w:szCs w:val="36"/>
        </w:rPr>
      </w:pPr>
    </w:p>
    <w:p w14:paraId="54D9EA8D" w14:textId="7CA06706" w:rsidR="03153902" w:rsidRDefault="0061777A" w:rsidP="0D317180">
      <w:pPr>
        <w:pStyle w:val="Heading2"/>
        <w:numPr>
          <w:ilvl w:val="0"/>
          <w:numId w:val="2"/>
        </w:numPr>
        <w:spacing w:before="240" w:after="240"/>
        <w:jc w:val="both"/>
        <w:rPr>
          <w:rFonts w:ascii="Calibri" w:eastAsia="Calibri" w:hAnsi="Calibri" w:cs="Calibri"/>
          <w:b/>
          <w:bCs/>
          <w:sz w:val="40"/>
          <w:szCs w:val="40"/>
        </w:rPr>
      </w:pPr>
      <w:bookmarkStart w:id="12" w:name="_Toc1069311"/>
      <w:r>
        <w:rPr>
          <w:rFonts w:ascii="Calibri" w:eastAsia="Calibri" w:hAnsi="Calibri" w:cs="Calibri"/>
          <w:b/>
          <w:bCs/>
          <w:sz w:val="40"/>
          <w:szCs w:val="40"/>
        </w:rPr>
        <w:t xml:space="preserve"> </w:t>
      </w:r>
      <w:r w:rsidR="03153902" w:rsidRPr="0D317180">
        <w:rPr>
          <w:rFonts w:ascii="Calibri" w:eastAsia="Calibri" w:hAnsi="Calibri" w:cs="Calibri"/>
          <w:b/>
          <w:bCs/>
          <w:sz w:val="40"/>
          <w:szCs w:val="40"/>
        </w:rPr>
        <w:t>Recommendations</w:t>
      </w:r>
      <w:bookmarkEnd w:id="12"/>
    </w:p>
    <w:p w14:paraId="56B98B2E" w14:textId="25A1D92A" w:rsidR="52BCD22D" w:rsidRDefault="52BCD22D" w:rsidP="0D317180">
      <w:pPr>
        <w:spacing w:before="240" w:after="240"/>
        <w:jc w:val="both"/>
        <w:rPr>
          <w:rFonts w:ascii="Calibri" w:eastAsia="Calibri" w:hAnsi="Calibri" w:cs="Calibri"/>
        </w:rPr>
      </w:pPr>
      <w:r w:rsidRPr="0D317180">
        <w:rPr>
          <w:rFonts w:ascii="Calibri" w:eastAsia="Calibri" w:hAnsi="Calibri" w:cs="Calibri"/>
        </w:rPr>
        <w:t xml:space="preserve">Based on the findings of this report, Malaysia could improve its licensed tour guide policy by introducing greater flexibility within guided tourism experiences. While compulsory guiding helps maintain professional standards and improves visitor understanding, some tourists </w:t>
      </w:r>
      <w:r w:rsidRPr="0D317180">
        <w:rPr>
          <w:rFonts w:ascii="Calibri" w:eastAsia="Calibri" w:hAnsi="Calibri" w:cs="Calibri"/>
        </w:rPr>
        <w:lastRenderedPageBreak/>
        <w:t>increasingly prefer more independent and personalised travel. Allowing greater choice through options such as shorter guided sessions, specialist guides for specific attractions or a combination of guided and self-guided experiences would allow visitors to benefit from professional expertise while still maintaining a sense of independence. Additionally, greater attention should be given to balancing educational content with visitor comfort. While detailed explanations can improve cultural understanding, the Taith International Experience highlighted that the timing, length and delivery of information can influence visitor engagement, particularly during long journeys or after busy schedules. Encouraging guides to adapt the amount of information provided based on the group's energy level</w:t>
      </w:r>
      <w:r w:rsidR="7085F217" w:rsidRPr="0D317180">
        <w:rPr>
          <w:rFonts w:ascii="Calibri" w:eastAsia="Calibri" w:hAnsi="Calibri" w:cs="Calibri"/>
        </w:rPr>
        <w:t xml:space="preserve"> </w:t>
      </w:r>
      <w:r w:rsidRPr="0D317180">
        <w:rPr>
          <w:rFonts w:ascii="Calibri" w:eastAsia="Calibri" w:hAnsi="Calibri" w:cs="Calibri"/>
        </w:rPr>
        <w:t>could create a more enjoyable experience while maintaining the educational benefits of guided tourism.</w:t>
      </w:r>
    </w:p>
    <w:p w14:paraId="12E2F93A" w14:textId="62F56E96" w:rsidR="4A04CAC2" w:rsidRDefault="0061777A" w:rsidP="0D317180">
      <w:pPr>
        <w:pStyle w:val="Heading2"/>
        <w:numPr>
          <w:ilvl w:val="0"/>
          <w:numId w:val="2"/>
        </w:numPr>
        <w:spacing w:before="299" w:after="299"/>
        <w:jc w:val="both"/>
        <w:rPr>
          <w:rFonts w:ascii="Calibri" w:eastAsia="Calibri" w:hAnsi="Calibri" w:cs="Calibri"/>
          <w:b/>
          <w:bCs/>
          <w:sz w:val="40"/>
          <w:szCs w:val="40"/>
        </w:rPr>
      </w:pPr>
      <w:bookmarkStart w:id="13" w:name="_Toc1655882591"/>
      <w:r>
        <w:rPr>
          <w:rFonts w:ascii="Calibri" w:eastAsia="Calibri" w:hAnsi="Calibri" w:cs="Calibri"/>
          <w:b/>
          <w:bCs/>
          <w:sz w:val="40"/>
          <w:szCs w:val="40"/>
        </w:rPr>
        <w:t xml:space="preserve"> </w:t>
      </w:r>
      <w:r w:rsidR="4A04CAC2" w:rsidRPr="0D317180">
        <w:rPr>
          <w:rFonts w:ascii="Calibri" w:eastAsia="Calibri" w:hAnsi="Calibri" w:cs="Calibri"/>
          <w:b/>
          <w:bCs/>
          <w:sz w:val="40"/>
          <w:szCs w:val="40"/>
        </w:rPr>
        <w:t>Conclusion</w:t>
      </w:r>
      <w:bookmarkEnd w:id="13"/>
    </w:p>
    <w:p w14:paraId="4828E7EF" w14:textId="014670F4" w:rsidR="77C7A074" w:rsidRDefault="77C7A074" w:rsidP="0D317180">
      <w:pPr>
        <w:spacing w:before="240" w:after="240"/>
        <w:jc w:val="both"/>
        <w:rPr>
          <w:rFonts w:ascii="Calibri" w:eastAsia="Calibri" w:hAnsi="Calibri" w:cs="Calibri"/>
        </w:rPr>
      </w:pPr>
      <w:r w:rsidRPr="0D317180">
        <w:rPr>
          <w:rFonts w:ascii="Calibri" w:eastAsia="Calibri" w:hAnsi="Calibri" w:cs="Calibri"/>
        </w:rPr>
        <w:t>This report has demonstrated that licensed tour guides play an important role in supporting Malaysia's tourism industry by enhancing visitor safety, cultural understanding, professional standards and overall visitor experiences. The literature highlights that guides contribute beyond providing information by acting as educators, cultural interpreters and representatives of destinations. Analysis of Malaysia's licensing policy and observations from the Taith International Experience suggest that the system is effective in maintaining tourism quality and helping visitors engage more meaningfully with Malaysian culture. However, challenges such as increasing independent travel and changing visitor expectations highlight the need for continued adaptation. Overall, Malaysia's licensed tour guide policy remains a valuable approach to destination management, although greater flexibility and innovation could further strengthen its effectiveness in the future.</w:t>
      </w:r>
    </w:p>
    <w:p w14:paraId="4E0BE167" w14:textId="37E0FAF2" w:rsidR="22204C03" w:rsidRDefault="22204C03" w:rsidP="22204C03">
      <w:pPr>
        <w:spacing w:before="240" w:after="240"/>
        <w:jc w:val="both"/>
        <w:rPr>
          <w:rFonts w:ascii="Calibri" w:eastAsia="Calibri" w:hAnsi="Calibri" w:cs="Calibri"/>
        </w:rPr>
      </w:pPr>
    </w:p>
    <w:p w14:paraId="63EAC0E1" w14:textId="0297A86F" w:rsidR="22204C03" w:rsidRDefault="68EE5EA9" w:rsidP="0D317180">
      <w:pPr>
        <w:pStyle w:val="Heading1"/>
        <w:numPr>
          <w:ilvl w:val="0"/>
          <w:numId w:val="2"/>
        </w:numPr>
        <w:rPr>
          <w:rFonts w:ascii="Calibri" w:eastAsia="Calibri" w:hAnsi="Calibri" w:cs="Calibri"/>
          <w:b/>
          <w:bCs/>
        </w:rPr>
      </w:pPr>
      <w:r w:rsidRPr="0D317180">
        <w:rPr>
          <w:rFonts w:ascii="Calibri" w:eastAsia="Calibri" w:hAnsi="Calibri" w:cs="Calibri"/>
          <w:b/>
          <w:bCs/>
        </w:rPr>
        <w:t xml:space="preserve"> Bibliography</w:t>
      </w:r>
    </w:p>
    <w:p w14:paraId="6FD7B381" w14:textId="7B2D25A1" w:rsidR="284557B1" w:rsidRDefault="284557B1" w:rsidP="0D317180">
      <w:pPr>
        <w:rPr>
          <w:rFonts w:ascii="Aptos" w:eastAsia="Aptos" w:hAnsi="Aptos" w:cs="Aptos"/>
        </w:rPr>
      </w:pPr>
      <w:r w:rsidRPr="0D317180">
        <w:rPr>
          <w:rFonts w:ascii="Aptos" w:eastAsia="Aptos" w:hAnsi="Aptos" w:cs="Aptos"/>
        </w:rPr>
        <w:t xml:space="preserve">     Alazaizeh, M.M., Jamaliah, M.M., Mgonja, J.T. and Ababneh, A. (2019) 'Tour guide performance and sustainable visitor behavior at cultural heritage sites', </w:t>
      </w:r>
      <w:r w:rsidRPr="0D317180">
        <w:rPr>
          <w:rFonts w:ascii="Aptos" w:eastAsia="Aptos" w:hAnsi="Aptos" w:cs="Aptos"/>
          <w:i/>
          <w:iCs/>
        </w:rPr>
        <w:t>Journal of Sustainable Tourism</w:t>
      </w:r>
      <w:r w:rsidRPr="0D317180">
        <w:rPr>
          <w:rFonts w:ascii="Aptos" w:eastAsia="Aptos" w:hAnsi="Aptos" w:cs="Aptos"/>
        </w:rPr>
        <w:t>, 27(11), pp. 1708–1724.</w:t>
      </w:r>
    </w:p>
    <w:p w14:paraId="32BDDB66" w14:textId="1304D02D" w:rsidR="12FD986C" w:rsidRDefault="12FD986C" w:rsidP="0D317180">
      <w:pPr>
        <w:rPr>
          <w:rFonts w:ascii="Aptos" w:eastAsia="Aptos" w:hAnsi="Aptos" w:cs="Aptos"/>
        </w:rPr>
      </w:pPr>
      <w:r w:rsidRPr="0D317180">
        <w:rPr>
          <w:rFonts w:ascii="Aptos" w:eastAsia="Aptos" w:hAnsi="Aptos" w:cs="Aptos"/>
        </w:rPr>
        <w:t xml:space="preserve">     Black, R. and Weiler, B. (2005) ‘Quality assurance and regulatory mechanisms in the tour guiding industry: A systematic review’, </w:t>
      </w:r>
      <w:r w:rsidRPr="0D317180">
        <w:rPr>
          <w:rFonts w:ascii="Aptos" w:eastAsia="Aptos" w:hAnsi="Aptos" w:cs="Aptos"/>
          <w:i/>
          <w:iCs/>
        </w:rPr>
        <w:t>Journal of Tourism Studies</w:t>
      </w:r>
      <w:r w:rsidRPr="0D317180">
        <w:rPr>
          <w:rFonts w:ascii="Aptos" w:eastAsia="Aptos" w:hAnsi="Aptos" w:cs="Aptos"/>
        </w:rPr>
        <w:t xml:space="preserve">, 16(1), pp. 24–37. Available at: </w:t>
      </w:r>
      <w:hyperlink r:id="rId8">
        <w:r w:rsidRPr="0D317180">
          <w:rPr>
            <w:rStyle w:val="Hyperlink"/>
          </w:rPr>
          <w:t>Monash University Research Repository</w:t>
        </w:r>
      </w:hyperlink>
      <w:r w:rsidRPr="0D317180">
        <w:rPr>
          <w:rFonts w:ascii="Aptos" w:eastAsia="Aptos" w:hAnsi="Aptos" w:cs="Aptos"/>
        </w:rPr>
        <w:t xml:space="preserve"> (Accessed: 10</w:t>
      </w:r>
      <w:r w:rsidRPr="0D317180">
        <w:rPr>
          <w:rFonts w:ascii="Aptos" w:eastAsia="Aptos" w:hAnsi="Aptos" w:cs="Aptos"/>
          <w:vertAlign w:val="superscript"/>
        </w:rPr>
        <w:t>th</w:t>
      </w:r>
      <w:r w:rsidRPr="0D317180">
        <w:rPr>
          <w:rFonts w:ascii="Aptos" w:eastAsia="Aptos" w:hAnsi="Aptos" w:cs="Aptos"/>
        </w:rPr>
        <w:t xml:space="preserve"> July 2026).</w:t>
      </w:r>
    </w:p>
    <w:p w14:paraId="4238FFFA" w14:textId="5407C64C" w:rsidR="658FEECA" w:rsidRDefault="658FEECA" w:rsidP="0D317180">
      <w:pPr>
        <w:spacing w:before="240" w:after="240"/>
        <w:rPr>
          <w:rFonts w:ascii="Aptos" w:eastAsia="Aptos" w:hAnsi="Aptos" w:cs="Aptos"/>
        </w:rPr>
      </w:pPr>
      <w:r w:rsidRPr="0D317180">
        <w:rPr>
          <w:rFonts w:ascii="Aptos" w:eastAsia="Aptos" w:hAnsi="Aptos" w:cs="Aptos"/>
        </w:rPr>
        <w:t xml:space="preserve">     </w:t>
      </w:r>
      <w:r w:rsidR="0BAC43C0" w:rsidRPr="0D317180">
        <w:rPr>
          <w:rFonts w:ascii="Aptos" w:eastAsia="Aptos" w:hAnsi="Aptos" w:cs="Aptos"/>
        </w:rPr>
        <w:t xml:space="preserve">Butler, R. (2024) ‘Tourism Destination Development: The Tourism Area Life Cycle Model’, </w:t>
      </w:r>
      <w:r w:rsidR="0BAC43C0" w:rsidRPr="0D317180">
        <w:rPr>
          <w:rFonts w:ascii="Aptos" w:eastAsia="Aptos" w:hAnsi="Aptos" w:cs="Aptos"/>
          <w:i/>
          <w:iCs/>
        </w:rPr>
        <w:t>Tourism Geographies</w:t>
      </w:r>
      <w:r w:rsidR="0BAC43C0" w:rsidRPr="0D317180">
        <w:rPr>
          <w:rFonts w:ascii="Aptos" w:eastAsia="Aptos" w:hAnsi="Aptos" w:cs="Aptos"/>
        </w:rPr>
        <w:t xml:space="preserve">, pp. 1–9. Available at: </w:t>
      </w:r>
      <w:hyperlink r:id="rId9">
        <w:r w:rsidR="0BAC43C0" w:rsidRPr="0D317180">
          <w:rPr>
            <w:rStyle w:val="Hyperlink"/>
          </w:rPr>
          <w:t>https://doi.org/10.1080/14616688.2024.2325932</w:t>
        </w:r>
      </w:hyperlink>
      <w:r w:rsidR="0061777A">
        <w:rPr>
          <w:rFonts w:ascii="Aptos" w:eastAsia="Aptos" w:hAnsi="Aptos" w:cs="Aptos"/>
        </w:rPr>
        <w:t xml:space="preserve"> </w:t>
      </w:r>
      <w:r w:rsidR="0061777A" w:rsidRPr="0D317180">
        <w:rPr>
          <w:rFonts w:ascii="Aptos" w:eastAsia="Aptos" w:hAnsi="Aptos" w:cs="Aptos"/>
        </w:rPr>
        <w:t xml:space="preserve">(Accessed: </w:t>
      </w:r>
      <w:r w:rsidR="0061777A">
        <w:rPr>
          <w:rFonts w:ascii="Aptos" w:eastAsia="Aptos" w:hAnsi="Aptos" w:cs="Aptos"/>
        </w:rPr>
        <w:t>9</w:t>
      </w:r>
      <w:r w:rsidR="0061777A" w:rsidRPr="0D317180">
        <w:rPr>
          <w:rFonts w:ascii="Aptos" w:eastAsia="Aptos" w:hAnsi="Aptos" w:cs="Aptos"/>
          <w:vertAlign w:val="superscript"/>
        </w:rPr>
        <w:t>th</w:t>
      </w:r>
      <w:r w:rsidR="0061777A" w:rsidRPr="0D317180">
        <w:rPr>
          <w:rFonts w:ascii="Aptos" w:eastAsia="Aptos" w:hAnsi="Aptos" w:cs="Aptos"/>
        </w:rPr>
        <w:t xml:space="preserve"> July 2026).</w:t>
      </w:r>
    </w:p>
    <w:p w14:paraId="25847DC3" w14:textId="39745110" w:rsidR="29473138" w:rsidRDefault="29473138" w:rsidP="0D317180">
      <w:pPr>
        <w:spacing w:before="240" w:after="240"/>
        <w:rPr>
          <w:rFonts w:ascii="Aptos" w:eastAsia="Aptos" w:hAnsi="Aptos" w:cs="Aptos"/>
        </w:rPr>
      </w:pPr>
      <w:r w:rsidRPr="0D317180">
        <w:rPr>
          <w:rFonts w:ascii="Aptos" w:eastAsia="Aptos" w:hAnsi="Aptos" w:cs="Aptos"/>
        </w:rPr>
        <w:lastRenderedPageBreak/>
        <w:t xml:space="preserve">     </w:t>
      </w:r>
      <w:r w:rsidR="0BAC43C0" w:rsidRPr="0D317180">
        <w:rPr>
          <w:rFonts w:ascii="Aptos" w:eastAsia="Aptos" w:hAnsi="Aptos" w:cs="Aptos"/>
        </w:rPr>
        <w:t xml:space="preserve">Chen, Z. (2023) ‘Theoretical Development of the Tourist Experience: A Future Perspective’, </w:t>
      </w:r>
      <w:r w:rsidR="0BAC43C0" w:rsidRPr="0D317180">
        <w:rPr>
          <w:rFonts w:ascii="Aptos" w:eastAsia="Aptos" w:hAnsi="Aptos" w:cs="Aptos"/>
          <w:i/>
          <w:iCs/>
        </w:rPr>
        <w:t>Tourism Recreation Research</w:t>
      </w:r>
      <w:r w:rsidR="0BAC43C0" w:rsidRPr="0D317180">
        <w:rPr>
          <w:rFonts w:ascii="Aptos" w:eastAsia="Aptos" w:hAnsi="Aptos" w:cs="Aptos"/>
        </w:rPr>
        <w:t xml:space="preserve">, pp. 1–15. Available at: </w:t>
      </w:r>
      <w:hyperlink r:id="rId10">
        <w:r w:rsidR="0BAC43C0" w:rsidRPr="0D317180">
          <w:rPr>
            <w:rStyle w:val="Hyperlink"/>
          </w:rPr>
          <w:t>https://doi.org/10.1080/02508281.2023.2255939</w:t>
        </w:r>
      </w:hyperlink>
      <w:r w:rsidR="0061777A">
        <w:rPr>
          <w:rFonts w:ascii="Aptos" w:eastAsia="Aptos" w:hAnsi="Aptos" w:cs="Aptos"/>
        </w:rPr>
        <w:t xml:space="preserve"> </w:t>
      </w:r>
      <w:r w:rsidR="0061777A" w:rsidRPr="0061777A">
        <w:rPr>
          <w:rFonts w:ascii="Aptos" w:eastAsia="Aptos" w:hAnsi="Aptos" w:cs="Aptos"/>
        </w:rPr>
        <w:t xml:space="preserve"> </w:t>
      </w:r>
      <w:r w:rsidR="0061777A" w:rsidRPr="0D317180">
        <w:rPr>
          <w:rFonts w:ascii="Aptos" w:eastAsia="Aptos" w:hAnsi="Aptos" w:cs="Aptos"/>
        </w:rPr>
        <w:t>(Accessed: 11</w:t>
      </w:r>
      <w:r w:rsidR="0061777A" w:rsidRPr="0D317180">
        <w:rPr>
          <w:rFonts w:ascii="Aptos" w:eastAsia="Aptos" w:hAnsi="Aptos" w:cs="Aptos"/>
          <w:vertAlign w:val="superscript"/>
        </w:rPr>
        <w:t>th</w:t>
      </w:r>
      <w:r w:rsidR="0061777A" w:rsidRPr="0D317180">
        <w:rPr>
          <w:rFonts w:ascii="Aptos" w:eastAsia="Aptos" w:hAnsi="Aptos" w:cs="Aptos"/>
        </w:rPr>
        <w:t xml:space="preserve"> July 2026).</w:t>
      </w:r>
    </w:p>
    <w:p w14:paraId="6896C38E" w14:textId="2E4A9C2F" w:rsidR="00515FD3" w:rsidRDefault="00515FD3" w:rsidP="0D317180">
      <w:pPr>
        <w:spacing w:before="240" w:after="240"/>
        <w:rPr>
          <w:rFonts w:ascii="Aptos" w:eastAsia="Aptos" w:hAnsi="Aptos" w:cs="Aptos"/>
        </w:rPr>
      </w:pPr>
      <w:r w:rsidRPr="0D317180">
        <w:rPr>
          <w:rFonts w:ascii="Aptos" w:eastAsia="Aptos" w:hAnsi="Aptos" w:cs="Aptos"/>
        </w:rPr>
        <w:t xml:space="preserve">     </w:t>
      </w:r>
      <w:r w:rsidR="0BAC43C0" w:rsidRPr="0D317180">
        <w:rPr>
          <w:rFonts w:ascii="Aptos" w:eastAsia="Aptos" w:hAnsi="Aptos" w:cs="Aptos"/>
        </w:rPr>
        <w:t xml:space="preserve">Department of Statistics Malaysia (DOSM) (2025) </w:t>
      </w:r>
      <w:r w:rsidR="0BAC43C0" w:rsidRPr="0D317180">
        <w:rPr>
          <w:rFonts w:ascii="Aptos" w:eastAsia="Aptos" w:hAnsi="Aptos" w:cs="Aptos"/>
          <w:i/>
          <w:iCs/>
        </w:rPr>
        <w:t>Tourism Satellite Account 2024</w:t>
      </w:r>
      <w:r w:rsidR="0BAC43C0" w:rsidRPr="0D317180">
        <w:rPr>
          <w:rFonts w:ascii="Aptos" w:eastAsia="Aptos" w:hAnsi="Aptos" w:cs="Aptos"/>
        </w:rPr>
        <w:t xml:space="preserve">. Available at: </w:t>
      </w:r>
      <w:hyperlink r:id="rId11">
        <w:r w:rsidR="0BAC43C0" w:rsidRPr="0D317180">
          <w:rPr>
            <w:rStyle w:val="Hyperlink"/>
          </w:rPr>
          <w:t>https://www.dosm.gov.my/portal-main/release-content/tourism-satellite-account-2024</w:t>
        </w:r>
      </w:hyperlink>
      <w:r w:rsidR="0BAC43C0" w:rsidRPr="0D317180">
        <w:rPr>
          <w:rFonts w:ascii="Aptos" w:eastAsia="Aptos" w:hAnsi="Aptos" w:cs="Aptos"/>
        </w:rPr>
        <w:t xml:space="preserve"> (Accessed: 1</w:t>
      </w:r>
      <w:r w:rsidR="3D9779C7" w:rsidRPr="0D317180">
        <w:rPr>
          <w:rFonts w:ascii="Aptos" w:eastAsia="Aptos" w:hAnsi="Aptos" w:cs="Aptos"/>
        </w:rPr>
        <w:t>1</w:t>
      </w:r>
      <w:r w:rsidR="3D9779C7" w:rsidRPr="0D317180">
        <w:rPr>
          <w:rFonts w:ascii="Aptos" w:eastAsia="Aptos" w:hAnsi="Aptos" w:cs="Aptos"/>
          <w:vertAlign w:val="superscript"/>
        </w:rPr>
        <w:t>th</w:t>
      </w:r>
      <w:r w:rsidR="0BAC43C0" w:rsidRPr="0D317180">
        <w:rPr>
          <w:rFonts w:ascii="Aptos" w:eastAsia="Aptos" w:hAnsi="Aptos" w:cs="Aptos"/>
        </w:rPr>
        <w:t xml:space="preserve"> July 2026).</w:t>
      </w:r>
    </w:p>
    <w:p w14:paraId="6B1425B4" w14:textId="6905CD56" w:rsidR="13473C52" w:rsidRDefault="13473C52" w:rsidP="0D317180">
      <w:pPr>
        <w:spacing w:before="240" w:after="240"/>
        <w:rPr>
          <w:rFonts w:ascii="Aptos" w:eastAsia="Aptos" w:hAnsi="Aptos" w:cs="Aptos"/>
        </w:rPr>
      </w:pPr>
      <w:r w:rsidRPr="0D317180">
        <w:rPr>
          <w:rFonts w:ascii="Aptos" w:eastAsia="Aptos" w:hAnsi="Aptos" w:cs="Aptos"/>
        </w:rPr>
        <w:t xml:space="preserve">     </w:t>
      </w:r>
      <w:r w:rsidR="0BAC43C0" w:rsidRPr="0D317180">
        <w:rPr>
          <w:rFonts w:ascii="Aptos" w:eastAsia="Aptos" w:hAnsi="Aptos" w:cs="Aptos"/>
        </w:rPr>
        <w:t xml:space="preserve">Güzel, F. et al. (2020) ‘Sustainable Tourism and the Roles of Tour Guides in Destinations: A Qualitative Case Study in Turkey’, </w:t>
      </w:r>
      <w:r w:rsidR="0BAC43C0" w:rsidRPr="0D317180">
        <w:rPr>
          <w:rFonts w:ascii="Aptos" w:eastAsia="Aptos" w:hAnsi="Aptos" w:cs="Aptos"/>
          <w:i/>
          <w:iCs/>
        </w:rPr>
        <w:t>Journal of Economy Culture and Society</w:t>
      </w:r>
      <w:r w:rsidR="0BAC43C0" w:rsidRPr="0D317180">
        <w:rPr>
          <w:rFonts w:ascii="Aptos" w:eastAsia="Aptos" w:hAnsi="Aptos" w:cs="Aptos"/>
        </w:rPr>
        <w:t xml:space="preserve">, 63, pp.149–163. Available at: </w:t>
      </w:r>
      <w:hyperlink r:id="rId12">
        <w:r w:rsidR="0BAC43C0" w:rsidRPr="0D317180">
          <w:rPr>
            <w:rStyle w:val="Hyperlink"/>
          </w:rPr>
          <w:t>https://doi.org/10.26650/jecs2020-0015</w:t>
        </w:r>
      </w:hyperlink>
      <w:r w:rsidR="0061777A">
        <w:rPr>
          <w:rFonts w:ascii="Aptos" w:eastAsia="Aptos" w:hAnsi="Aptos" w:cs="Aptos"/>
        </w:rPr>
        <w:t xml:space="preserve"> </w:t>
      </w:r>
      <w:r w:rsidR="0061777A" w:rsidRPr="0D317180">
        <w:rPr>
          <w:rFonts w:ascii="Aptos" w:eastAsia="Aptos" w:hAnsi="Aptos" w:cs="Aptos"/>
        </w:rPr>
        <w:t>(Accessed: 1</w:t>
      </w:r>
      <w:r w:rsidR="0061777A">
        <w:rPr>
          <w:rFonts w:ascii="Aptos" w:eastAsia="Aptos" w:hAnsi="Aptos" w:cs="Aptos"/>
        </w:rPr>
        <w:t>0</w:t>
      </w:r>
      <w:r w:rsidR="0061777A" w:rsidRPr="0D317180">
        <w:rPr>
          <w:rFonts w:ascii="Aptos" w:eastAsia="Aptos" w:hAnsi="Aptos" w:cs="Aptos"/>
          <w:vertAlign w:val="superscript"/>
        </w:rPr>
        <w:t>th</w:t>
      </w:r>
      <w:r w:rsidR="0061777A" w:rsidRPr="0D317180">
        <w:rPr>
          <w:rFonts w:ascii="Aptos" w:eastAsia="Aptos" w:hAnsi="Aptos" w:cs="Aptos"/>
        </w:rPr>
        <w:t xml:space="preserve"> July 2026).</w:t>
      </w:r>
    </w:p>
    <w:p w14:paraId="2AA4E70D" w14:textId="5D26F832" w:rsidR="0061777A" w:rsidRDefault="67B7F0C5" w:rsidP="0D317180">
      <w:pPr>
        <w:spacing w:before="240" w:after="240"/>
        <w:rPr>
          <w:rFonts w:ascii="Aptos" w:eastAsia="Aptos" w:hAnsi="Aptos" w:cs="Aptos"/>
        </w:rPr>
      </w:pPr>
      <w:r w:rsidRPr="0D317180">
        <w:rPr>
          <w:rFonts w:ascii="Aptos" w:eastAsia="Aptos" w:hAnsi="Aptos" w:cs="Aptos"/>
        </w:rPr>
        <w:t xml:space="preserve">     Huang, S., Hsu, C.H.C. and Chan, A. (2010) ‘Tour guide performance and tourist satisfaction: A study of the package tours in Shanghai’, </w:t>
      </w:r>
      <w:r w:rsidRPr="0D317180">
        <w:rPr>
          <w:rFonts w:ascii="Aptos" w:eastAsia="Aptos" w:hAnsi="Aptos" w:cs="Aptos"/>
          <w:i/>
          <w:iCs/>
        </w:rPr>
        <w:t>Journal of Hospitality &amp; Tourism Research</w:t>
      </w:r>
      <w:r w:rsidRPr="0D317180">
        <w:rPr>
          <w:rFonts w:ascii="Aptos" w:eastAsia="Aptos" w:hAnsi="Aptos" w:cs="Aptos"/>
        </w:rPr>
        <w:t xml:space="preserve">, 34(1), pp. 3–33. </w:t>
      </w:r>
      <w:hyperlink r:id="rId13" w:history="1">
        <w:r w:rsidR="0061777A" w:rsidRPr="004A168A">
          <w:rPr>
            <w:rStyle w:val="Hyperlink"/>
            <w:rFonts w:ascii="Aptos" w:eastAsia="Aptos" w:hAnsi="Aptos" w:cs="Aptos"/>
          </w:rPr>
          <w:t>https://doi.org/10.1177/1096348009349815</w:t>
        </w:r>
      </w:hyperlink>
      <w:r w:rsidR="0061777A">
        <w:rPr>
          <w:rFonts w:ascii="Aptos" w:eastAsia="Aptos" w:hAnsi="Aptos" w:cs="Aptos"/>
        </w:rPr>
        <w:t xml:space="preserve"> </w:t>
      </w:r>
      <w:r w:rsidR="0061777A" w:rsidRPr="0D317180">
        <w:rPr>
          <w:rFonts w:ascii="Aptos" w:eastAsia="Aptos" w:hAnsi="Aptos" w:cs="Aptos"/>
        </w:rPr>
        <w:t>(Accessed: 11</w:t>
      </w:r>
      <w:r w:rsidR="0061777A" w:rsidRPr="0D317180">
        <w:rPr>
          <w:rFonts w:ascii="Aptos" w:eastAsia="Aptos" w:hAnsi="Aptos" w:cs="Aptos"/>
          <w:vertAlign w:val="superscript"/>
        </w:rPr>
        <w:t>th</w:t>
      </w:r>
      <w:r w:rsidR="0061777A" w:rsidRPr="0D317180">
        <w:rPr>
          <w:rFonts w:ascii="Aptos" w:eastAsia="Aptos" w:hAnsi="Aptos" w:cs="Aptos"/>
        </w:rPr>
        <w:t xml:space="preserve"> July 2026).</w:t>
      </w:r>
    </w:p>
    <w:p w14:paraId="35BB1335" w14:textId="25534BEB" w:rsidR="67B7F0C5" w:rsidRDefault="67B7F0C5" w:rsidP="0D317180">
      <w:pPr>
        <w:spacing w:before="240" w:after="240"/>
        <w:rPr>
          <w:rFonts w:ascii="Aptos" w:eastAsia="Aptos" w:hAnsi="Aptos" w:cs="Aptos"/>
        </w:rPr>
      </w:pPr>
      <w:r w:rsidRPr="0D317180">
        <w:rPr>
          <w:rFonts w:ascii="Aptos" w:eastAsia="Aptos" w:hAnsi="Aptos" w:cs="Aptos"/>
        </w:rPr>
        <w:t xml:space="preserve">     Huang, S., Weiler, B. and Assaker, G. (2015) ‘Effects of interpretive guiding outcomes on tourist satisfaction and behavioral intention’, </w:t>
      </w:r>
      <w:r w:rsidRPr="0D317180">
        <w:rPr>
          <w:rFonts w:ascii="Aptos" w:eastAsia="Aptos" w:hAnsi="Aptos" w:cs="Aptos"/>
          <w:i/>
          <w:iCs/>
        </w:rPr>
        <w:t>Journal of Travel Research</w:t>
      </w:r>
      <w:r w:rsidRPr="0D317180">
        <w:rPr>
          <w:rFonts w:ascii="Aptos" w:eastAsia="Aptos" w:hAnsi="Aptos" w:cs="Aptos"/>
        </w:rPr>
        <w:t xml:space="preserve">, 54(3), pp. 344–358. </w:t>
      </w:r>
      <w:hyperlink r:id="rId14">
        <w:r w:rsidRPr="0D317180">
          <w:rPr>
            <w:rStyle w:val="Hyperlink"/>
          </w:rPr>
          <w:t>https://doi.org/10.1177/0047287513517426</w:t>
        </w:r>
      </w:hyperlink>
      <w:r w:rsidR="0061777A">
        <w:t xml:space="preserve"> </w:t>
      </w:r>
      <w:r w:rsidR="0061777A" w:rsidRPr="0D317180">
        <w:rPr>
          <w:rFonts w:ascii="Aptos" w:eastAsia="Aptos" w:hAnsi="Aptos" w:cs="Aptos"/>
        </w:rPr>
        <w:t>(Accessed: 11</w:t>
      </w:r>
      <w:r w:rsidR="0061777A" w:rsidRPr="0D317180">
        <w:rPr>
          <w:rFonts w:ascii="Aptos" w:eastAsia="Aptos" w:hAnsi="Aptos" w:cs="Aptos"/>
          <w:vertAlign w:val="superscript"/>
        </w:rPr>
        <w:t>th</w:t>
      </w:r>
      <w:r w:rsidR="0061777A" w:rsidRPr="0D317180">
        <w:rPr>
          <w:rFonts w:ascii="Aptos" w:eastAsia="Aptos" w:hAnsi="Aptos" w:cs="Aptos"/>
        </w:rPr>
        <w:t xml:space="preserve"> July 2026).</w:t>
      </w:r>
    </w:p>
    <w:p w14:paraId="50FF8C42" w14:textId="5E7A0567" w:rsidR="3C7C2536" w:rsidRDefault="3C7C2536" w:rsidP="0D317180">
      <w:pPr>
        <w:spacing w:before="240" w:after="240"/>
        <w:rPr>
          <w:rFonts w:ascii="Aptos" w:eastAsia="Aptos" w:hAnsi="Aptos" w:cs="Aptos"/>
        </w:rPr>
      </w:pPr>
      <w:r w:rsidRPr="0D317180">
        <w:rPr>
          <w:rFonts w:ascii="Aptos" w:eastAsia="Aptos" w:hAnsi="Aptos" w:cs="Aptos"/>
        </w:rPr>
        <w:t xml:space="preserve">     </w:t>
      </w:r>
      <w:r w:rsidR="0BAC43C0" w:rsidRPr="0D317180">
        <w:rPr>
          <w:rFonts w:ascii="Aptos" w:eastAsia="Aptos" w:hAnsi="Aptos" w:cs="Aptos"/>
        </w:rPr>
        <w:t xml:space="preserve">Nowacki, M. (2021) ‘Heritage Interpretation and Sustainable Development: A Systematic Literature Review’, </w:t>
      </w:r>
      <w:r w:rsidR="0BAC43C0" w:rsidRPr="0D317180">
        <w:rPr>
          <w:rFonts w:ascii="Aptos" w:eastAsia="Aptos" w:hAnsi="Aptos" w:cs="Aptos"/>
          <w:i/>
          <w:iCs/>
        </w:rPr>
        <w:t>Sustainability</w:t>
      </w:r>
      <w:r w:rsidR="0BAC43C0" w:rsidRPr="0D317180">
        <w:rPr>
          <w:rFonts w:ascii="Aptos" w:eastAsia="Aptos" w:hAnsi="Aptos" w:cs="Aptos"/>
        </w:rPr>
        <w:t xml:space="preserve">, 13(8), p.4383. Available at: </w:t>
      </w:r>
      <w:hyperlink r:id="rId15">
        <w:r w:rsidR="0BAC43C0" w:rsidRPr="0D317180">
          <w:rPr>
            <w:rStyle w:val="Hyperlink"/>
          </w:rPr>
          <w:t>https://doi.org/10.3390/su13084383</w:t>
        </w:r>
      </w:hyperlink>
      <w:r w:rsidR="0061777A">
        <w:rPr>
          <w:rFonts w:ascii="Aptos" w:eastAsia="Aptos" w:hAnsi="Aptos" w:cs="Aptos"/>
        </w:rPr>
        <w:t xml:space="preserve"> </w:t>
      </w:r>
      <w:r w:rsidR="0061777A" w:rsidRPr="0D317180">
        <w:rPr>
          <w:rFonts w:ascii="Aptos" w:eastAsia="Aptos" w:hAnsi="Aptos" w:cs="Aptos"/>
        </w:rPr>
        <w:t xml:space="preserve">(Accessed: </w:t>
      </w:r>
      <w:r w:rsidR="0061777A">
        <w:rPr>
          <w:rFonts w:ascii="Aptos" w:eastAsia="Aptos" w:hAnsi="Aptos" w:cs="Aptos"/>
        </w:rPr>
        <w:t>9</w:t>
      </w:r>
      <w:r w:rsidR="0061777A" w:rsidRPr="0D317180">
        <w:rPr>
          <w:rFonts w:ascii="Aptos" w:eastAsia="Aptos" w:hAnsi="Aptos" w:cs="Aptos"/>
          <w:vertAlign w:val="superscript"/>
        </w:rPr>
        <w:t>th</w:t>
      </w:r>
      <w:r w:rsidR="0061777A" w:rsidRPr="0D317180">
        <w:rPr>
          <w:rFonts w:ascii="Aptos" w:eastAsia="Aptos" w:hAnsi="Aptos" w:cs="Aptos"/>
        </w:rPr>
        <w:t xml:space="preserve"> July 2026).</w:t>
      </w:r>
    </w:p>
    <w:p w14:paraId="4347091F" w14:textId="73D4DC4E" w:rsidR="0512D05A" w:rsidRDefault="0512D05A" w:rsidP="0D317180">
      <w:pPr>
        <w:spacing w:before="240" w:after="240"/>
        <w:rPr>
          <w:rFonts w:ascii="Aptos" w:eastAsia="Aptos" w:hAnsi="Aptos" w:cs="Aptos"/>
        </w:rPr>
      </w:pPr>
      <w:r w:rsidRPr="0D317180">
        <w:rPr>
          <w:rFonts w:ascii="Aptos" w:eastAsia="Aptos" w:hAnsi="Aptos" w:cs="Aptos"/>
        </w:rPr>
        <w:t xml:space="preserve">     </w:t>
      </w:r>
      <w:r w:rsidR="0BAC43C0" w:rsidRPr="0D317180">
        <w:rPr>
          <w:rFonts w:ascii="Aptos" w:eastAsia="Aptos" w:hAnsi="Aptos" w:cs="Aptos"/>
        </w:rPr>
        <w:t xml:space="preserve">OECD (2024) </w:t>
      </w:r>
      <w:r w:rsidR="0BAC43C0" w:rsidRPr="0D317180">
        <w:rPr>
          <w:rFonts w:ascii="Aptos" w:eastAsia="Aptos" w:hAnsi="Aptos" w:cs="Aptos"/>
          <w:i/>
          <w:iCs/>
        </w:rPr>
        <w:t>OECD Tourism Trends and Policies 2024</w:t>
      </w:r>
      <w:r w:rsidR="0BAC43C0" w:rsidRPr="0D317180">
        <w:rPr>
          <w:rFonts w:ascii="Aptos" w:eastAsia="Aptos" w:hAnsi="Aptos" w:cs="Aptos"/>
        </w:rPr>
        <w:t xml:space="preserve">. Available at: </w:t>
      </w:r>
      <w:hyperlink r:id="rId16">
        <w:r w:rsidR="0BAC43C0" w:rsidRPr="0D317180">
          <w:rPr>
            <w:rStyle w:val="Hyperlink"/>
          </w:rPr>
          <w:t>https://www.oecd.org/en/publications/oecd-tourism-trends-and-policies-2024_80885d8b-en.html</w:t>
        </w:r>
      </w:hyperlink>
      <w:r w:rsidR="0BAC43C0" w:rsidRPr="0D317180">
        <w:rPr>
          <w:rFonts w:ascii="Aptos" w:eastAsia="Aptos" w:hAnsi="Aptos" w:cs="Aptos"/>
        </w:rPr>
        <w:t xml:space="preserve"> (Accessed: 1</w:t>
      </w:r>
      <w:r w:rsidR="083F9169" w:rsidRPr="0D317180">
        <w:rPr>
          <w:rFonts w:ascii="Aptos" w:eastAsia="Aptos" w:hAnsi="Aptos" w:cs="Aptos"/>
        </w:rPr>
        <w:t>0</w:t>
      </w:r>
      <w:r w:rsidR="083F9169" w:rsidRPr="0D317180">
        <w:rPr>
          <w:rFonts w:ascii="Aptos" w:eastAsia="Aptos" w:hAnsi="Aptos" w:cs="Aptos"/>
          <w:vertAlign w:val="superscript"/>
        </w:rPr>
        <w:t>th</w:t>
      </w:r>
      <w:r w:rsidR="0BAC43C0" w:rsidRPr="0D317180">
        <w:rPr>
          <w:rFonts w:ascii="Aptos" w:eastAsia="Aptos" w:hAnsi="Aptos" w:cs="Aptos"/>
        </w:rPr>
        <w:t xml:space="preserve"> July 2026).</w:t>
      </w:r>
    </w:p>
    <w:p w14:paraId="6AA5D98A" w14:textId="3DEF0A9A" w:rsidR="1F9ECFDA" w:rsidRDefault="1F9ECFDA" w:rsidP="0D317180">
      <w:pPr>
        <w:spacing w:before="240" w:after="240"/>
        <w:rPr>
          <w:rFonts w:ascii="Aptos" w:eastAsia="Aptos" w:hAnsi="Aptos" w:cs="Aptos"/>
        </w:rPr>
      </w:pPr>
      <w:r w:rsidRPr="0D317180">
        <w:rPr>
          <w:rFonts w:ascii="Aptos" w:eastAsia="Aptos" w:hAnsi="Aptos" w:cs="Aptos"/>
        </w:rPr>
        <w:t xml:space="preserve">     </w:t>
      </w:r>
      <w:r w:rsidR="0BAC43C0" w:rsidRPr="0D317180">
        <w:rPr>
          <w:rFonts w:ascii="Aptos" w:eastAsia="Aptos" w:hAnsi="Aptos" w:cs="Aptos"/>
        </w:rPr>
        <w:t xml:space="preserve">Reuters Staff (2025) ‘Malaysia Misses 2024 Tourist Arrival Targets Despite Reporting Over 25 Mln Visitors’, </w:t>
      </w:r>
      <w:r w:rsidR="0BAC43C0" w:rsidRPr="0D317180">
        <w:rPr>
          <w:rFonts w:ascii="Aptos" w:eastAsia="Aptos" w:hAnsi="Aptos" w:cs="Aptos"/>
          <w:i/>
          <w:iCs/>
        </w:rPr>
        <w:t>Reuters</w:t>
      </w:r>
      <w:r w:rsidR="0BAC43C0" w:rsidRPr="0D317180">
        <w:rPr>
          <w:rFonts w:ascii="Aptos" w:eastAsia="Aptos" w:hAnsi="Aptos" w:cs="Aptos"/>
        </w:rPr>
        <w:t xml:space="preserve">, 5 February. Available at: </w:t>
      </w:r>
      <w:hyperlink r:id="rId17">
        <w:r w:rsidR="0BAC43C0" w:rsidRPr="0D317180">
          <w:rPr>
            <w:rStyle w:val="Hyperlink"/>
          </w:rPr>
          <w:t>https://www.reuters.com/world/asia-pacific/malaysia-misses-2024-tourist-arrival-targets-despite-reporting-over-25-mln-2025-02-05/</w:t>
        </w:r>
      </w:hyperlink>
      <w:r w:rsidR="0BAC43C0" w:rsidRPr="0D317180">
        <w:rPr>
          <w:rFonts w:ascii="Aptos" w:eastAsia="Aptos" w:hAnsi="Aptos" w:cs="Aptos"/>
        </w:rPr>
        <w:t xml:space="preserve"> (Accessed: </w:t>
      </w:r>
      <w:r w:rsidR="0AC185E3" w:rsidRPr="0D317180">
        <w:rPr>
          <w:rFonts w:ascii="Aptos" w:eastAsia="Aptos" w:hAnsi="Aptos" w:cs="Aptos"/>
        </w:rPr>
        <w:t>9</w:t>
      </w:r>
      <w:r w:rsidR="0AC185E3" w:rsidRPr="0D317180">
        <w:rPr>
          <w:rFonts w:ascii="Aptos" w:eastAsia="Aptos" w:hAnsi="Aptos" w:cs="Aptos"/>
          <w:vertAlign w:val="superscript"/>
        </w:rPr>
        <w:t>th</w:t>
      </w:r>
      <w:r w:rsidR="0BAC43C0" w:rsidRPr="0D317180">
        <w:rPr>
          <w:rFonts w:ascii="Aptos" w:eastAsia="Aptos" w:hAnsi="Aptos" w:cs="Aptos"/>
        </w:rPr>
        <w:t xml:space="preserve"> July 2026).</w:t>
      </w:r>
    </w:p>
    <w:p w14:paraId="74FC7D7B" w14:textId="5464E1CF" w:rsidR="100E9643" w:rsidRDefault="100E9643" w:rsidP="0D317180">
      <w:pPr>
        <w:spacing w:before="240" w:after="240"/>
        <w:rPr>
          <w:rFonts w:ascii="Aptos" w:eastAsia="Aptos" w:hAnsi="Aptos" w:cs="Aptos"/>
        </w:rPr>
      </w:pPr>
      <w:r w:rsidRPr="0D317180">
        <w:rPr>
          <w:rFonts w:ascii="Aptos" w:eastAsia="Aptos" w:hAnsi="Aptos" w:cs="Aptos"/>
        </w:rPr>
        <w:t xml:space="preserve">     </w:t>
      </w:r>
      <w:r w:rsidR="0BAC43C0" w:rsidRPr="0D317180">
        <w:rPr>
          <w:rFonts w:ascii="Aptos" w:eastAsia="Aptos" w:hAnsi="Aptos" w:cs="Aptos"/>
        </w:rPr>
        <w:t xml:space="preserve">Romera, F. et al. (2024) ‘Heritage Education Towards Sustainable Development in Tourism: An Inclusive Systematic Literature Review’, </w:t>
      </w:r>
      <w:r w:rsidR="0BAC43C0" w:rsidRPr="0D317180">
        <w:rPr>
          <w:rFonts w:ascii="Aptos" w:eastAsia="Aptos" w:hAnsi="Aptos" w:cs="Aptos"/>
          <w:i/>
          <w:iCs/>
        </w:rPr>
        <w:t>Tourism Recreation Research</w:t>
      </w:r>
      <w:r w:rsidR="0BAC43C0" w:rsidRPr="0D317180">
        <w:rPr>
          <w:rFonts w:ascii="Aptos" w:eastAsia="Aptos" w:hAnsi="Aptos" w:cs="Aptos"/>
        </w:rPr>
        <w:t xml:space="preserve">, pp.1–23. Available at: </w:t>
      </w:r>
      <w:hyperlink r:id="rId18">
        <w:r w:rsidR="0BAC43C0" w:rsidRPr="0D317180">
          <w:rPr>
            <w:rStyle w:val="Hyperlink"/>
          </w:rPr>
          <w:t>https://doi.org/10.1080/02508281.2024.2417334</w:t>
        </w:r>
      </w:hyperlink>
      <w:r w:rsidR="0061777A">
        <w:rPr>
          <w:rFonts w:ascii="Aptos" w:eastAsia="Aptos" w:hAnsi="Aptos" w:cs="Aptos"/>
        </w:rPr>
        <w:t xml:space="preserve"> </w:t>
      </w:r>
      <w:r w:rsidR="0061777A" w:rsidRPr="0D317180">
        <w:rPr>
          <w:rFonts w:ascii="Aptos" w:eastAsia="Aptos" w:hAnsi="Aptos" w:cs="Aptos"/>
        </w:rPr>
        <w:t>(Accessed: 1</w:t>
      </w:r>
      <w:r w:rsidR="0061777A">
        <w:rPr>
          <w:rFonts w:ascii="Aptos" w:eastAsia="Aptos" w:hAnsi="Aptos" w:cs="Aptos"/>
        </w:rPr>
        <w:t>0</w:t>
      </w:r>
      <w:r w:rsidR="0061777A" w:rsidRPr="0D317180">
        <w:rPr>
          <w:rFonts w:ascii="Aptos" w:eastAsia="Aptos" w:hAnsi="Aptos" w:cs="Aptos"/>
          <w:vertAlign w:val="superscript"/>
        </w:rPr>
        <w:t>th</w:t>
      </w:r>
      <w:r w:rsidR="0061777A" w:rsidRPr="0D317180">
        <w:rPr>
          <w:rFonts w:ascii="Aptos" w:eastAsia="Aptos" w:hAnsi="Aptos" w:cs="Aptos"/>
        </w:rPr>
        <w:t xml:space="preserve"> July 2026).</w:t>
      </w:r>
    </w:p>
    <w:p w14:paraId="579DE5E0" w14:textId="30070C2F" w:rsidR="0DC7A8FD" w:rsidRDefault="0DC7A8FD" w:rsidP="0D317180">
      <w:pPr>
        <w:spacing w:before="240" w:after="240"/>
        <w:rPr>
          <w:rFonts w:ascii="Aptos" w:eastAsia="Aptos" w:hAnsi="Aptos" w:cs="Aptos"/>
        </w:rPr>
      </w:pPr>
      <w:r w:rsidRPr="0D317180">
        <w:rPr>
          <w:rFonts w:ascii="Aptos" w:eastAsia="Aptos" w:hAnsi="Aptos" w:cs="Aptos"/>
        </w:rPr>
        <w:lastRenderedPageBreak/>
        <w:t xml:space="preserve">     </w:t>
      </w:r>
      <w:r w:rsidR="0BAC43C0" w:rsidRPr="0D317180">
        <w:rPr>
          <w:rFonts w:ascii="Aptos" w:eastAsia="Aptos" w:hAnsi="Aptos" w:cs="Aptos"/>
        </w:rPr>
        <w:t xml:space="preserve">Tourism Malaysia (2024) </w:t>
      </w:r>
      <w:r w:rsidR="0BAC43C0" w:rsidRPr="0D317180">
        <w:rPr>
          <w:rFonts w:ascii="Aptos" w:eastAsia="Aptos" w:hAnsi="Aptos" w:cs="Aptos"/>
          <w:i/>
          <w:iCs/>
        </w:rPr>
        <w:t>Tourism Business, Licensing &amp; Registration</w:t>
      </w:r>
      <w:r w:rsidR="0BAC43C0" w:rsidRPr="0D317180">
        <w:rPr>
          <w:rFonts w:ascii="Aptos" w:eastAsia="Aptos" w:hAnsi="Aptos" w:cs="Aptos"/>
        </w:rPr>
        <w:t xml:space="preserve">. Available at: </w:t>
      </w:r>
      <w:hyperlink r:id="rId19">
        <w:r w:rsidR="0BAC43C0" w:rsidRPr="0D317180">
          <w:rPr>
            <w:rStyle w:val="Hyperlink"/>
          </w:rPr>
          <w:t>https://www.tourism.gov.my/industry/view/tourism-business-licensing-registration</w:t>
        </w:r>
      </w:hyperlink>
      <w:r w:rsidR="0BAC43C0" w:rsidRPr="0D317180">
        <w:rPr>
          <w:rFonts w:ascii="Aptos" w:eastAsia="Aptos" w:hAnsi="Aptos" w:cs="Aptos"/>
        </w:rPr>
        <w:t xml:space="preserve"> (Accessed: </w:t>
      </w:r>
      <w:r w:rsidR="08D1DED7" w:rsidRPr="0D317180">
        <w:rPr>
          <w:rFonts w:ascii="Aptos" w:eastAsia="Aptos" w:hAnsi="Aptos" w:cs="Aptos"/>
        </w:rPr>
        <w:t>10</w:t>
      </w:r>
      <w:r w:rsidR="08D1DED7" w:rsidRPr="0D317180">
        <w:rPr>
          <w:rFonts w:ascii="Aptos" w:eastAsia="Aptos" w:hAnsi="Aptos" w:cs="Aptos"/>
          <w:vertAlign w:val="superscript"/>
        </w:rPr>
        <w:t>th</w:t>
      </w:r>
      <w:r w:rsidR="0BAC43C0" w:rsidRPr="0D317180">
        <w:rPr>
          <w:rFonts w:ascii="Aptos" w:eastAsia="Aptos" w:hAnsi="Aptos" w:cs="Aptos"/>
        </w:rPr>
        <w:t xml:space="preserve"> July 2026).</w:t>
      </w:r>
    </w:p>
    <w:p w14:paraId="45E38813" w14:textId="298CC33C" w:rsidR="798B4A53" w:rsidRDefault="798B4A53" w:rsidP="0D317180">
      <w:pPr>
        <w:spacing w:before="240" w:after="240"/>
        <w:rPr>
          <w:rFonts w:ascii="Aptos" w:eastAsia="Aptos" w:hAnsi="Aptos" w:cs="Aptos"/>
        </w:rPr>
      </w:pPr>
      <w:r w:rsidRPr="0D317180">
        <w:rPr>
          <w:rFonts w:ascii="Aptos" w:eastAsia="Aptos" w:hAnsi="Aptos" w:cs="Aptos"/>
        </w:rPr>
        <w:t xml:space="preserve">     </w:t>
      </w:r>
      <w:r w:rsidR="0BAC43C0" w:rsidRPr="0D317180">
        <w:rPr>
          <w:rFonts w:ascii="Aptos" w:eastAsia="Aptos" w:hAnsi="Aptos" w:cs="Aptos"/>
        </w:rPr>
        <w:t xml:space="preserve">Ministry of Tourism, Arts and Culture (MOTAC) (2025) </w:t>
      </w:r>
      <w:r w:rsidR="0BAC43C0" w:rsidRPr="0D317180">
        <w:rPr>
          <w:rFonts w:ascii="Aptos" w:eastAsia="Aptos" w:hAnsi="Aptos" w:cs="Aptos"/>
          <w:i/>
          <w:iCs/>
        </w:rPr>
        <w:t>Official Portal</w:t>
      </w:r>
      <w:r w:rsidR="0BAC43C0" w:rsidRPr="0D317180">
        <w:rPr>
          <w:rFonts w:ascii="Aptos" w:eastAsia="Aptos" w:hAnsi="Aptos" w:cs="Aptos"/>
        </w:rPr>
        <w:t xml:space="preserve">. Available at: </w:t>
      </w:r>
      <w:hyperlink r:id="rId20">
        <w:r w:rsidR="0BAC43C0" w:rsidRPr="0D317180">
          <w:rPr>
            <w:rStyle w:val="Hyperlink"/>
          </w:rPr>
          <w:t>https://www.motac.gov.my/en/</w:t>
        </w:r>
      </w:hyperlink>
      <w:r w:rsidR="0BAC43C0" w:rsidRPr="0D317180">
        <w:rPr>
          <w:rFonts w:ascii="Aptos" w:eastAsia="Aptos" w:hAnsi="Aptos" w:cs="Aptos"/>
        </w:rPr>
        <w:t xml:space="preserve"> (Accessed: 1</w:t>
      </w:r>
      <w:r w:rsidR="467C0CFD" w:rsidRPr="0D317180">
        <w:rPr>
          <w:rFonts w:ascii="Aptos" w:eastAsia="Aptos" w:hAnsi="Aptos" w:cs="Aptos"/>
        </w:rPr>
        <w:t>1</w:t>
      </w:r>
      <w:r w:rsidR="467C0CFD" w:rsidRPr="0D317180">
        <w:rPr>
          <w:rFonts w:ascii="Aptos" w:eastAsia="Aptos" w:hAnsi="Aptos" w:cs="Aptos"/>
          <w:vertAlign w:val="superscript"/>
        </w:rPr>
        <w:t>th</w:t>
      </w:r>
      <w:r w:rsidR="0BAC43C0" w:rsidRPr="0D317180">
        <w:rPr>
          <w:rFonts w:ascii="Aptos" w:eastAsia="Aptos" w:hAnsi="Aptos" w:cs="Aptos"/>
        </w:rPr>
        <w:t xml:space="preserve"> July 2026).</w:t>
      </w:r>
    </w:p>
    <w:p w14:paraId="51BC5D75" w14:textId="72A4D851" w:rsidR="18D3F31B" w:rsidRDefault="18D3F31B" w:rsidP="0D317180">
      <w:pPr>
        <w:spacing w:before="240" w:after="240"/>
        <w:rPr>
          <w:rFonts w:ascii="Aptos" w:eastAsia="Aptos" w:hAnsi="Aptos" w:cs="Aptos"/>
        </w:rPr>
      </w:pPr>
      <w:r w:rsidRPr="0D317180">
        <w:rPr>
          <w:rFonts w:ascii="Aptos" w:eastAsia="Aptos" w:hAnsi="Aptos" w:cs="Aptos"/>
        </w:rPr>
        <w:t xml:space="preserve">     </w:t>
      </w:r>
      <w:r w:rsidR="0BAC43C0" w:rsidRPr="0D317180">
        <w:rPr>
          <w:rFonts w:ascii="Aptos" w:eastAsia="Aptos" w:hAnsi="Aptos" w:cs="Aptos"/>
        </w:rPr>
        <w:t xml:space="preserve">Ministry of Tourism, Arts and Culture (MOTAC) (2025) </w:t>
      </w:r>
      <w:r w:rsidR="0BAC43C0" w:rsidRPr="0D317180">
        <w:rPr>
          <w:rFonts w:ascii="Aptos" w:eastAsia="Aptos" w:hAnsi="Aptos" w:cs="Aptos"/>
          <w:i/>
          <w:iCs/>
        </w:rPr>
        <w:t>Enforcement Action Against Unlicensed Tourism Activities</w:t>
      </w:r>
      <w:r w:rsidR="0BAC43C0" w:rsidRPr="0D317180">
        <w:rPr>
          <w:rFonts w:ascii="Aptos" w:eastAsia="Aptos" w:hAnsi="Aptos" w:cs="Aptos"/>
        </w:rPr>
        <w:t xml:space="preserve">. Available at: </w:t>
      </w:r>
      <w:hyperlink r:id="rId21">
        <w:r w:rsidR="0BAC43C0" w:rsidRPr="0D317180">
          <w:rPr>
            <w:rStyle w:val="Hyperlink"/>
          </w:rPr>
          <w:t>https://www.motac.gov.my/en/enforcement-action-against-unlicensed-tourism-activities/</w:t>
        </w:r>
      </w:hyperlink>
      <w:r w:rsidR="0BAC43C0" w:rsidRPr="0D317180">
        <w:rPr>
          <w:rFonts w:ascii="Aptos" w:eastAsia="Aptos" w:hAnsi="Aptos" w:cs="Aptos"/>
        </w:rPr>
        <w:t xml:space="preserve"> (Accessed: 11</w:t>
      </w:r>
      <w:r w:rsidR="7A362918" w:rsidRPr="0D317180">
        <w:rPr>
          <w:rFonts w:ascii="Aptos" w:eastAsia="Aptos" w:hAnsi="Aptos" w:cs="Aptos"/>
          <w:vertAlign w:val="superscript"/>
        </w:rPr>
        <w:t>th</w:t>
      </w:r>
      <w:r w:rsidR="7A362918" w:rsidRPr="0D317180">
        <w:rPr>
          <w:rFonts w:ascii="Aptos" w:eastAsia="Aptos" w:hAnsi="Aptos" w:cs="Aptos"/>
        </w:rPr>
        <w:t xml:space="preserve"> </w:t>
      </w:r>
      <w:r w:rsidR="0BAC43C0" w:rsidRPr="0D317180">
        <w:rPr>
          <w:rFonts w:ascii="Aptos" w:eastAsia="Aptos" w:hAnsi="Aptos" w:cs="Aptos"/>
        </w:rPr>
        <w:t>July 2026).</w:t>
      </w:r>
    </w:p>
    <w:p w14:paraId="151B13EB" w14:textId="640D869A" w:rsidR="4AE42C7D" w:rsidRDefault="4AE42C7D" w:rsidP="0D317180">
      <w:pPr>
        <w:spacing w:before="240" w:after="240"/>
        <w:rPr>
          <w:rFonts w:ascii="Aptos" w:eastAsia="Aptos" w:hAnsi="Aptos" w:cs="Aptos"/>
        </w:rPr>
      </w:pPr>
      <w:r w:rsidRPr="0D317180">
        <w:rPr>
          <w:rFonts w:ascii="Aptos" w:eastAsia="Aptos" w:hAnsi="Aptos" w:cs="Aptos"/>
        </w:rPr>
        <w:t xml:space="preserve">     </w:t>
      </w:r>
      <w:r w:rsidR="0BAC43C0" w:rsidRPr="0D317180">
        <w:rPr>
          <w:rFonts w:ascii="Aptos" w:eastAsia="Aptos" w:hAnsi="Aptos" w:cs="Aptos"/>
        </w:rPr>
        <w:t xml:space="preserve">Malaysia Government (2026) </w:t>
      </w:r>
      <w:r w:rsidR="0BAC43C0" w:rsidRPr="0D317180">
        <w:rPr>
          <w:rFonts w:ascii="Aptos" w:eastAsia="Aptos" w:hAnsi="Aptos" w:cs="Aptos"/>
          <w:i/>
          <w:iCs/>
        </w:rPr>
        <w:t>Licensed Tourist Guide Search</w:t>
      </w:r>
      <w:r w:rsidR="0BAC43C0" w:rsidRPr="0D317180">
        <w:rPr>
          <w:rFonts w:ascii="Aptos" w:eastAsia="Aptos" w:hAnsi="Aptos" w:cs="Aptos"/>
        </w:rPr>
        <w:t xml:space="preserve">. Available at: </w:t>
      </w:r>
      <w:hyperlink r:id="rId22">
        <w:r w:rsidR="0BAC43C0" w:rsidRPr="0D317180">
          <w:rPr>
            <w:rStyle w:val="Hyperlink"/>
          </w:rPr>
          <w:t>https://www.malaysia.gov.my/en/digital-services/licensed-tourist-guide-search</w:t>
        </w:r>
      </w:hyperlink>
      <w:r w:rsidR="0BAC43C0" w:rsidRPr="0D317180">
        <w:rPr>
          <w:rFonts w:ascii="Aptos" w:eastAsia="Aptos" w:hAnsi="Aptos" w:cs="Aptos"/>
        </w:rPr>
        <w:t xml:space="preserve"> (Accessed: </w:t>
      </w:r>
      <w:r w:rsidR="1E3AB08D" w:rsidRPr="0D317180">
        <w:rPr>
          <w:rFonts w:ascii="Aptos" w:eastAsia="Aptos" w:hAnsi="Aptos" w:cs="Aptos"/>
        </w:rPr>
        <w:t>10</w:t>
      </w:r>
      <w:r w:rsidR="1E3AB08D" w:rsidRPr="0D317180">
        <w:rPr>
          <w:rFonts w:ascii="Aptos" w:eastAsia="Aptos" w:hAnsi="Aptos" w:cs="Aptos"/>
          <w:vertAlign w:val="superscript"/>
        </w:rPr>
        <w:t>th</w:t>
      </w:r>
      <w:r w:rsidR="0BAC43C0" w:rsidRPr="0D317180">
        <w:rPr>
          <w:rFonts w:ascii="Aptos" w:eastAsia="Aptos" w:hAnsi="Aptos" w:cs="Aptos"/>
        </w:rPr>
        <w:t xml:space="preserve"> July 2026).</w:t>
      </w:r>
    </w:p>
    <w:p w14:paraId="74A04C47" w14:textId="0D08CED3" w:rsidR="79ED9EE5" w:rsidRDefault="79ED9EE5" w:rsidP="0D317180">
      <w:pPr>
        <w:spacing w:before="240" w:after="240"/>
        <w:rPr>
          <w:rFonts w:ascii="Aptos" w:eastAsia="Aptos" w:hAnsi="Aptos" w:cs="Aptos"/>
        </w:rPr>
      </w:pPr>
      <w:r w:rsidRPr="0D317180">
        <w:rPr>
          <w:rFonts w:ascii="Aptos" w:eastAsia="Aptos" w:hAnsi="Aptos" w:cs="Aptos"/>
        </w:rPr>
        <w:t xml:space="preserve">     </w:t>
      </w:r>
      <w:r w:rsidR="0BAC43C0" w:rsidRPr="0D317180">
        <w:rPr>
          <w:rFonts w:ascii="Aptos" w:eastAsia="Aptos" w:hAnsi="Aptos" w:cs="Aptos"/>
        </w:rPr>
        <w:t xml:space="preserve">UN Tourism (2025) </w:t>
      </w:r>
      <w:r w:rsidR="0BAC43C0" w:rsidRPr="0D317180">
        <w:rPr>
          <w:rFonts w:ascii="Aptos" w:eastAsia="Aptos" w:hAnsi="Aptos" w:cs="Aptos"/>
          <w:i/>
          <w:iCs/>
        </w:rPr>
        <w:t>Sustainable Development</w:t>
      </w:r>
      <w:r w:rsidR="0BAC43C0" w:rsidRPr="0D317180">
        <w:rPr>
          <w:rFonts w:ascii="Aptos" w:eastAsia="Aptos" w:hAnsi="Aptos" w:cs="Aptos"/>
        </w:rPr>
        <w:t xml:space="preserve">. Available at: </w:t>
      </w:r>
      <w:hyperlink r:id="rId23">
        <w:r w:rsidR="0BAC43C0" w:rsidRPr="0D317180">
          <w:rPr>
            <w:rStyle w:val="Hyperlink"/>
          </w:rPr>
          <w:t>https://www.unwto.org/sustainable-development</w:t>
        </w:r>
      </w:hyperlink>
      <w:r w:rsidR="0BAC43C0" w:rsidRPr="0D317180">
        <w:rPr>
          <w:rFonts w:ascii="Aptos" w:eastAsia="Aptos" w:hAnsi="Aptos" w:cs="Aptos"/>
        </w:rPr>
        <w:t xml:space="preserve"> (Accessed: </w:t>
      </w:r>
      <w:r w:rsidR="41E55E78" w:rsidRPr="0D317180">
        <w:rPr>
          <w:rFonts w:ascii="Aptos" w:eastAsia="Aptos" w:hAnsi="Aptos" w:cs="Aptos"/>
        </w:rPr>
        <w:t>9</w:t>
      </w:r>
      <w:r w:rsidR="41E55E78" w:rsidRPr="0D317180">
        <w:rPr>
          <w:rFonts w:ascii="Aptos" w:eastAsia="Aptos" w:hAnsi="Aptos" w:cs="Aptos"/>
          <w:vertAlign w:val="superscript"/>
        </w:rPr>
        <w:t>th</w:t>
      </w:r>
      <w:r w:rsidR="0BAC43C0" w:rsidRPr="0D317180">
        <w:rPr>
          <w:rFonts w:ascii="Aptos" w:eastAsia="Aptos" w:hAnsi="Aptos" w:cs="Aptos"/>
        </w:rPr>
        <w:t xml:space="preserve"> July 2026).</w:t>
      </w:r>
    </w:p>
    <w:p w14:paraId="733F0B96" w14:textId="7C7C555F" w:rsidR="29C2BC10" w:rsidRDefault="29C2BC10" w:rsidP="0D317180">
      <w:pPr>
        <w:spacing w:before="240" w:after="240"/>
      </w:pPr>
      <w:r w:rsidRPr="0D317180">
        <w:rPr>
          <w:rFonts w:ascii="Aptos" w:eastAsia="Aptos" w:hAnsi="Aptos" w:cs="Aptos"/>
        </w:rPr>
        <w:t xml:space="preserve">     Wan Aniq Syakier, W.A. and Hanafiah, M.H. (2022) ‘Tour Guide Performances, Tourist Satisfaction </w:t>
      </w:r>
      <w:proofErr w:type="gramStart"/>
      <w:r w:rsidRPr="0D317180">
        <w:rPr>
          <w:rFonts w:ascii="Aptos" w:eastAsia="Aptos" w:hAnsi="Aptos" w:cs="Aptos"/>
        </w:rPr>
        <w:t>And</w:t>
      </w:r>
      <w:proofErr w:type="gramEnd"/>
      <w:r w:rsidRPr="0D317180">
        <w:rPr>
          <w:rFonts w:ascii="Aptos" w:eastAsia="Aptos" w:hAnsi="Aptos" w:cs="Aptos"/>
        </w:rPr>
        <w:t xml:space="preserve"> Behavioural Intentions: A Study </w:t>
      </w:r>
      <w:proofErr w:type="gramStart"/>
      <w:r w:rsidRPr="0D317180">
        <w:rPr>
          <w:rFonts w:ascii="Aptos" w:eastAsia="Aptos" w:hAnsi="Aptos" w:cs="Aptos"/>
        </w:rPr>
        <w:t>On</w:t>
      </w:r>
      <w:proofErr w:type="gramEnd"/>
      <w:r w:rsidRPr="0D317180">
        <w:rPr>
          <w:rFonts w:ascii="Aptos" w:eastAsia="Aptos" w:hAnsi="Aptos" w:cs="Aptos"/>
        </w:rPr>
        <w:t xml:space="preserve"> Tours </w:t>
      </w:r>
      <w:proofErr w:type="gramStart"/>
      <w:r w:rsidRPr="0D317180">
        <w:rPr>
          <w:rFonts w:ascii="Aptos" w:eastAsia="Aptos" w:hAnsi="Aptos" w:cs="Aptos"/>
        </w:rPr>
        <w:t>In</w:t>
      </w:r>
      <w:proofErr w:type="gramEnd"/>
      <w:r w:rsidRPr="0D317180">
        <w:rPr>
          <w:rFonts w:ascii="Aptos" w:eastAsia="Aptos" w:hAnsi="Aptos" w:cs="Aptos"/>
        </w:rPr>
        <w:t xml:space="preserve"> Kuala Lumpur City Centre’, </w:t>
      </w:r>
      <w:r w:rsidRPr="0D317180">
        <w:rPr>
          <w:rFonts w:ascii="Aptos" w:eastAsia="Aptos" w:hAnsi="Aptos" w:cs="Aptos"/>
          <w:i/>
          <w:iCs/>
        </w:rPr>
        <w:t>Journal of Quality Assurance in Hospitality &amp; Tourism</w:t>
      </w:r>
      <w:r w:rsidRPr="0D317180">
        <w:rPr>
          <w:rFonts w:ascii="Aptos" w:eastAsia="Aptos" w:hAnsi="Aptos" w:cs="Aptos"/>
        </w:rPr>
        <w:t xml:space="preserve">, 23(3), pp. 597–614. Available at: </w:t>
      </w:r>
      <w:hyperlink r:id="rId24">
        <w:r w:rsidRPr="0D317180">
          <w:rPr>
            <w:rStyle w:val="Hyperlink"/>
          </w:rPr>
          <w:t>https://doi.org/10.1080/1528008X.2021.1891599</w:t>
        </w:r>
      </w:hyperlink>
      <w:r w:rsidR="0061777A">
        <w:t xml:space="preserve"> </w:t>
      </w:r>
      <w:r w:rsidR="0061777A" w:rsidRPr="0D317180">
        <w:rPr>
          <w:rFonts w:ascii="Aptos" w:eastAsia="Aptos" w:hAnsi="Aptos" w:cs="Aptos"/>
        </w:rPr>
        <w:t>(Accessed: 11</w:t>
      </w:r>
      <w:r w:rsidR="0061777A" w:rsidRPr="0D317180">
        <w:rPr>
          <w:rFonts w:ascii="Aptos" w:eastAsia="Aptos" w:hAnsi="Aptos" w:cs="Aptos"/>
          <w:vertAlign w:val="superscript"/>
        </w:rPr>
        <w:t>th</w:t>
      </w:r>
      <w:r w:rsidR="0061777A" w:rsidRPr="0D317180">
        <w:rPr>
          <w:rFonts w:ascii="Aptos" w:eastAsia="Aptos" w:hAnsi="Aptos" w:cs="Aptos"/>
        </w:rPr>
        <w:t xml:space="preserve"> July 2026).</w:t>
      </w:r>
    </w:p>
    <w:p w14:paraId="4C2CAB48" w14:textId="5151A413" w:rsidR="60318B18" w:rsidRDefault="60318B18" w:rsidP="0D317180">
      <w:pPr>
        <w:spacing w:before="240" w:after="240"/>
        <w:rPr>
          <w:rFonts w:ascii="Aptos" w:eastAsia="Aptos" w:hAnsi="Aptos" w:cs="Aptos"/>
        </w:rPr>
      </w:pPr>
      <w:r w:rsidRPr="0D317180">
        <w:rPr>
          <w:rFonts w:ascii="Aptos" w:eastAsia="Aptos" w:hAnsi="Aptos" w:cs="Aptos"/>
        </w:rPr>
        <w:t xml:space="preserve">     Weiler, B. and Kim, A.K. (2011) 'Tour guides as agents of sustainability: rhetoric, reality and implications for research', </w:t>
      </w:r>
      <w:r w:rsidRPr="0D317180">
        <w:rPr>
          <w:rFonts w:ascii="Aptos" w:eastAsia="Aptos" w:hAnsi="Aptos" w:cs="Aptos"/>
          <w:i/>
          <w:iCs/>
        </w:rPr>
        <w:t>Tourism Recreation Research</w:t>
      </w:r>
      <w:r w:rsidRPr="0D317180">
        <w:rPr>
          <w:rFonts w:ascii="Aptos" w:eastAsia="Aptos" w:hAnsi="Aptos" w:cs="Aptos"/>
        </w:rPr>
        <w:t>, 36(2), pp. 113–125.</w:t>
      </w:r>
    </w:p>
    <w:p w14:paraId="10645909" w14:textId="414E39FF" w:rsidR="29C2BC10" w:rsidRDefault="29C2BC10" w:rsidP="0D317180">
      <w:pPr>
        <w:spacing w:before="240" w:after="240"/>
        <w:rPr>
          <w:rFonts w:ascii="Aptos" w:eastAsia="Aptos" w:hAnsi="Aptos" w:cs="Aptos"/>
        </w:rPr>
      </w:pPr>
      <w:r w:rsidRPr="0D317180">
        <w:rPr>
          <w:rFonts w:ascii="Aptos" w:eastAsia="Aptos" w:hAnsi="Aptos" w:cs="Aptos"/>
        </w:rPr>
        <w:t xml:space="preserve">     </w:t>
      </w:r>
      <w:r w:rsidR="0BAC43C0" w:rsidRPr="0D317180">
        <w:rPr>
          <w:rFonts w:ascii="Aptos" w:eastAsia="Aptos" w:hAnsi="Aptos" w:cs="Aptos"/>
        </w:rPr>
        <w:t xml:space="preserve">Weng, L., Liang, Z. and Bao, J. (2020) ‘The Effect of Tour Interpretation on Perceived Heritage Values: A Comparison of Tourists with and Without Tour Guiding Interpretation at a Heritage Destination’, </w:t>
      </w:r>
      <w:r w:rsidR="0BAC43C0" w:rsidRPr="0D317180">
        <w:rPr>
          <w:rFonts w:ascii="Aptos" w:eastAsia="Aptos" w:hAnsi="Aptos" w:cs="Aptos"/>
          <w:i/>
          <w:iCs/>
        </w:rPr>
        <w:t>Journal of Destination Marketing &amp; Management</w:t>
      </w:r>
      <w:r w:rsidR="0BAC43C0" w:rsidRPr="0D317180">
        <w:rPr>
          <w:rFonts w:ascii="Aptos" w:eastAsia="Aptos" w:hAnsi="Aptos" w:cs="Aptos"/>
        </w:rPr>
        <w:t xml:space="preserve">, 16, p.100431. Available at: </w:t>
      </w:r>
      <w:hyperlink r:id="rId25">
        <w:r w:rsidR="0BAC43C0" w:rsidRPr="0D317180">
          <w:rPr>
            <w:rStyle w:val="Hyperlink"/>
          </w:rPr>
          <w:t>https://doi.org/10.1016/j.jdmm.2020.100431</w:t>
        </w:r>
      </w:hyperlink>
      <w:r w:rsidR="0061777A">
        <w:rPr>
          <w:rFonts w:ascii="Aptos" w:eastAsia="Aptos" w:hAnsi="Aptos" w:cs="Aptos"/>
        </w:rPr>
        <w:t xml:space="preserve"> </w:t>
      </w:r>
      <w:r w:rsidR="0061777A" w:rsidRPr="0D317180">
        <w:rPr>
          <w:rFonts w:ascii="Aptos" w:eastAsia="Aptos" w:hAnsi="Aptos" w:cs="Aptos"/>
        </w:rPr>
        <w:t>(Accessed: 1</w:t>
      </w:r>
      <w:r w:rsidR="0061777A">
        <w:rPr>
          <w:rFonts w:ascii="Aptos" w:eastAsia="Aptos" w:hAnsi="Aptos" w:cs="Aptos"/>
        </w:rPr>
        <w:t>0</w:t>
      </w:r>
      <w:r w:rsidR="0061777A" w:rsidRPr="0D317180">
        <w:rPr>
          <w:rFonts w:ascii="Aptos" w:eastAsia="Aptos" w:hAnsi="Aptos" w:cs="Aptos"/>
          <w:vertAlign w:val="superscript"/>
        </w:rPr>
        <w:t>th</w:t>
      </w:r>
      <w:r w:rsidR="0061777A" w:rsidRPr="0D317180">
        <w:rPr>
          <w:rFonts w:ascii="Aptos" w:eastAsia="Aptos" w:hAnsi="Aptos" w:cs="Aptos"/>
        </w:rPr>
        <w:t xml:space="preserve"> July 2026).</w:t>
      </w:r>
    </w:p>
    <w:p w14:paraId="166C6EE9" w14:textId="275D9A0E" w:rsidR="0D317180" w:rsidRDefault="0D317180" w:rsidP="0D317180"/>
    <w:sectPr w:rsidR="0D317180">
      <w:headerReference w:type="default" r:id="rId26"/>
      <w:foot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7E1182" w14:textId="77777777" w:rsidR="00E26699" w:rsidRDefault="00E26699">
      <w:pPr>
        <w:spacing w:after="0" w:line="240" w:lineRule="auto"/>
      </w:pPr>
      <w:r>
        <w:separator/>
      </w:r>
    </w:p>
  </w:endnote>
  <w:endnote w:type="continuationSeparator" w:id="0">
    <w:p w14:paraId="11A398F1" w14:textId="77777777" w:rsidR="00E26699" w:rsidRDefault="00E26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62A2136" w14:paraId="695BAAAE" w14:textId="77777777" w:rsidTr="262A2136">
      <w:trPr>
        <w:trHeight w:val="300"/>
      </w:trPr>
      <w:tc>
        <w:tcPr>
          <w:tcW w:w="3005" w:type="dxa"/>
        </w:tcPr>
        <w:p w14:paraId="4C45898F" w14:textId="145DC25E" w:rsidR="262A2136" w:rsidRDefault="262A2136" w:rsidP="262A2136">
          <w:pPr>
            <w:pStyle w:val="Header"/>
            <w:ind w:left="-115"/>
          </w:pPr>
        </w:p>
      </w:tc>
      <w:tc>
        <w:tcPr>
          <w:tcW w:w="3005" w:type="dxa"/>
        </w:tcPr>
        <w:p w14:paraId="1A8CFE14" w14:textId="364B36E1" w:rsidR="262A2136" w:rsidRDefault="262A2136" w:rsidP="262A2136">
          <w:pPr>
            <w:pStyle w:val="Header"/>
            <w:jc w:val="center"/>
          </w:pPr>
        </w:p>
      </w:tc>
      <w:tc>
        <w:tcPr>
          <w:tcW w:w="3005" w:type="dxa"/>
        </w:tcPr>
        <w:p w14:paraId="386BDDAD" w14:textId="3EBECC9C" w:rsidR="262A2136" w:rsidRDefault="262A2136" w:rsidP="262A2136">
          <w:pPr>
            <w:pStyle w:val="Header"/>
            <w:ind w:right="-115"/>
            <w:jc w:val="right"/>
          </w:pPr>
        </w:p>
      </w:tc>
    </w:tr>
  </w:tbl>
  <w:p w14:paraId="01478474" w14:textId="141210C7" w:rsidR="262A2136" w:rsidRDefault="262A2136" w:rsidP="262A21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587DB" w14:textId="77777777" w:rsidR="00E26699" w:rsidRDefault="00E26699">
      <w:pPr>
        <w:spacing w:after="0" w:line="240" w:lineRule="auto"/>
      </w:pPr>
      <w:r>
        <w:separator/>
      </w:r>
    </w:p>
  </w:footnote>
  <w:footnote w:type="continuationSeparator" w:id="0">
    <w:p w14:paraId="0810C08C" w14:textId="77777777" w:rsidR="00E26699" w:rsidRDefault="00E266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62A2136" w14:paraId="671CDC7A" w14:textId="77777777" w:rsidTr="22204C03">
      <w:trPr>
        <w:trHeight w:val="300"/>
      </w:trPr>
      <w:tc>
        <w:tcPr>
          <w:tcW w:w="3005" w:type="dxa"/>
        </w:tcPr>
        <w:p w14:paraId="21E8EF91" w14:textId="14C08731" w:rsidR="262A2136" w:rsidRDefault="22204C03" w:rsidP="262A2136">
          <w:pPr>
            <w:pStyle w:val="Header"/>
            <w:ind w:left="-115"/>
          </w:pPr>
          <w:r w:rsidRPr="22204C03">
            <w:t xml:space="preserve">Professional Placement and Enterprise </w:t>
          </w:r>
          <w:proofErr w:type="gramStart"/>
          <w:r w:rsidRPr="22204C03">
            <w:t>Project  BMTP</w:t>
          </w:r>
          <w:proofErr w:type="gramEnd"/>
          <w:r w:rsidRPr="22204C03">
            <w:t>5020</w:t>
          </w:r>
        </w:p>
      </w:tc>
      <w:tc>
        <w:tcPr>
          <w:tcW w:w="3005" w:type="dxa"/>
        </w:tcPr>
        <w:p w14:paraId="062F565D" w14:textId="0AFEA795" w:rsidR="262A2136" w:rsidRDefault="262A2136" w:rsidP="262A2136">
          <w:pPr>
            <w:pStyle w:val="Header"/>
            <w:jc w:val="center"/>
          </w:pPr>
        </w:p>
      </w:tc>
      <w:tc>
        <w:tcPr>
          <w:tcW w:w="3005" w:type="dxa"/>
        </w:tcPr>
        <w:p w14:paraId="375EC1A1" w14:textId="43379F8B" w:rsidR="262A2136" w:rsidRDefault="262A2136" w:rsidP="262A2136">
          <w:pPr>
            <w:pStyle w:val="Header"/>
            <w:ind w:right="-115"/>
            <w:jc w:val="center"/>
          </w:pPr>
          <w:r w:rsidRPr="262A2136">
            <w:rPr>
              <w:rFonts w:ascii="Calibri" w:eastAsia="Calibri" w:hAnsi="Calibri" w:cs="Calibri"/>
              <w:color w:val="000000" w:themeColor="text1"/>
            </w:rPr>
            <w:t>Andrew Jones: 2318163</w:t>
          </w:r>
        </w:p>
      </w:tc>
    </w:tr>
  </w:tbl>
  <w:p w14:paraId="427F1E49" w14:textId="5404B812" w:rsidR="262A2136" w:rsidRDefault="262A2136" w:rsidP="262A21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7BE667"/>
    <w:multiLevelType w:val="hybridMultilevel"/>
    <w:tmpl w:val="D6F07848"/>
    <w:lvl w:ilvl="0" w:tplc="05667FC0">
      <w:start w:val="1"/>
      <w:numFmt w:val="decimal"/>
      <w:lvlText w:val="%1."/>
      <w:lvlJc w:val="left"/>
      <w:pPr>
        <w:ind w:left="720" w:hanging="360"/>
      </w:pPr>
    </w:lvl>
    <w:lvl w:ilvl="1" w:tplc="894CB18C">
      <w:start w:val="1"/>
      <w:numFmt w:val="lowerLetter"/>
      <w:lvlText w:val="%2."/>
      <w:lvlJc w:val="left"/>
      <w:pPr>
        <w:ind w:left="1440" w:hanging="360"/>
      </w:pPr>
    </w:lvl>
    <w:lvl w:ilvl="2" w:tplc="C33C70A2">
      <w:start w:val="1"/>
      <w:numFmt w:val="lowerRoman"/>
      <w:lvlText w:val="%3."/>
      <w:lvlJc w:val="right"/>
      <w:pPr>
        <w:ind w:left="2160" w:hanging="180"/>
      </w:pPr>
    </w:lvl>
    <w:lvl w:ilvl="3" w:tplc="570E10E8">
      <w:start w:val="1"/>
      <w:numFmt w:val="decimal"/>
      <w:lvlText w:val="%4."/>
      <w:lvlJc w:val="left"/>
      <w:pPr>
        <w:ind w:left="2880" w:hanging="360"/>
      </w:pPr>
    </w:lvl>
    <w:lvl w:ilvl="4" w:tplc="023C2D14">
      <w:start w:val="1"/>
      <w:numFmt w:val="lowerLetter"/>
      <w:lvlText w:val="%5."/>
      <w:lvlJc w:val="left"/>
      <w:pPr>
        <w:ind w:left="3600" w:hanging="360"/>
      </w:pPr>
    </w:lvl>
    <w:lvl w:ilvl="5" w:tplc="E8942F00">
      <w:start w:val="1"/>
      <w:numFmt w:val="lowerRoman"/>
      <w:lvlText w:val="%6."/>
      <w:lvlJc w:val="right"/>
      <w:pPr>
        <w:ind w:left="4320" w:hanging="180"/>
      </w:pPr>
    </w:lvl>
    <w:lvl w:ilvl="6" w:tplc="709A568C">
      <w:start w:val="1"/>
      <w:numFmt w:val="decimal"/>
      <w:lvlText w:val="%7."/>
      <w:lvlJc w:val="left"/>
      <w:pPr>
        <w:ind w:left="5040" w:hanging="360"/>
      </w:pPr>
    </w:lvl>
    <w:lvl w:ilvl="7" w:tplc="B3FAF904">
      <w:start w:val="1"/>
      <w:numFmt w:val="lowerLetter"/>
      <w:lvlText w:val="%8."/>
      <w:lvlJc w:val="left"/>
      <w:pPr>
        <w:ind w:left="5760" w:hanging="360"/>
      </w:pPr>
    </w:lvl>
    <w:lvl w:ilvl="8" w:tplc="AD56398C">
      <w:start w:val="1"/>
      <w:numFmt w:val="lowerRoman"/>
      <w:lvlText w:val="%9."/>
      <w:lvlJc w:val="right"/>
      <w:pPr>
        <w:ind w:left="6480" w:hanging="180"/>
      </w:pPr>
    </w:lvl>
  </w:abstractNum>
  <w:abstractNum w:abstractNumId="1" w15:restartNumberingAfterBreak="0">
    <w:nsid w:val="41A98186"/>
    <w:multiLevelType w:val="hybridMultilevel"/>
    <w:tmpl w:val="802450C6"/>
    <w:lvl w:ilvl="0" w:tplc="45FAEF84">
      <w:start w:val="1"/>
      <w:numFmt w:val="decimal"/>
      <w:lvlText w:val="%1."/>
      <w:lvlJc w:val="left"/>
      <w:pPr>
        <w:ind w:left="720" w:hanging="360"/>
      </w:pPr>
    </w:lvl>
    <w:lvl w:ilvl="1" w:tplc="482874D2">
      <w:start w:val="1"/>
      <w:numFmt w:val="lowerLetter"/>
      <w:lvlText w:val="%2."/>
      <w:lvlJc w:val="left"/>
      <w:pPr>
        <w:ind w:left="1440" w:hanging="360"/>
      </w:pPr>
    </w:lvl>
    <w:lvl w:ilvl="2" w:tplc="171ABA7C">
      <w:start w:val="1"/>
      <w:numFmt w:val="lowerRoman"/>
      <w:lvlText w:val="%3."/>
      <w:lvlJc w:val="right"/>
      <w:pPr>
        <w:ind w:left="2160" w:hanging="180"/>
      </w:pPr>
    </w:lvl>
    <w:lvl w:ilvl="3" w:tplc="B00E7826">
      <w:start w:val="1"/>
      <w:numFmt w:val="decimal"/>
      <w:lvlText w:val="%4."/>
      <w:lvlJc w:val="left"/>
      <w:pPr>
        <w:ind w:left="2880" w:hanging="360"/>
      </w:pPr>
    </w:lvl>
    <w:lvl w:ilvl="4" w:tplc="C854FB00">
      <w:start w:val="1"/>
      <w:numFmt w:val="lowerLetter"/>
      <w:lvlText w:val="%5."/>
      <w:lvlJc w:val="left"/>
      <w:pPr>
        <w:ind w:left="3600" w:hanging="360"/>
      </w:pPr>
    </w:lvl>
    <w:lvl w:ilvl="5" w:tplc="C4162002">
      <w:start w:val="1"/>
      <w:numFmt w:val="lowerRoman"/>
      <w:lvlText w:val="%6."/>
      <w:lvlJc w:val="right"/>
      <w:pPr>
        <w:ind w:left="4320" w:hanging="180"/>
      </w:pPr>
    </w:lvl>
    <w:lvl w:ilvl="6" w:tplc="6C06B054">
      <w:start w:val="1"/>
      <w:numFmt w:val="decimal"/>
      <w:lvlText w:val="%7."/>
      <w:lvlJc w:val="left"/>
      <w:pPr>
        <w:ind w:left="5040" w:hanging="360"/>
      </w:pPr>
    </w:lvl>
    <w:lvl w:ilvl="7" w:tplc="0234D452">
      <w:start w:val="1"/>
      <w:numFmt w:val="lowerLetter"/>
      <w:lvlText w:val="%8."/>
      <w:lvlJc w:val="left"/>
      <w:pPr>
        <w:ind w:left="5760" w:hanging="360"/>
      </w:pPr>
    </w:lvl>
    <w:lvl w:ilvl="8" w:tplc="F54038AC">
      <w:start w:val="1"/>
      <w:numFmt w:val="lowerRoman"/>
      <w:lvlText w:val="%9."/>
      <w:lvlJc w:val="right"/>
      <w:pPr>
        <w:ind w:left="6480" w:hanging="180"/>
      </w:pPr>
    </w:lvl>
  </w:abstractNum>
  <w:abstractNum w:abstractNumId="2" w15:restartNumberingAfterBreak="0">
    <w:nsid w:val="50C4813C"/>
    <w:multiLevelType w:val="hybridMultilevel"/>
    <w:tmpl w:val="2474E3D8"/>
    <w:lvl w:ilvl="0" w:tplc="6BE80296">
      <w:start w:val="1"/>
      <w:numFmt w:val="decimal"/>
      <w:lvlText w:val="%1."/>
      <w:lvlJc w:val="left"/>
      <w:pPr>
        <w:ind w:left="720" w:hanging="360"/>
      </w:pPr>
    </w:lvl>
    <w:lvl w:ilvl="1" w:tplc="6F72F33C">
      <w:start w:val="1"/>
      <w:numFmt w:val="lowerLetter"/>
      <w:lvlText w:val="%2."/>
      <w:lvlJc w:val="left"/>
      <w:pPr>
        <w:ind w:left="1440" w:hanging="360"/>
      </w:pPr>
    </w:lvl>
    <w:lvl w:ilvl="2" w:tplc="C6C2AA40">
      <w:start w:val="1"/>
      <w:numFmt w:val="lowerRoman"/>
      <w:lvlText w:val="%3."/>
      <w:lvlJc w:val="right"/>
      <w:pPr>
        <w:ind w:left="2160" w:hanging="180"/>
      </w:pPr>
    </w:lvl>
    <w:lvl w:ilvl="3" w:tplc="F6A4971E">
      <w:start w:val="1"/>
      <w:numFmt w:val="decimal"/>
      <w:lvlText w:val="%4."/>
      <w:lvlJc w:val="left"/>
      <w:pPr>
        <w:ind w:left="2880" w:hanging="360"/>
      </w:pPr>
    </w:lvl>
    <w:lvl w:ilvl="4" w:tplc="BDCA701C">
      <w:start w:val="1"/>
      <w:numFmt w:val="lowerLetter"/>
      <w:lvlText w:val="%5."/>
      <w:lvlJc w:val="left"/>
      <w:pPr>
        <w:ind w:left="3600" w:hanging="360"/>
      </w:pPr>
    </w:lvl>
    <w:lvl w:ilvl="5" w:tplc="8012A392">
      <w:start w:val="1"/>
      <w:numFmt w:val="lowerRoman"/>
      <w:lvlText w:val="%6."/>
      <w:lvlJc w:val="right"/>
      <w:pPr>
        <w:ind w:left="4320" w:hanging="180"/>
      </w:pPr>
    </w:lvl>
    <w:lvl w:ilvl="6" w:tplc="980C6BC2">
      <w:start w:val="1"/>
      <w:numFmt w:val="decimal"/>
      <w:lvlText w:val="%7."/>
      <w:lvlJc w:val="left"/>
      <w:pPr>
        <w:ind w:left="5040" w:hanging="360"/>
      </w:pPr>
    </w:lvl>
    <w:lvl w:ilvl="7" w:tplc="54B2C23C">
      <w:start w:val="1"/>
      <w:numFmt w:val="lowerLetter"/>
      <w:lvlText w:val="%8."/>
      <w:lvlJc w:val="left"/>
      <w:pPr>
        <w:ind w:left="5760" w:hanging="360"/>
      </w:pPr>
    </w:lvl>
    <w:lvl w:ilvl="8" w:tplc="2EF286D4">
      <w:start w:val="1"/>
      <w:numFmt w:val="lowerRoman"/>
      <w:lvlText w:val="%9."/>
      <w:lvlJc w:val="right"/>
      <w:pPr>
        <w:ind w:left="6480" w:hanging="180"/>
      </w:pPr>
    </w:lvl>
  </w:abstractNum>
  <w:abstractNum w:abstractNumId="3" w15:restartNumberingAfterBreak="0">
    <w:nsid w:val="5296EB17"/>
    <w:multiLevelType w:val="hybridMultilevel"/>
    <w:tmpl w:val="08F6181E"/>
    <w:lvl w:ilvl="0" w:tplc="A62C6706">
      <w:start w:val="1"/>
      <w:numFmt w:val="decimal"/>
      <w:lvlText w:val="%1."/>
      <w:lvlJc w:val="left"/>
      <w:pPr>
        <w:ind w:left="720" w:hanging="360"/>
      </w:pPr>
    </w:lvl>
    <w:lvl w:ilvl="1" w:tplc="DB26F1F6">
      <w:start w:val="1"/>
      <w:numFmt w:val="lowerLetter"/>
      <w:lvlText w:val="%2."/>
      <w:lvlJc w:val="left"/>
      <w:pPr>
        <w:ind w:left="1440" w:hanging="360"/>
      </w:pPr>
    </w:lvl>
    <w:lvl w:ilvl="2" w:tplc="EFDC518C">
      <w:start w:val="1"/>
      <w:numFmt w:val="lowerRoman"/>
      <w:lvlText w:val="%3."/>
      <w:lvlJc w:val="right"/>
      <w:pPr>
        <w:ind w:left="2160" w:hanging="180"/>
      </w:pPr>
    </w:lvl>
    <w:lvl w:ilvl="3" w:tplc="D6842FAC">
      <w:start w:val="1"/>
      <w:numFmt w:val="decimal"/>
      <w:lvlText w:val="%4."/>
      <w:lvlJc w:val="left"/>
      <w:pPr>
        <w:ind w:left="2880" w:hanging="360"/>
      </w:pPr>
    </w:lvl>
    <w:lvl w:ilvl="4" w:tplc="5EBE1E3E">
      <w:start w:val="1"/>
      <w:numFmt w:val="lowerLetter"/>
      <w:lvlText w:val="%5."/>
      <w:lvlJc w:val="left"/>
      <w:pPr>
        <w:ind w:left="3600" w:hanging="360"/>
      </w:pPr>
    </w:lvl>
    <w:lvl w:ilvl="5" w:tplc="74B26CE2">
      <w:start w:val="1"/>
      <w:numFmt w:val="lowerRoman"/>
      <w:lvlText w:val="%6."/>
      <w:lvlJc w:val="right"/>
      <w:pPr>
        <w:ind w:left="4320" w:hanging="180"/>
      </w:pPr>
    </w:lvl>
    <w:lvl w:ilvl="6" w:tplc="7A404A18">
      <w:start w:val="1"/>
      <w:numFmt w:val="decimal"/>
      <w:lvlText w:val="%7."/>
      <w:lvlJc w:val="left"/>
      <w:pPr>
        <w:ind w:left="5040" w:hanging="360"/>
      </w:pPr>
    </w:lvl>
    <w:lvl w:ilvl="7" w:tplc="F19A3F64">
      <w:start w:val="1"/>
      <w:numFmt w:val="lowerLetter"/>
      <w:lvlText w:val="%8."/>
      <w:lvlJc w:val="left"/>
      <w:pPr>
        <w:ind w:left="5760" w:hanging="360"/>
      </w:pPr>
    </w:lvl>
    <w:lvl w:ilvl="8" w:tplc="4092AD5C">
      <w:start w:val="1"/>
      <w:numFmt w:val="lowerRoman"/>
      <w:lvlText w:val="%9."/>
      <w:lvlJc w:val="right"/>
      <w:pPr>
        <w:ind w:left="6480" w:hanging="180"/>
      </w:pPr>
    </w:lvl>
  </w:abstractNum>
  <w:num w:numId="1" w16cid:durableId="273439956">
    <w:abstractNumId w:val="1"/>
  </w:num>
  <w:num w:numId="2" w16cid:durableId="1758211117">
    <w:abstractNumId w:val="3"/>
  </w:num>
  <w:num w:numId="3" w16cid:durableId="1717898891">
    <w:abstractNumId w:val="2"/>
  </w:num>
  <w:num w:numId="4" w16cid:durableId="991955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78BEF0"/>
    <w:rsid w:val="00104D7B"/>
    <w:rsid w:val="002A3109"/>
    <w:rsid w:val="003C1EB0"/>
    <w:rsid w:val="00515FD3"/>
    <w:rsid w:val="0061777A"/>
    <w:rsid w:val="00915D14"/>
    <w:rsid w:val="00B928E9"/>
    <w:rsid w:val="00DA4D5C"/>
    <w:rsid w:val="00E26699"/>
    <w:rsid w:val="00E32726"/>
    <w:rsid w:val="00FC3C27"/>
    <w:rsid w:val="00FF4C5E"/>
    <w:rsid w:val="010F9C61"/>
    <w:rsid w:val="0224D0C1"/>
    <w:rsid w:val="03153902"/>
    <w:rsid w:val="0512D05A"/>
    <w:rsid w:val="059C064F"/>
    <w:rsid w:val="068E4F9A"/>
    <w:rsid w:val="06E05915"/>
    <w:rsid w:val="077BE71A"/>
    <w:rsid w:val="078B5012"/>
    <w:rsid w:val="083F9169"/>
    <w:rsid w:val="085BEE30"/>
    <w:rsid w:val="08D1DED7"/>
    <w:rsid w:val="0A36F3F7"/>
    <w:rsid w:val="0AC185E3"/>
    <w:rsid w:val="0AE0A1F3"/>
    <w:rsid w:val="0B47CF91"/>
    <w:rsid w:val="0BAC43C0"/>
    <w:rsid w:val="0BD64679"/>
    <w:rsid w:val="0D317180"/>
    <w:rsid w:val="0D965E29"/>
    <w:rsid w:val="0D9AD055"/>
    <w:rsid w:val="0DC7A8FD"/>
    <w:rsid w:val="0E3CE81A"/>
    <w:rsid w:val="0F1ADB61"/>
    <w:rsid w:val="0F3DC301"/>
    <w:rsid w:val="0F74284F"/>
    <w:rsid w:val="100E9643"/>
    <w:rsid w:val="102080D4"/>
    <w:rsid w:val="121D054B"/>
    <w:rsid w:val="12B02F94"/>
    <w:rsid w:val="12EDF2F8"/>
    <w:rsid w:val="12FD986C"/>
    <w:rsid w:val="13473C52"/>
    <w:rsid w:val="1362DD87"/>
    <w:rsid w:val="15B8E956"/>
    <w:rsid w:val="16B40168"/>
    <w:rsid w:val="18D3F31B"/>
    <w:rsid w:val="19D17552"/>
    <w:rsid w:val="1A5210C4"/>
    <w:rsid w:val="1A6416AF"/>
    <w:rsid w:val="1AFD016E"/>
    <w:rsid w:val="1B8ACCB9"/>
    <w:rsid w:val="1BAD7358"/>
    <w:rsid w:val="1C1CABF4"/>
    <w:rsid w:val="1C8B0A4F"/>
    <w:rsid w:val="1DC00A38"/>
    <w:rsid w:val="1E3AB08D"/>
    <w:rsid w:val="1EF929D0"/>
    <w:rsid w:val="1F2016AC"/>
    <w:rsid w:val="1F9ECFDA"/>
    <w:rsid w:val="20D2A633"/>
    <w:rsid w:val="21AB4FEC"/>
    <w:rsid w:val="22204C03"/>
    <w:rsid w:val="22255B02"/>
    <w:rsid w:val="23998F02"/>
    <w:rsid w:val="23C67EE3"/>
    <w:rsid w:val="24101A7F"/>
    <w:rsid w:val="25DE90C6"/>
    <w:rsid w:val="262A2136"/>
    <w:rsid w:val="27185ADF"/>
    <w:rsid w:val="27B8D85C"/>
    <w:rsid w:val="284557B1"/>
    <w:rsid w:val="2878BEF0"/>
    <w:rsid w:val="28E968D3"/>
    <w:rsid w:val="29109DBC"/>
    <w:rsid w:val="29473138"/>
    <w:rsid w:val="296494A6"/>
    <w:rsid w:val="29C2BC10"/>
    <w:rsid w:val="2A50EC65"/>
    <w:rsid w:val="2B2CD75D"/>
    <w:rsid w:val="2B4F53DD"/>
    <w:rsid w:val="2BECA048"/>
    <w:rsid w:val="2C5CC81C"/>
    <w:rsid w:val="2D6A5589"/>
    <w:rsid w:val="2F7FD07A"/>
    <w:rsid w:val="2FF28665"/>
    <w:rsid w:val="3188D845"/>
    <w:rsid w:val="319B459A"/>
    <w:rsid w:val="31C3658E"/>
    <w:rsid w:val="352D0E35"/>
    <w:rsid w:val="3724F6CF"/>
    <w:rsid w:val="3986CCC9"/>
    <w:rsid w:val="3A8C8851"/>
    <w:rsid w:val="3C7C2536"/>
    <w:rsid w:val="3CBB4930"/>
    <w:rsid w:val="3CEC3D2B"/>
    <w:rsid w:val="3CED22A2"/>
    <w:rsid w:val="3D9779C7"/>
    <w:rsid w:val="3E389562"/>
    <w:rsid w:val="3EDD4EE8"/>
    <w:rsid w:val="4055C0A6"/>
    <w:rsid w:val="40DCDFC7"/>
    <w:rsid w:val="41E55E78"/>
    <w:rsid w:val="44C95A9B"/>
    <w:rsid w:val="467C0CFD"/>
    <w:rsid w:val="477FC177"/>
    <w:rsid w:val="48A749A3"/>
    <w:rsid w:val="49E582B1"/>
    <w:rsid w:val="4A04CAC2"/>
    <w:rsid w:val="4AE42C7D"/>
    <w:rsid w:val="4C7011F8"/>
    <w:rsid w:val="4D5798D4"/>
    <w:rsid w:val="4D8B1219"/>
    <w:rsid w:val="4F1E14DF"/>
    <w:rsid w:val="4F3F23A1"/>
    <w:rsid w:val="4F689EDC"/>
    <w:rsid w:val="50709FE3"/>
    <w:rsid w:val="5156036C"/>
    <w:rsid w:val="52483CE4"/>
    <w:rsid w:val="52BCD22D"/>
    <w:rsid w:val="55758F5A"/>
    <w:rsid w:val="571A26C2"/>
    <w:rsid w:val="5725A57A"/>
    <w:rsid w:val="581C4718"/>
    <w:rsid w:val="5919D3FF"/>
    <w:rsid w:val="59950ECC"/>
    <w:rsid w:val="59AEEBBB"/>
    <w:rsid w:val="59EB014F"/>
    <w:rsid w:val="5A78CC6F"/>
    <w:rsid w:val="5A9E458A"/>
    <w:rsid w:val="5C29BEB8"/>
    <w:rsid w:val="5CD9FF47"/>
    <w:rsid w:val="5CEAF641"/>
    <w:rsid w:val="5D156A55"/>
    <w:rsid w:val="5FE8372D"/>
    <w:rsid w:val="60318B18"/>
    <w:rsid w:val="6050BBDB"/>
    <w:rsid w:val="61E2D298"/>
    <w:rsid w:val="6275E099"/>
    <w:rsid w:val="6378AE29"/>
    <w:rsid w:val="644B2454"/>
    <w:rsid w:val="644D29A4"/>
    <w:rsid w:val="6469150A"/>
    <w:rsid w:val="64D2DD12"/>
    <w:rsid w:val="658FEECA"/>
    <w:rsid w:val="661F59E3"/>
    <w:rsid w:val="6669E83C"/>
    <w:rsid w:val="67B7F0C5"/>
    <w:rsid w:val="68EE5EA9"/>
    <w:rsid w:val="6A619BB0"/>
    <w:rsid w:val="6AD14DFB"/>
    <w:rsid w:val="6AD43A2F"/>
    <w:rsid w:val="6C6F488F"/>
    <w:rsid w:val="6C96E538"/>
    <w:rsid w:val="6CBE1CAD"/>
    <w:rsid w:val="6D8D46B5"/>
    <w:rsid w:val="6DF38697"/>
    <w:rsid w:val="6ECDF6E2"/>
    <w:rsid w:val="6EDB3F18"/>
    <w:rsid w:val="6EE9AC15"/>
    <w:rsid w:val="6EF80395"/>
    <w:rsid w:val="6F1208F7"/>
    <w:rsid w:val="6F1ACF5B"/>
    <w:rsid w:val="6FBFB042"/>
    <w:rsid w:val="6FE8705D"/>
    <w:rsid w:val="7085F217"/>
    <w:rsid w:val="70B33332"/>
    <w:rsid w:val="70B36C2B"/>
    <w:rsid w:val="716E95FC"/>
    <w:rsid w:val="71D195BF"/>
    <w:rsid w:val="71E9E3AB"/>
    <w:rsid w:val="723ED862"/>
    <w:rsid w:val="73E32B0F"/>
    <w:rsid w:val="73F6583F"/>
    <w:rsid w:val="742A99B0"/>
    <w:rsid w:val="7615DC74"/>
    <w:rsid w:val="765DE176"/>
    <w:rsid w:val="76A8BC6C"/>
    <w:rsid w:val="76BF9C91"/>
    <w:rsid w:val="76F18AB1"/>
    <w:rsid w:val="77C7A074"/>
    <w:rsid w:val="798ABB9F"/>
    <w:rsid w:val="798B4A53"/>
    <w:rsid w:val="79ED9EE5"/>
    <w:rsid w:val="7A362918"/>
    <w:rsid w:val="7A979972"/>
    <w:rsid w:val="7BEFDC33"/>
    <w:rsid w:val="7C99F7E3"/>
    <w:rsid w:val="7CD4C134"/>
    <w:rsid w:val="7D24D880"/>
    <w:rsid w:val="7D53F8CD"/>
    <w:rsid w:val="7F3EDD78"/>
    <w:rsid w:val="7F572337"/>
    <w:rsid w:val="7F620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85109"/>
  <w15:chartTrackingRefBased/>
  <w15:docId w15:val="{C7872747-C6A4-4D33-8362-353CBDA01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D317180"/>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262A2136"/>
    <w:pPr>
      <w:tabs>
        <w:tab w:val="center" w:pos="4680"/>
        <w:tab w:val="right" w:pos="9360"/>
      </w:tabs>
      <w:spacing w:after="0" w:line="240" w:lineRule="auto"/>
    </w:pPr>
  </w:style>
  <w:style w:type="paragraph" w:styleId="Footer">
    <w:name w:val="footer"/>
    <w:basedOn w:val="Normal"/>
    <w:uiPriority w:val="99"/>
    <w:unhideWhenUsed/>
    <w:rsid w:val="262A213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paragraph" w:styleId="ListParagraph">
    <w:name w:val="List Paragraph"/>
    <w:basedOn w:val="Normal"/>
    <w:uiPriority w:val="34"/>
    <w:qFormat/>
    <w:rsid w:val="0D317180"/>
    <w:pPr>
      <w:ind w:left="720"/>
      <w:contextualSpacing/>
    </w:pPr>
  </w:style>
  <w:style w:type="character" w:styleId="Hyperlink">
    <w:name w:val="Hyperlink"/>
    <w:basedOn w:val="DefaultParagraphFont"/>
    <w:uiPriority w:val="99"/>
    <w:unhideWhenUsed/>
    <w:rsid w:val="0D317180"/>
    <w:rPr>
      <w:color w:val="467886"/>
      <w:u w:val="single"/>
    </w:rPr>
  </w:style>
  <w:style w:type="paragraph" w:styleId="TOC1">
    <w:name w:val="toc 1"/>
    <w:basedOn w:val="Normal"/>
    <w:next w:val="Normal"/>
    <w:uiPriority w:val="39"/>
    <w:unhideWhenUsed/>
    <w:rsid w:val="0D317180"/>
    <w:pPr>
      <w:spacing w:after="100"/>
    </w:pPr>
  </w:style>
  <w:style w:type="paragraph" w:styleId="TOC2">
    <w:name w:val="toc 2"/>
    <w:basedOn w:val="Normal"/>
    <w:next w:val="Normal"/>
    <w:uiPriority w:val="39"/>
    <w:unhideWhenUsed/>
    <w:rsid w:val="0D317180"/>
    <w:pPr>
      <w:spacing w:after="100"/>
      <w:ind w:left="220"/>
    </w:pPr>
  </w:style>
  <w:style w:type="paragraph" w:styleId="TOC3">
    <w:name w:val="toc 3"/>
    <w:basedOn w:val="Normal"/>
    <w:next w:val="Normal"/>
    <w:uiPriority w:val="39"/>
    <w:unhideWhenUsed/>
    <w:rsid w:val="0D317180"/>
    <w:pPr>
      <w:spacing w:after="100"/>
      <w:ind w:left="440"/>
    </w:pPr>
  </w:style>
  <w:style w:type="character" w:styleId="UnresolvedMention">
    <w:name w:val="Unresolved Mention"/>
    <w:basedOn w:val="DefaultParagraphFont"/>
    <w:uiPriority w:val="99"/>
    <w:semiHidden/>
    <w:unhideWhenUsed/>
    <w:rsid w:val="0061777A"/>
    <w:rPr>
      <w:color w:val="605E5C"/>
      <w:shd w:val="clear" w:color="auto" w:fill="E1DFDD"/>
    </w:rPr>
  </w:style>
  <w:style w:type="character" w:styleId="FollowedHyperlink">
    <w:name w:val="FollowedHyperlink"/>
    <w:basedOn w:val="DefaultParagraphFont"/>
    <w:uiPriority w:val="99"/>
    <w:semiHidden/>
    <w:unhideWhenUsed/>
    <w:rsid w:val="0061777A"/>
    <w:rPr>
      <w:color w:val="96607D" w:themeColor="followedHyperlink"/>
      <w:u w:val="single"/>
    </w:rPr>
  </w:style>
  <w:style w:type="paragraph" w:styleId="Revision">
    <w:name w:val="Revision"/>
    <w:hidden/>
    <w:uiPriority w:val="99"/>
    <w:semiHidden/>
    <w:rsid w:val="00915D1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onash.edu/en/publications/quality-assurance-and-regulatory-mechanisms-in-the-tour-guiding-i/?utm_source=chatgpt.com" TargetMode="External"/><Relationship Id="rId13" Type="http://schemas.openxmlformats.org/officeDocument/2006/relationships/hyperlink" Target="https://doi.org/10.1177/1096348009349815" TargetMode="External"/><Relationship Id="rId18" Type="http://schemas.openxmlformats.org/officeDocument/2006/relationships/hyperlink" Target="https://doi.org/10.1080/02508281.2024.2417334"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motac.gov.my/en/enforcement-action-against-unlicensed-tourism-activities/" TargetMode="External"/><Relationship Id="rId7" Type="http://schemas.openxmlformats.org/officeDocument/2006/relationships/image" Target="media/image1.png"/><Relationship Id="rId12" Type="http://schemas.openxmlformats.org/officeDocument/2006/relationships/hyperlink" Target="https://doi.org/10.26650/jecs2020-0015" TargetMode="External"/><Relationship Id="rId17" Type="http://schemas.openxmlformats.org/officeDocument/2006/relationships/hyperlink" Target="https://www.reuters.com/world/asia-pacific/malaysia-misses-2024-tourist-arrival-targets-despite-reporting-over-25-mln-2025-02-05/" TargetMode="External"/><Relationship Id="rId25" Type="http://schemas.openxmlformats.org/officeDocument/2006/relationships/hyperlink" Target="https://doi.org/10.1016/j.jdmm.2020.100431" TargetMode="External"/><Relationship Id="rId2" Type="http://schemas.openxmlformats.org/officeDocument/2006/relationships/styles" Target="styles.xml"/><Relationship Id="rId16" Type="http://schemas.openxmlformats.org/officeDocument/2006/relationships/hyperlink" Target="https://www.oecd.org/en/publications/oecd-tourism-trends-and-policies-2024_80885d8b-en.html" TargetMode="External"/><Relationship Id="rId20" Type="http://schemas.openxmlformats.org/officeDocument/2006/relationships/hyperlink" Target="https://www.motac.gov.my/en/"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osm.gov.my/portal-main/release-content/tourism-satellite-account-2024?utm_source=chatgpt.com" TargetMode="External"/><Relationship Id="rId24" Type="http://schemas.openxmlformats.org/officeDocument/2006/relationships/hyperlink" Target="https://doi.org/10.1080/1528008X.2021.1891599" TargetMode="External"/><Relationship Id="rId5" Type="http://schemas.openxmlformats.org/officeDocument/2006/relationships/footnotes" Target="footnotes.xml"/><Relationship Id="rId15" Type="http://schemas.openxmlformats.org/officeDocument/2006/relationships/hyperlink" Target="https://doi.org/10.3390/su13084383" TargetMode="External"/><Relationship Id="rId23" Type="http://schemas.openxmlformats.org/officeDocument/2006/relationships/hyperlink" Target="https://www.unwto.org/sustainable-development" TargetMode="External"/><Relationship Id="rId28" Type="http://schemas.openxmlformats.org/officeDocument/2006/relationships/fontTable" Target="fontTable.xml"/><Relationship Id="rId10" Type="http://schemas.openxmlformats.org/officeDocument/2006/relationships/hyperlink" Target="https://doi.org/10.1080/02508281.2023.2255939" TargetMode="External"/><Relationship Id="rId19" Type="http://schemas.openxmlformats.org/officeDocument/2006/relationships/hyperlink" Target="https://www.tourism.gov.my/industry/view/tourism-business-licensing-registration" TargetMode="External"/><Relationship Id="rId4" Type="http://schemas.openxmlformats.org/officeDocument/2006/relationships/webSettings" Target="webSettings.xml"/><Relationship Id="rId9" Type="http://schemas.openxmlformats.org/officeDocument/2006/relationships/hyperlink" Target="https://doi.org/10.1080/14616688.2024.2325932" TargetMode="External"/><Relationship Id="rId14" Type="http://schemas.openxmlformats.org/officeDocument/2006/relationships/hyperlink" Target="https://doi.org/10.1177/0047287513517426" TargetMode="External"/><Relationship Id="rId22" Type="http://schemas.openxmlformats.org/officeDocument/2006/relationships/hyperlink" Target="https://www.malaysia.gov.my/en/digital-services/licensed-tourist-guide-search"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3686</Words>
  <Characters>21013</Characters>
  <Application>Microsoft Office Word</Application>
  <DocSecurity>0</DocSecurity>
  <Lines>175</Lines>
  <Paragraphs>49</Paragraphs>
  <ScaleCrop>false</ScaleCrop>
  <Company/>
  <LinksUpToDate>false</LinksUpToDate>
  <CharactersWithSpaces>24650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Jones (2318163)</dc:creator>
  <cp:keywords/>
  <dc:description/>
  <cp:lastModifiedBy>Andrew Jones (2318163)</cp:lastModifiedBy>
  <cp:revision>6</cp:revision>
  <dcterms:created xsi:type="dcterms:W3CDTF">2026-07-12T22:09:00Z</dcterms:created>
  <dcterms:modified xsi:type="dcterms:W3CDTF">2026-07-12T22:13:00Z</dcterms:modified>
</cp:coreProperties>
</file>