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620"/>
        <w:gridCol w:w="286"/>
        <w:gridCol w:w="1701"/>
      </w:tblGrid>
      <w:tr w:rsidR="00BD269E" w:rsidRPr="0065654E">
        <w:trPr>
          <w:trHeight w:val="849"/>
        </w:trPr>
        <w:tc>
          <w:tcPr>
            <w:tcW w:w="8755" w:type="dxa"/>
            <w:gridSpan w:val="4"/>
          </w:tcPr>
          <w:p w:rsidR="00BD269E" w:rsidRPr="0065654E" w:rsidRDefault="00BD269E" w:rsidP="00F14355">
            <w:pPr>
              <w:pStyle w:val="NormalWeb"/>
              <w:spacing w:before="0" w:beforeAutospacing="0" w:after="0" w:afterAutospacing="0"/>
              <w:ind w:right="34"/>
              <w:rPr>
                <w:rFonts w:ascii="Calibri" w:hAnsi="Calibri" w:cs="Calibri"/>
                <w:i/>
                <w:iCs/>
                <w:sz w:val="24"/>
                <w:szCs w:val="24"/>
                <w:lang w:val="cy-GB"/>
              </w:rPr>
            </w:pPr>
          </w:p>
          <w:p w:rsidR="00BD269E" w:rsidRDefault="00BD269E" w:rsidP="002E2BA0">
            <w:pPr>
              <w:pStyle w:val="NormalWeb"/>
              <w:spacing w:before="0" w:beforeAutospacing="0" w:after="0" w:afterAutospacing="0"/>
              <w:ind w:right="34"/>
              <w:jc w:val="center"/>
              <w:rPr>
                <w:rFonts w:ascii="Calibri" w:hAnsi="Calibri" w:cs="Calibri"/>
                <w:b/>
                <w:bCs/>
                <w:sz w:val="24"/>
                <w:szCs w:val="24"/>
                <w:lang w:val="cy-GB"/>
              </w:rPr>
            </w:pPr>
            <w:r w:rsidRPr="0065654E">
              <w:rPr>
                <w:rFonts w:ascii="Calibri" w:hAnsi="Calibri" w:cs="Calibri"/>
                <w:b/>
                <w:bCs/>
                <w:sz w:val="24"/>
                <w:szCs w:val="24"/>
                <w:lang w:val="cy-GB"/>
              </w:rPr>
              <w:t>Assignment</w:t>
            </w:r>
            <w:r>
              <w:rPr>
                <w:rFonts w:ascii="Calibri" w:hAnsi="Calibri" w:cs="Calibri"/>
                <w:b/>
                <w:bCs/>
                <w:sz w:val="24"/>
                <w:szCs w:val="24"/>
                <w:lang w:val="cy-GB"/>
              </w:rPr>
              <w:t xml:space="preserve"> feedback </w:t>
            </w:r>
          </w:p>
          <w:p w:rsidR="00BD269E" w:rsidRDefault="00BD269E" w:rsidP="002E2BA0">
            <w:pPr>
              <w:pStyle w:val="NormalWeb"/>
              <w:spacing w:before="0" w:beforeAutospacing="0" w:after="0" w:afterAutospacing="0"/>
              <w:ind w:right="34"/>
              <w:jc w:val="center"/>
              <w:rPr>
                <w:rFonts w:ascii="Calibri" w:hAnsi="Calibri" w:cs="Calibri"/>
                <w:b/>
                <w:bCs/>
                <w:sz w:val="24"/>
                <w:szCs w:val="24"/>
                <w:lang w:val="cy-GB"/>
              </w:rPr>
            </w:pPr>
          </w:p>
          <w:p w:rsidR="00BD269E" w:rsidRPr="0065654E" w:rsidRDefault="00BD269E" w:rsidP="002E2BA0">
            <w:pPr>
              <w:pStyle w:val="NormalWeb"/>
              <w:spacing w:before="0" w:beforeAutospacing="0" w:after="0" w:afterAutospacing="0"/>
              <w:ind w:right="34"/>
              <w:jc w:val="center"/>
              <w:rPr>
                <w:rFonts w:ascii="Calibri" w:hAnsi="Calibri" w:cs="Calibri"/>
                <w:b/>
                <w:bCs/>
                <w:sz w:val="24"/>
                <w:szCs w:val="24"/>
              </w:rPr>
            </w:pPr>
          </w:p>
        </w:tc>
      </w:tr>
      <w:tr w:rsidR="00BD269E" w:rsidRPr="0065654E">
        <w:trPr>
          <w:trHeight w:val="373"/>
        </w:trPr>
        <w:tc>
          <w:tcPr>
            <w:tcW w:w="8755" w:type="dxa"/>
            <w:gridSpan w:val="4"/>
          </w:tcPr>
          <w:p w:rsidR="00BD269E" w:rsidRPr="0065654E" w:rsidRDefault="00BD269E" w:rsidP="00E57529">
            <w:pPr>
              <w:pStyle w:val="NormalWeb"/>
              <w:spacing w:before="0" w:beforeAutospacing="0" w:after="0" w:afterAutospacing="0"/>
              <w:ind w:right="34"/>
              <w:rPr>
                <w:rFonts w:ascii="Calibri" w:hAnsi="Calibri" w:cs="Calibri"/>
                <w:i/>
                <w:iCs/>
                <w:sz w:val="24"/>
                <w:szCs w:val="24"/>
              </w:rPr>
            </w:pPr>
          </w:p>
        </w:tc>
      </w:tr>
      <w:tr w:rsidR="00BD269E" w:rsidRPr="0065654E">
        <w:trPr>
          <w:trHeight w:val="373"/>
        </w:trPr>
        <w:tc>
          <w:tcPr>
            <w:tcW w:w="8755" w:type="dxa"/>
            <w:gridSpan w:val="4"/>
          </w:tcPr>
          <w:p w:rsidR="00BD269E" w:rsidRDefault="00BD269E" w:rsidP="00E57529">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Na</w:t>
            </w:r>
            <w:r>
              <w:rPr>
                <w:rFonts w:ascii="Calibri" w:hAnsi="Calibri" w:cs="Calibri"/>
                <w:i/>
                <w:iCs/>
                <w:sz w:val="24"/>
                <w:szCs w:val="24"/>
              </w:rPr>
              <w:t xml:space="preserve">me: </w:t>
            </w:r>
            <w:r w:rsidR="007A1600">
              <w:rPr>
                <w:rFonts w:ascii="Calibri" w:hAnsi="Calibri" w:cs="Calibri"/>
                <w:i/>
                <w:iCs/>
                <w:sz w:val="24"/>
                <w:szCs w:val="24"/>
              </w:rPr>
              <w:t xml:space="preserve"> Mathew Bennett</w:t>
            </w:r>
          </w:p>
          <w:p w:rsidR="00BD269E" w:rsidRPr="0065654E" w:rsidRDefault="00BD269E" w:rsidP="00E57529">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Student University Email:</w:t>
            </w:r>
            <w:r w:rsidR="007A1600">
              <w:rPr>
                <w:rFonts w:ascii="Calibri" w:hAnsi="Calibri" w:cs="Calibri"/>
                <w:i/>
                <w:iCs/>
                <w:sz w:val="24"/>
                <w:szCs w:val="24"/>
              </w:rPr>
              <w:t xml:space="preserve"> 1600138@student.uwtsd.ac.uk</w:t>
            </w:r>
          </w:p>
        </w:tc>
      </w:tr>
      <w:tr w:rsidR="00BD269E" w:rsidRPr="0065654E">
        <w:trPr>
          <w:trHeight w:val="849"/>
        </w:trPr>
        <w:tc>
          <w:tcPr>
            <w:tcW w:w="5148" w:type="dxa"/>
          </w:tcPr>
          <w:p w:rsidR="00BD269E" w:rsidRDefault="00BD269E" w:rsidP="00C129C7">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Module code</w:t>
            </w:r>
            <w:r>
              <w:rPr>
                <w:rFonts w:ascii="Calibri" w:hAnsi="Calibri" w:cs="Calibri"/>
                <w:i/>
                <w:iCs/>
                <w:sz w:val="24"/>
                <w:szCs w:val="24"/>
              </w:rPr>
              <w:t>:</w:t>
            </w:r>
            <w:r w:rsidR="007A1600">
              <w:rPr>
                <w:rFonts w:ascii="Calibri" w:hAnsi="Calibri" w:cs="Calibri"/>
                <w:i/>
                <w:iCs/>
                <w:sz w:val="24"/>
                <w:szCs w:val="24"/>
              </w:rPr>
              <w:t xml:space="preserve"> AHSK5003</w:t>
            </w:r>
          </w:p>
          <w:p w:rsidR="00BD269E" w:rsidRDefault="00BD269E" w:rsidP="00C129C7">
            <w:pPr>
              <w:pStyle w:val="NormalWeb"/>
              <w:spacing w:before="0" w:beforeAutospacing="0" w:after="0" w:afterAutospacing="0"/>
              <w:ind w:right="34"/>
              <w:rPr>
                <w:rFonts w:ascii="Calibri" w:hAnsi="Calibri" w:cs="Calibri"/>
                <w:i/>
                <w:iCs/>
                <w:sz w:val="24"/>
                <w:szCs w:val="24"/>
              </w:rPr>
            </w:pPr>
          </w:p>
          <w:p w:rsidR="00BD269E" w:rsidRPr="0065654E" w:rsidRDefault="00BD269E" w:rsidP="00C129C7">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Module </w:t>
            </w:r>
            <w:r w:rsidRPr="0065654E">
              <w:rPr>
                <w:rFonts w:ascii="Calibri" w:hAnsi="Calibri" w:cs="Calibri"/>
                <w:i/>
                <w:iCs/>
                <w:sz w:val="24"/>
                <w:szCs w:val="24"/>
              </w:rPr>
              <w:t>title</w:t>
            </w:r>
            <w:r>
              <w:rPr>
                <w:rFonts w:ascii="Calibri" w:hAnsi="Calibri" w:cs="Calibri"/>
                <w:i/>
                <w:iCs/>
                <w:sz w:val="24"/>
                <w:szCs w:val="24"/>
              </w:rPr>
              <w:t>:</w:t>
            </w:r>
            <w:r w:rsidR="007A1600">
              <w:rPr>
                <w:rFonts w:ascii="Calibri" w:hAnsi="Calibri" w:cs="Calibri"/>
                <w:i/>
                <w:iCs/>
                <w:sz w:val="24"/>
                <w:szCs w:val="24"/>
              </w:rPr>
              <w:t xml:space="preserve"> Thinking Through Archaeology</w:t>
            </w:r>
          </w:p>
        </w:tc>
        <w:tc>
          <w:tcPr>
            <w:tcW w:w="1906" w:type="dxa"/>
            <w:gridSpan w:val="2"/>
          </w:tcPr>
          <w:p w:rsidR="00BD269E" w:rsidRPr="0065654E" w:rsidRDefault="00BD269E" w:rsidP="00C129C7">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ID number:</w:t>
            </w:r>
          </w:p>
          <w:p w:rsidR="00BD269E" w:rsidRPr="0065654E" w:rsidRDefault="007A1600" w:rsidP="00C129C7">
            <w:pPr>
              <w:pStyle w:val="NormalWeb"/>
              <w:spacing w:before="0" w:beforeAutospacing="0" w:after="0" w:afterAutospacing="0"/>
              <w:ind w:right="34"/>
              <w:rPr>
                <w:rFonts w:ascii="Calibri" w:hAnsi="Calibri" w:cs="Calibri"/>
                <w:i/>
                <w:iCs/>
                <w:color w:val="A6A6A6"/>
                <w:sz w:val="24"/>
                <w:szCs w:val="24"/>
              </w:rPr>
            </w:pPr>
            <w:r>
              <w:rPr>
                <w:rFonts w:ascii="Calibri" w:hAnsi="Calibri" w:cs="Calibri"/>
                <w:i/>
                <w:iCs/>
                <w:color w:val="A6A6A6"/>
                <w:sz w:val="24"/>
                <w:szCs w:val="24"/>
              </w:rPr>
              <w:t>1600138</w:t>
            </w:r>
          </w:p>
        </w:tc>
        <w:tc>
          <w:tcPr>
            <w:tcW w:w="1701" w:type="dxa"/>
          </w:tcPr>
          <w:p w:rsidR="00BD269E" w:rsidRPr="0065654E" w:rsidRDefault="00BD269E" w:rsidP="00C129C7">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Educational support needs:</w:t>
            </w:r>
          </w:p>
          <w:p w:rsidR="00BD269E" w:rsidRPr="0065654E" w:rsidRDefault="00BD269E" w:rsidP="00C129C7">
            <w:pPr>
              <w:pStyle w:val="NormalWeb"/>
              <w:spacing w:before="0" w:beforeAutospacing="0" w:after="0" w:afterAutospacing="0"/>
              <w:ind w:right="34"/>
              <w:rPr>
                <w:rFonts w:ascii="Calibri" w:hAnsi="Calibri" w:cs="Calibri"/>
                <w:i/>
                <w:iCs/>
                <w:sz w:val="24"/>
                <w:szCs w:val="24"/>
              </w:rPr>
            </w:pPr>
          </w:p>
          <w:p w:rsidR="00BD269E" w:rsidRPr="0065654E" w:rsidRDefault="00BD269E" w:rsidP="00C129C7">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No</w:t>
            </w:r>
          </w:p>
        </w:tc>
      </w:tr>
      <w:tr w:rsidR="00BD269E" w:rsidRPr="0065654E">
        <w:trPr>
          <w:trHeight w:val="849"/>
        </w:trPr>
        <w:tc>
          <w:tcPr>
            <w:tcW w:w="8755" w:type="dxa"/>
            <w:gridSpan w:val="4"/>
          </w:tcPr>
          <w:p w:rsidR="00BD269E" w:rsidRDefault="00BD269E" w:rsidP="00C129C7">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Assignment title: </w:t>
            </w:r>
            <w:r w:rsidR="007A1600">
              <w:rPr>
                <w:rFonts w:ascii="Calibri" w:hAnsi="Calibri" w:cs="Calibri"/>
                <w:i/>
                <w:iCs/>
                <w:sz w:val="24"/>
                <w:szCs w:val="24"/>
              </w:rPr>
              <w:t>Assignment 1: Sections A &amp; B</w:t>
            </w:r>
          </w:p>
          <w:p w:rsidR="00BD269E" w:rsidRDefault="00BD269E" w:rsidP="00C129C7">
            <w:pPr>
              <w:pStyle w:val="NormalWeb"/>
              <w:spacing w:before="0" w:beforeAutospacing="0" w:after="0" w:afterAutospacing="0"/>
              <w:ind w:right="34"/>
              <w:rPr>
                <w:rFonts w:ascii="Calibri" w:hAnsi="Calibri" w:cs="Calibri"/>
                <w:i/>
                <w:iCs/>
                <w:sz w:val="24"/>
                <w:szCs w:val="24"/>
              </w:rPr>
            </w:pPr>
          </w:p>
          <w:p w:rsidR="00BD269E" w:rsidRPr="0065654E" w:rsidRDefault="00BD269E" w:rsidP="00C129C7">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due date:</w:t>
            </w:r>
            <w:r w:rsidR="007A1600">
              <w:rPr>
                <w:rFonts w:ascii="Calibri" w:hAnsi="Calibri" w:cs="Calibri"/>
                <w:i/>
                <w:iCs/>
                <w:sz w:val="24"/>
                <w:szCs w:val="24"/>
              </w:rPr>
              <w:t xml:space="preserve"> 4</w:t>
            </w:r>
            <w:r w:rsidR="007A1600" w:rsidRPr="007A1600">
              <w:rPr>
                <w:rFonts w:ascii="Calibri" w:hAnsi="Calibri" w:cs="Calibri"/>
                <w:i/>
                <w:iCs/>
                <w:sz w:val="24"/>
                <w:szCs w:val="24"/>
                <w:vertAlign w:val="superscript"/>
              </w:rPr>
              <w:t>th</w:t>
            </w:r>
            <w:r w:rsidR="007A1600">
              <w:rPr>
                <w:rFonts w:ascii="Calibri" w:hAnsi="Calibri" w:cs="Calibri"/>
                <w:i/>
                <w:iCs/>
                <w:sz w:val="24"/>
                <w:szCs w:val="24"/>
              </w:rPr>
              <w:t xml:space="preserve"> November 2017</w:t>
            </w:r>
          </w:p>
        </w:tc>
      </w:tr>
      <w:tr w:rsidR="00BD269E" w:rsidRPr="0065654E">
        <w:trPr>
          <w:trHeight w:val="504"/>
        </w:trPr>
        <w:tc>
          <w:tcPr>
            <w:tcW w:w="8755" w:type="dxa"/>
            <w:gridSpan w:val="4"/>
          </w:tcPr>
          <w:p w:rsidR="00BD269E" w:rsidRDefault="00BD269E" w:rsidP="00C129C7">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Assignment Number: </w:t>
            </w:r>
            <w:r w:rsidR="007A1600">
              <w:rPr>
                <w:rFonts w:ascii="Calibri" w:hAnsi="Calibri" w:cs="Calibri"/>
                <w:i/>
                <w:iCs/>
                <w:sz w:val="24"/>
                <w:szCs w:val="24"/>
              </w:rPr>
              <w:t xml:space="preserve"> 1</w:t>
            </w:r>
          </w:p>
          <w:p w:rsidR="00BD269E" w:rsidRDefault="00BD269E" w:rsidP="00C129C7">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(i.e. 1,2,3)</w:t>
            </w:r>
          </w:p>
        </w:tc>
      </w:tr>
      <w:tr w:rsidR="00BD269E" w:rsidRPr="0065654E">
        <w:trPr>
          <w:trHeight w:val="6165"/>
        </w:trPr>
        <w:tc>
          <w:tcPr>
            <w:tcW w:w="8755" w:type="dxa"/>
            <w:gridSpan w:val="4"/>
          </w:tcPr>
          <w:p w:rsidR="00BD269E" w:rsidRPr="0065654E" w:rsidRDefault="00BD269E" w:rsidP="0063628C">
            <w:pPr>
              <w:pStyle w:val="NormalWeb"/>
              <w:rPr>
                <w:rFonts w:ascii="Calibri" w:hAnsi="Calibri" w:cs="Calibri"/>
                <w:i/>
                <w:iCs/>
                <w:sz w:val="24"/>
                <w:szCs w:val="24"/>
              </w:rPr>
            </w:pPr>
          </w:p>
          <w:p w:rsidR="00BD269E" w:rsidRPr="0065654E" w:rsidRDefault="00BD269E" w:rsidP="00035C2C">
            <w:pPr>
              <w:pStyle w:val="NormalWeb"/>
              <w:rPr>
                <w:rFonts w:ascii="Calibri" w:hAnsi="Calibri" w:cs="Calibri"/>
                <w:i/>
                <w:iCs/>
                <w:sz w:val="24"/>
                <w:szCs w:val="24"/>
              </w:rPr>
            </w:pPr>
          </w:p>
        </w:tc>
      </w:tr>
      <w:tr w:rsidR="00BD269E" w:rsidRPr="0065654E">
        <w:tc>
          <w:tcPr>
            <w:tcW w:w="6768" w:type="dxa"/>
            <w:gridSpan w:val="2"/>
          </w:tcPr>
          <w:p w:rsidR="00BD269E" w:rsidRPr="0065654E" w:rsidRDefault="00BD269E" w:rsidP="00E3766D">
            <w:pPr>
              <w:pStyle w:val="NormalWeb"/>
              <w:ind w:left="142" w:right="34"/>
              <w:rPr>
                <w:rFonts w:ascii="Calibri" w:hAnsi="Calibri" w:cs="Calibri"/>
                <w:i/>
                <w:iCs/>
                <w:sz w:val="24"/>
                <w:szCs w:val="24"/>
              </w:rPr>
            </w:pPr>
            <w:r w:rsidRPr="0065654E">
              <w:rPr>
                <w:rFonts w:ascii="Calibri" w:hAnsi="Calibri" w:cs="Calibri"/>
                <w:i/>
                <w:iCs/>
                <w:sz w:val="24"/>
                <w:szCs w:val="24"/>
              </w:rPr>
              <w:t>Marker</w:t>
            </w:r>
            <w:r>
              <w:rPr>
                <w:rFonts w:ascii="Calibri" w:hAnsi="Calibri" w:cs="Calibri"/>
                <w:i/>
                <w:iCs/>
                <w:sz w:val="24"/>
                <w:szCs w:val="24"/>
              </w:rPr>
              <w:t xml:space="preserve">’s </w:t>
            </w:r>
            <w:r w:rsidRPr="0065654E">
              <w:rPr>
                <w:rFonts w:ascii="Calibri" w:hAnsi="Calibri" w:cs="Calibri"/>
                <w:i/>
                <w:iCs/>
                <w:sz w:val="24"/>
                <w:szCs w:val="24"/>
              </w:rPr>
              <w:t xml:space="preserve"> signature:</w:t>
            </w:r>
            <w:r>
              <w:rPr>
                <w:rFonts w:ascii="Calibri" w:hAnsi="Calibri" w:cs="Calibri"/>
                <w:i/>
                <w:iCs/>
                <w:sz w:val="24"/>
                <w:szCs w:val="24"/>
              </w:rPr>
              <w:t xml:space="preserve"> </w:t>
            </w:r>
          </w:p>
          <w:p w:rsidR="00BD269E" w:rsidRPr="0065654E" w:rsidRDefault="00BD269E" w:rsidP="00E3766D">
            <w:pPr>
              <w:pStyle w:val="NormalWeb"/>
              <w:ind w:left="142" w:right="34"/>
              <w:rPr>
                <w:rFonts w:ascii="Calibri" w:hAnsi="Calibri" w:cs="Calibri"/>
                <w:i/>
                <w:iCs/>
                <w:sz w:val="24"/>
                <w:szCs w:val="24"/>
              </w:rPr>
            </w:pPr>
          </w:p>
        </w:tc>
        <w:tc>
          <w:tcPr>
            <w:tcW w:w="1987" w:type="dxa"/>
            <w:gridSpan w:val="2"/>
          </w:tcPr>
          <w:p w:rsidR="00BD269E" w:rsidRDefault="00BD269E" w:rsidP="00E3766D">
            <w:pPr>
              <w:pStyle w:val="NormalWeb"/>
              <w:spacing w:after="0"/>
              <w:ind w:left="142" w:right="34"/>
              <w:rPr>
                <w:rFonts w:ascii="Calibri" w:hAnsi="Calibri" w:cs="Calibri"/>
                <w:i/>
                <w:iCs/>
                <w:sz w:val="24"/>
                <w:szCs w:val="24"/>
              </w:rPr>
            </w:pPr>
            <w:r>
              <w:rPr>
                <w:rFonts w:ascii="Calibri" w:hAnsi="Calibri" w:cs="Calibri"/>
                <w:i/>
                <w:iCs/>
                <w:sz w:val="24"/>
                <w:szCs w:val="24"/>
              </w:rPr>
              <w:t>D</w:t>
            </w:r>
            <w:r w:rsidRPr="0065654E">
              <w:rPr>
                <w:rFonts w:ascii="Calibri" w:hAnsi="Calibri" w:cs="Calibri"/>
                <w:i/>
                <w:iCs/>
                <w:sz w:val="24"/>
                <w:szCs w:val="24"/>
              </w:rPr>
              <w:t>ate</w:t>
            </w:r>
            <w:r>
              <w:rPr>
                <w:rFonts w:ascii="Calibri" w:hAnsi="Calibri" w:cs="Calibri"/>
                <w:i/>
                <w:iCs/>
                <w:sz w:val="24"/>
                <w:szCs w:val="24"/>
              </w:rPr>
              <w:t>:</w:t>
            </w:r>
          </w:p>
          <w:p w:rsidR="00BD269E" w:rsidRPr="0065654E" w:rsidRDefault="00BD269E" w:rsidP="00E3766D">
            <w:pPr>
              <w:pStyle w:val="NormalWeb"/>
              <w:spacing w:after="0"/>
              <w:ind w:left="142" w:right="34"/>
              <w:rPr>
                <w:rFonts w:ascii="Calibri" w:hAnsi="Calibri" w:cs="Calibri"/>
                <w:i/>
                <w:iCs/>
                <w:sz w:val="24"/>
                <w:szCs w:val="24"/>
              </w:rPr>
            </w:pPr>
          </w:p>
        </w:tc>
      </w:tr>
      <w:tr w:rsidR="00BD269E" w:rsidRPr="0065654E">
        <w:tc>
          <w:tcPr>
            <w:tcW w:w="8755" w:type="dxa"/>
            <w:gridSpan w:val="4"/>
          </w:tcPr>
          <w:p w:rsidR="00BD269E" w:rsidRDefault="00BD269E" w:rsidP="00B45FEF">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Provisional</w:t>
            </w:r>
            <w:r>
              <w:rPr>
                <w:rFonts w:ascii="Calibri" w:hAnsi="Calibri" w:cs="Calibri"/>
                <w:i/>
                <w:iCs/>
                <w:sz w:val="24"/>
                <w:szCs w:val="24"/>
              </w:rPr>
              <w:t>.</w:t>
            </w:r>
          </w:p>
          <w:p w:rsidR="00BD269E" w:rsidRPr="0065654E" w:rsidRDefault="00BD269E" w:rsidP="00B45FEF">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b/>
                <w:bCs/>
                <w:i/>
                <w:iCs/>
                <w:sz w:val="24"/>
                <w:szCs w:val="24"/>
              </w:rPr>
              <w:t>NB.</w:t>
            </w:r>
            <w:r w:rsidRPr="0065654E">
              <w:rPr>
                <w:rFonts w:ascii="Calibri" w:hAnsi="Calibri" w:cs="Calibri"/>
                <w:i/>
                <w:iCs/>
                <w:sz w:val="24"/>
                <w:szCs w:val="24"/>
              </w:rPr>
              <w:t xml:space="preserve">  All marks are provisional until confirmed by the </w:t>
            </w:r>
            <w:r>
              <w:rPr>
                <w:rFonts w:ascii="Calibri" w:hAnsi="Calibri" w:cs="Calibri"/>
                <w:i/>
                <w:iCs/>
                <w:sz w:val="24"/>
                <w:szCs w:val="24"/>
              </w:rPr>
              <w:t xml:space="preserve">final </w:t>
            </w:r>
            <w:r w:rsidRPr="0065654E">
              <w:rPr>
                <w:rFonts w:ascii="Calibri" w:hAnsi="Calibri" w:cs="Calibri"/>
                <w:i/>
                <w:iCs/>
                <w:sz w:val="24"/>
                <w:szCs w:val="24"/>
              </w:rPr>
              <w:t>exam</w:t>
            </w:r>
            <w:r>
              <w:rPr>
                <w:rFonts w:ascii="Calibri" w:hAnsi="Calibri" w:cs="Calibri"/>
                <w:i/>
                <w:iCs/>
                <w:sz w:val="24"/>
                <w:szCs w:val="24"/>
              </w:rPr>
              <w:t>ination</w:t>
            </w:r>
            <w:r w:rsidRPr="0065654E">
              <w:rPr>
                <w:rFonts w:ascii="Calibri" w:hAnsi="Calibri" w:cs="Calibri"/>
                <w:i/>
                <w:iCs/>
                <w:sz w:val="24"/>
                <w:szCs w:val="24"/>
              </w:rPr>
              <w:t xml:space="preserve"> board. </w:t>
            </w:r>
          </w:p>
          <w:p w:rsidR="00BD269E" w:rsidRPr="0065654E" w:rsidRDefault="00BD269E" w:rsidP="00B45FEF">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 xml:space="preserve"> </w:t>
            </w:r>
          </w:p>
        </w:tc>
      </w:tr>
    </w:tbl>
    <w:p w:rsidR="00BD269E" w:rsidRDefault="00BD269E" w:rsidP="00A61439">
      <w:pPr>
        <w:jc w:val="center"/>
      </w:pPr>
    </w:p>
    <w:p w:rsidR="007A1600" w:rsidRDefault="007A1600" w:rsidP="00A61439">
      <w:pPr>
        <w:jc w:val="center"/>
      </w:pPr>
    </w:p>
    <w:p w:rsidR="00FD53F6" w:rsidRDefault="00FD53F6" w:rsidP="00A61439">
      <w:pPr>
        <w:jc w:val="center"/>
      </w:pPr>
    </w:p>
    <w:p w:rsidR="007A1600" w:rsidRDefault="007A1600" w:rsidP="00A61439">
      <w:pPr>
        <w:jc w:val="center"/>
        <w:rPr>
          <w:rFonts w:asciiTheme="minorHAnsi" w:hAnsiTheme="minorHAnsi" w:cstheme="minorHAnsi"/>
          <w:b/>
          <w:sz w:val="36"/>
          <w:u w:val="single"/>
        </w:rPr>
      </w:pPr>
      <w:r>
        <w:rPr>
          <w:rFonts w:asciiTheme="minorHAnsi" w:hAnsiTheme="minorHAnsi" w:cstheme="minorHAnsi"/>
          <w:b/>
          <w:sz w:val="36"/>
          <w:u w:val="single"/>
        </w:rPr>
        <w:lastRenderedPageBreak/>
        <w:t>Section A: Text 1</w:t>
      </w:r>
    </w:p>
    <w:p w:rsidR="007A1600" w:rsidRDefault="007A1600" w:rsidP="00A61439">
      <w:pPr>
        <w:jc w:val="center"/>
        <w:rPr>
          <w:rFonts w:asciiTheme="minorHAnsi" w:hAnsiTheme="minorHAnsi" w:cstheme="minorHAnsi"/>
          <w:b/>
          <w:sz w:val="36"/>
          <w:u w:val="single"/>
        </w:rPr>
      </w:pPr>
    </w:p>
    <w:p w:rsidR="000F2AAB" w:rsidRDefault="007A1600" w:rsidP="007A1600">
      <w:pPr>
        <w:rPr>
          <w:rFonts w:asciiTheme="minorHAnsi" w:hAnsiTheme="minorHAnsi" w:cstheme="minorHAnsi"/>
        </w:rPr>
      </w:pPr>
      <w:r>
        <w:rPr>
          <w:rFonts w:asciiTheme="minorHAnsi" w:hAnsiTheme="minorHAnsi" w:cstheme="minorHAnsi"/>
        </w:rPr>
        <w:tab/>
      </w:r>
      <w:r w:rsidR="009550F2" w:rsidRPr="00EB66FA">
        <w:rPr>
          <w:rFonts w:asciiTheme="minorHAnsi" w:hAnsiTheme="minorHAnsi" w:cstheme="minorHAnsi"/>
        </w:rPr>
        <w:t>Though there are many theories that the author of this text could be using, I bel</w:t>
      </w:r>
      <w:r w:rsidR="001369FC" w:rsidRPr="00EB66FA">
        <w:rPr>
          <w:rFonts w:asciiTheme="minorHAnsi" w:hAnsiTheme="minorHAnsi" w:cstheme="minorHAnsi"/>
        </w:rPr>
        <w:t>ieve that the author is analysing</w:t>
      </w:r>
      <w:r w:rsidR="009550F2" w:rsidRPr="00EB66FA">
        <w:rPr>
          <w:rFonts w:asciiTheme="minorHAnsi" w:hAnsiTheme="minorHAnsi" w:cstheme="minorHAnsi"/>
        </w:rPr>
        <w:t xml:space="preserve"> the site though the lens of Structuralism and semiotics. </w:t>
      </w:r>
      <w:r w:rsidR="00C06288" w:rsidRPr="00EB66FA">
        <w:rPr>
          <w:rFonts w:asciiTheme="minorHAnsi" w:hAnsiTheme="minorHAnsi" w:cstheme="minorHAnsi"/>
        </w:rPr>
        <w:t>Johnson defines semiotics as “The study of signs” and structuralism as “The belief that culture is governed by rules analogous</w:t>
      </w:r>
      <w:r w:rsidR="009961AE" w:rsidRPr="00EB66FA">
        <w:rPr>
          <w:rFonts w:asciiTheme="minorHAnsi" w:hAnsiTheme="minorHAnsi" w:cstheme="minorHAnsi"/>
        </w:rPr>
        <w:t xml:space="preserve"> to those of language” (Johnson 2010: </w:t>
      </w:r>
      <w:r w:rsidR="00C06288" w:rsidRPr="00EB66FA">
        <w:rPr>
          <w:rFonts w:asciiTheme="minorHAnsi" w:hAnsiTheme="minorHAnsi" w:cstheme="minorHAnsi"/>
        </w:rPr>
        <w:t xml:space="preserve">243). This is to say that we can define cultures by looking at </w:t>
      </w:r>
      <w:r w:rsidR="006F3E0D" w:rsidRPr="00EB66FA">
        <w:rPr>
          <w:rFonts w:asciiTheme="minorHAnsi" w:hAnsiTheme="minorHAnsi" w:cstheme="minorHAnsi"/>
        </w:rPr>
        <w:t xml:space="preserve">symbols and signs, and seeing how they represent ideas that can be used to interpret the culture. </w:t>
      </w:r>
    </w:p>
    <w:p w:rsidR="000F2AAB" w:rsidRDefault="000F2AAB" w:rsidP="007A1600">
      <w:pPr>
        <w:rPr>
          <w:rFonts w:asciiTheme="minorHAnsi" w:hAnsiTheme="minorHAnsi" w:cstheme="minorHAnsi"/>
        </w:rPr>
      </w:pPr>
    </w:p>
    <w:p w:rsidR="007A1600" w:rsidRDefault="00711558" w:rsidP="000F2AAB">
      <w:pPr>
        <w:ind w:firstLine="720"/>
        <w:rPr>
          <w:rFonts w:asciiTheme="minorHAnsi" w:hAnsiTheme="minorHAnsi" w:cstheme="minorHAnsi"/>
        </w:rPr>
      </w:pPr>
      <w:r w:rsidRPr="00EB66FA">
        <w:rPr>
          <w:rFonts w:asciiTheme="minorHAnsi" w:hAnsiTheme="minorHAnsi" w:cstheme="minorHAnsi"/>
        </w:rPr>
        <w:t xml:space="preserve">In terms of this text we can see that </w:t>
      </w:r>
      <w:r w:rsidR="00535880" w:rsidRPr="00EB66FA">
        <w:rPr>
          <w:rFonts w:asciiTheme="minorHAnsi" w:hAnsiTheme="minorHAnsi" w:cstheme="minorHAnsi"/>
        </w:rPr>
        <w:t>Leroi-</w:t>
      </w:r>
      <w:proofErr w:type="spellStart"/>
      <w:r w:rsidR="00535880" w:rsidRPr="00EB66FA">
        <w:rPr>
          <w:rFonts w:asciiTheme="minorHAnsi" w:hAnsiTheme="minorHAnsi" w:cstheme="minorHAnsi"/>
        </w:rPr>
        <w:t>Gourhan</w:t>
      </w:r>
      <w:proofErr w:type="spellEnd"/>
      <w:r w:rsidR="00535880" w:rsidRPr="00EB66FA">
        <w:rPr>
          <w:rFonts w:asciiTheme="minorHAnsi" w:hAnsiTheme="minorHAnsi" w:cstheme="minorHAnsi"/>
        </w:rPr>
        <w:t xml:space="preserve"> begins his analysis of the cave art by quantifying the amount of ‘signs’ (rock art images) and their relationships. In this first analysis we can see that </w:t>
      </w:r>
      <w:r w:rsidR="00FC0B48" w:rsidRPr="00EB66FA">
        <w:rPr>
          <w:rFonts w:asciiTheme="minorHAnsi" w:hAnsiTheme="minorHAnsi" w:cstheme="minorHAnsi"/>
        </w:rPr>
        <w:t>Leroi-</w:t>
      </w:r>
      <w:proofErr w:type="spellStart"/>
      <w:r w:rsidR="00FC0B48" w:rsidRPr="00EB66FA">
        <w:rPr>
          <w:rFonts w:asciiTheme="minorHAnsi" w:hAnsiTheme="minorHAnsi" w:cstheme="minorHAnsi"/>
        </w:rPr>
        <w:t>Gourhan</w:t>
      </w:r>
      <w:proofErr w:type="spellEnd"/>
      <w:r w:rsidR="00FC0B48" w:rsidRPr="00EB66FA">
        <w:rPr>
          <w:rFonts w:asciiTheme="minorHAnsi" w:hAnsiTheme="minorHAnsi" w:cstheme="minorHAnsi"/>
        </w:rPr>
        <w:t xml:space="preserve"> identifies </w:t>
      </w:r>
      <w:r w:rsidR="00096F71" w:rsidRPr="00EB66FA">
        <w:rPr>
          <w:rFonts w:asciiTheme="minorHAnsi" w:hAnsiTheme="minorHAnsi" w:cstheme="minorHAnsi"/>
        </w:rPr>
        <w:t xml:space="preserve">not only certain features but also attributes those which could </w:t>
      </w:r>
      <w:proofErr w:type="gramStart"/>
      <w:r w:rsidR="00096F71" w:rsidRPr="00EB66FA">
        <w:rPr>
          <w:rFonts w:asciiTheme="minorHAnsi" w:hAnsiTheme="minorHAnsi" w:cstheme="minorHAnsi"/>
        </w:rPr>
        <w:t>be seen as</w:t>
      </w:r>
      <w:proofErr w:type="gramEnd"/>
      <w:r w:rsidR="00096F71" w:rsidRPr="00EB66FA">
        <w:rPr>
          <w:rFonts w:asciiTheme="minorHAnsi" w:hAnsiTheme="minorHAnsi" w:cstheme="minorHAnsi"/>
        </w:rPr>
        <w:t xml:space="preserve"> ‘binary opposites’ or ‘dualisms’ (</w:t>
      </w:r>
      <w:r w:rsidR="001369FC" w:rsidRPr="00EB66FA">
        <w:rPr>
          <w:rFonts w:asciiTheme="minorHAnsi" w:hAnsiTheme="minorHAnsi" w:cstheme="minorHAnsi"/>
        </w:rPr>
        <w:t>e.g.</w:t>
      </w:r>
      <w:r w:rsidR="00096F71" w:rsidRPr="00EB66FA">
        <w:rPr>
          <w:rFonts w:asciiTheme="minorHAnsi" w:hAnsiTheme="minorHAnsi" w:cstheme="minorHAnsi"/>
        </w:rPr>
        <w:t xml:space="preserve"> Male/Female, Natu</w:t>
      </w:r>
      <w:r w:rsidR="009961AE" w:rsidRPr="00EB66FA">
        <w:rPr>
          <w:rFonts w:asciiTheme="minorHAnsi" w:hAnsiTheme="minorHAnsi" w:cstheme="minorHAnsi"/>
        </w:rPr>
        <w:t>re/Culture) (</w:t>
      </w:r>
      <w:proofErr w:type="spellStart"/>
      <w:r w:rsidR="009961AE" w:rsidRPr="00EB66FA">
        <w:rPr>
          <w:rFonts w:asciiTheme="minorHAnsi" w:hAnsiTheme="minorHAnsi" w:cstheme="minorHAnsi"/>
        </w:rPr>
        <w:t>Cipolla</w:t>
      </w:r>
      <w:proofErr w:type="spellEnd"/>
      <w:r w:rsidR="009961AE" w:rsidRPr="00EB66FA">
        <w:rPr>
          <w:rFonts w:asciiTheme="minorHAnsi" w:hAnsiTheme="minorHAnsi" w:cstheme="minorHAnsi"/>
        </w:rPr>
        <w:t xml:space="preserve"> and Harris 2017: </w:t>
      </w:r>
      <w:r w:rsidR="00096F71" w:rsidRPr="00EB66FA">
        <w:rPr>
          <w:rFonts w:asciiTheme="minorHAnsi" w:hAnsiTheme="minorHAnsi" w:cstheme="minorHAnsi"/>
        </w:rPr>
        <w:t>5) such as attributing different animal species to either Male</w:t>
      </w:r>
      <w:r w:rsidR="00706D4E">
        <w:rPr>
          <w:rFonts w:asciiTheme="minorHAnsi" w:hAnsiTheme="minorHAnsi" w:cstheme="minorHAnsi"/>
        </w:rPr>
        <w:t xml:space="preserve"> </w:t>
      </w:r>
      <w:r w:rsidR="00096F71" w:rsidRPr="00EB66FA">
        <w:rPr>
          <w:rFonts w:asciiTheme="minorHAnsi" w:hAnsiTheme="minorHAnsi" w:cstheme="minorHAnsi"/>
        </w:rPr>
        <w:t>(</w:t>
      </w:r>
      <w:r w:rsidR="0019094A" w:rsidRPr="00EB66FA">
        <w:rPr>
          <w:rFonts w:asciiTheme="minorHAnsi" w:hAnsiTheme="minorHAnsi" w:cstheme="minorHAnsi"/>
        </w:rPr>
        <w:t xml:space="preserve">horses, ibex and </w:t>
      </w:r>
      <w:proofErr w:type="spellStart"/>
      <w:r w:rsidR="00096F71" w:rsidRPr="00EB66FA">
        <w:rPr>
          <w:rFonts w:asciiTheme="minorHAnsi" w:hAnsiTheme="minorHAnsi" w:cstheme="minorHAnsi"/>
        </w:rPr>
        <w:t>cervids</w:t>
      </w:r>
      <w:proofErr w:type="spellEnd"/>
      <w:r w:rsidR="00096F71" w:rsidRPr="00EB66FA">
        <w:rPr>
          <w:rFonts w:asciiTheme="minorHAnsi" w:hAnsiTheme="minorHAnsi" w:cstheme="minorHAnsi"/>
        </w:rPr>
        <w:t>) or Female (</w:t>
      </w:r>
      <w:r w:rsidR="0019094A" w:rsidRPr="00EB66FA">
        <w:rPr>
          <w:rFonts w:asciiTheme="minorHAnsi" w:hAnsiTheme="minorHAnsi" w:cstheme="minorHAnsi"/>
        </w:rPr>
        <w:t xml:space="preserve">bison and </w:t>
      </w:r>
      <w:r w:rsidR="00096F71" w:rsidRPr="00EB66FA">
        <w:rPr>
          <w:rFonts w:asciiTheme="minorHAnsi" w:hAnsiTheme="minorHAnsi" w:cstheme="minorHAnsi"/>
        </w:rPr>
        <w:t>cattle) and how these aspects are situated in the context of the cave system</w:t>
      </w:r>
      <w:bookmarkStart w:id="0" w:name="_Hlk497408852"/>
      <w:r w:rsidR="00096F71" w:rsidRPr="00EB66FA">
        <w:rPr>
          <w:rFonts w:asciiTheme="minorHAnsi" w:hAnsiTheme="minorHAnsi" w:cstheme="minorHAnsi"/>
        </w:rPr>
        <w:t>.</w:t>
      </w:r>
      <w:r w:rsidR="00BE2F3D">
        <w:rPr>
          <w:rFonts w:asciiTheme="minorHAnsi" w:hAnsiTheme="minorHAnsi" w:cstheme="minorHAnsi"/>
        </w:rPr>
        <w:t xml:space="preserve"> Leroi-</w:t>
      </w:r>
      <w:proofErr w:type="spellStart"/>
      <w:r w:rsidR="00BE2F3D">
        <w:rPr>
          <w:rFonts w:asciiTheme="minorHAnsi" w:hAnsiTheme="minorHAnsi" w:cstheme="minorHAnsi"/>
        </w:rPr>
        <w:t>Gourhan</w:t>
      </w:r>
      <w:proofErr w:type="spellEnd"/>
      <w:r w:rsidR="00BE2F3D">
        <w:rPr>
          <w:rFonts w:asciiTheme="minorHAnsi" w:hAnsiTheme="minorHAnsi" w:cstheme="minorHAnsi"/>
        </w:rPr>
        <w:t xml:space="preserve"> </w:t>
      </w:r>
      <w:bookmarkEnd w:id="0"/>
      <w:r w:rsidR="00BE2F3D">
        <w:rPr>
          <w:rFonts w:asciiTheme="minorHAnsi" w:hAnsiTheme="minorHAnsi" w:cstheme="minorHAnsi"/>
        </w:rPr>
        <w:t xml:space="preserve">also mentions how these gendered signs of animals are found on artefacts that could be associated with </w:t>
      </w:r>
      <w:r w:rsidR="00683026">
        <w:rPr>
          <w:rFonts w:asciiTheme="minorHAnsi" w:hAnsiTheme="minorHAnsi" w:cstheme="minorHAnsi"/>
        </w:rPr>
        <w:t>each gender: “</w:t>
      </w:r>
      <w:r w:rsidR="00683026" w:rsidRPr="00683026">
        <w:rPr>
          <w:rFonts w:asciiTheme="minorHAnsi" w:hAnsiTheme="minorHAnsi" w:cstheme="minorHAnsi"/>
        </w:rPr>
        <w:t>spears, harpoons, spear-thro</w:t>
      </w:r>
      <w:r w:rsidR="00683026">
        <w:rPr>
          <w:rFonts w:asciiTheme="minorHAnsi" w:hAnsiTheme="minorHAnsi" w:cstheme="minorHAnsi"/>
        </w:rPr>
        <w:t xml:space="preserve">wers, and pierced staff-handles” which are all associated with Males, in </w:t>
      </w:r>
      <w:r w:rsidR="00683026" w:rsidRPr="00683026">
        <w:rPr>
          <w:rFonts w:asciiTheme="minorHAnsi" w:hAnsiTheme="minorHAnsi" w:cstheme="minorHAnsi"/>
        </w:rPr>
        <w:t>Leroi-</w:t>
      </w:r>
      <w:proofErr w:type="spellStart"/>
      <w:r w:rsidR="00683026" w:rsidRPr="00683026">
        <w:rPr>
          <w:rFonts w:asciiTheme="minorHAnsi" w:hAnsiTheme="minorHAnsi" w:cstheme="minorHAnsi"/>
        </w:rPr>
        <w:t>Gourhan</w:t>
      </w:r>
      <w:r w:rsidR="00683026">
        <w:rPr>
          <w:rFonts w:asciiTheme="minorHAnsi" w:hAnsiTheme="minorHAnsi" w:cstheme="minorHAnsi"/>
        </w:rPr>
        <w:t>’s</w:t>
      </w:r>
      <w:proofErr w:type="spellEnd"/>
      <w:r w:rsidR="00683026">
        <w:rPr>
          <w:rFonts w:asciiTheme="minorHAnsi" w:hAnsiTheme="minorHAnsi" w:cstheme="minorHAnsi"/>
        </w:rPr>
        <w:t xml:space="preserve"> analysis </w:t>
      </w:r>
      <w:r w:rsidR="00110CA2" w:rsidRPr="00EB66FA">
        <w:rPr>
          <w:rFonts w:asciiTheme="minorHAnsi" w:hAnsiTheme="minorHAnsi" w:cstheme="minorHAnsi"/>
        </w:rPr>
        <w:t>This use of creating signifiers from signs alludes to the use of semiotics, and therefore structuralism, as a t</w:t>
      </w:r>
      <w:r w:rsidR="00A400A0" w:rsidRPr="00EB66FA">
        <w:rPr>
          <w:rFonts w:asciiTheme="minorHAnsi" w:hAnsiTheme="minorHAnsi" w:cstheme="minorHAnsi"/>
        </w:rPr>
        <w:t>heoretical basis for this work. Leroi-</w:t>
      </w:r>
      <w:proofErr w:type="spellStart"/>
      <w:r w:rsidR="00A400A0" w:rsidRPr="00EB66FA">
        <w:rPr>
          <w:rFonts w:asciiTheme="minorHAnsi" w:hAnsiTheme="minorHAnsi" w:cstheme="minorHAnsi"/>
        </w:rPr>
        <w:t>Gourhan</w:t>
      </w:r>
      <w:proofErr w:type="spellEnd"/>
      <w:r w:rsidR="00A400A0" w:rsidRPr="00EB66FA">
        <w:rPr>
          <w:rFonts w:asciiTheme="minorHAnsi" w:hAnsiTheme="minorHAnsi" w:cstheme="minorHAnsi"/>
        </w:rPr>
        <w:t xml:space="preserve"> </w:t>
      </w:r>
      <w:r w:rsidR="00D45476" w:rsidRPr="00EB66FA">
        <w:rPr>
          <w:rFonts w:asciiTheme="minorHAnsi" w:hAnsiTheme="minorHAnsi" w:cstheme="minorHAnsi"/>
        </w:rPr>
        <w:t>appears to focus how attributing sex/gender to symbols can affect their meanings, going so far to geometric patterns in the cave</w:t>
      </w:r>
      <w:r w:rsidR="00A03035">
        <w:rPr>
          <w:rFonts w:asciiTheme="minorHAnsi" w:hAnsiTheme="minorHAnsi" w:cstheme="minorHAnsi"/>
        </w:rPr>
        <w:t>s</w:t>
      </w:r>
      <w:r w:rsidR="00D45476" w:rsidRPr="00EB66FA">
        <w:rPr>
          <w:rFonts w:asciiTheme="minorHAnsi" w:hAnsiTheme="minorHAnsi" w:cstheme="minorHAnsi"/>
        </w:rPr>
        <w:t xml:space="preserve"> to </w:t>
      </w:r>
      <w:r w:rsidR="00A400A0" w:rsidRPr="00EB66FA">
        <w:rPr>
          <w:rFonts w:asciiTheme="minorHAnsi" w:hAnsiTheme="minorHAnsi" w:cstheme="minorHAnsi"/>
        </w:rPr>
        <w:t>specific genders, and marking the cave</w:t>
      </w:r>
      <w:r w:rsidR="00A03035">
        <w:rPr>
          <w:rFonts w:asciiTheme="minorHAnsi" w:hAnsiTheme="minorHAnsi" w:cstheme="minorHAnsi"/>
        </w:rPr>
        <w:t>s</w:t>
      </w:r>
      <w:r w:rsidR="00A400A0" w:rsidRPr="00EB66FA">
        <w:rPr>
          <w:rFonts w:asciiTheme="minorHAnsi" w:hAnsiTheme="minorHAnsi" w:cstheme="minorHAnsi"/>
        </w:rPr>
        <w:t xml:space="preserve"> </w:t>
      </w:r>
      <w:r w:rsidR="00A03035">
        <w:rPr>
          <w:rFonts w:asciiTheme="minorHAnsi" w:hAnsiTheme="minorHAnsi" w:cstheme="minorHAnsi"/>
        </w:rPr>
        <w:t>themselves</w:t>
      </w:r>
      <w:r w:rsidR="00A400A0" w:rsidRPr="00EB66FA">
        <w:rPr>
          <w:rFonts w:asciiTheme="minorHAnsi" w:hAnsiTheme="minorHAnsi" w:cstheme="minorHAnsi"/>
        </w:rPr>
        <w:t xml:space="preserve"> as Female. Leroi-</w:t>
      </w:r>
      <w:proofErr w:type="spellStart"/>
      <w:r w:rsidR="00A400A0" w:rsidRPr="00EB66FA">
        <w:rPr>
          <w:rFonts w:asciiTheme="minorHAnsi" w:hAnsiTheme="minorHAnsi" w:cstheme="minorHAnsi"/>
        </w:rPr>
        <w:t>Gourhan</w:t>
      </w:r>
      <w:proofErr w:type="spellEnd"/>
      <w:r w:rsidR="00A400A0" w:rsidRPr="00EB66FA">
        <w:rPr>
          <w:rFonts w:asciiTheme="minorHAnsi" w:hAnsiTheme="minorHAnsi" w:cstheme="minorHAnsi"/>
        </w:rPr>
        <w:t xml:space="preserve"> derives that the cave</w:t>
      </w:r>
      <w:r w:rsidR="00A03035">
        <w:rPr>
          <w:rFonts w:asciiTheme="minorHAnsi" w:hAnsiTheme="minorHAnsi" w:cstheme="minorHAnsi"/>
        </w:rPr>
        <w:t>s</w:t>
      </w:r>
      <w:r w:rsidR="00A400A0" w:rsidRPr="00EB66FA">
        <w:rPr>
          <w:rFonts w:asciiTheme="minorHAnsi" w:hAnsiTheme="minorHAnsi" w:cstheme="minorHAnsi"/>
        </w:rPr>
        <w:t xml:space="preserve"> </w:t>
      </w:r>
      <w:proofErr w:type="gramStart"/>
      <w:r w:rsidR="00A400A0" w:rsidRPr="00EB66FA">
        <w:rPr>
          <w:rFonts w:asciiTheme="minorHAnsi" w:hAnsiTheme="minorHAnsi" w:cstheme="minorHAnsi"/>
        </w:rPr>
        <w:t>can be seen as</w:t>
      </w:r>
      <w:proofErr w:type="gramEnd"/>
      <w:r w:rsidR="00A400A0" w:rsidRPr="00EB66FA">
        <w:rPr>
          <w:rFonts w:asciiTheme="minorHAnsi" w:hAnsiTheme="minorHAnsi" w:cstheme="minorHAnsi"/>
        </w:rPr>
        <w:t xml:space="preserve"> an expression of life, death, and rebirth, using the pieces of art in and on the cave</w:t>
      </w:r>
      <w:r w:rsidR="00A03035">
        <w:rPr>
          <w:rFonts w:asciiTheme="minorHAnsi" w:hAnsiTheme="minorHAnsi" w:cstheme="minorHAnsi"/>
        </w:rPr>
        <w:t>s</w:t>
      </w:r>
      <w:r w:rsidR="00A400A0" w:rsidRPr="00EB66FA">
        <w:rPr>
          <w:rFonts w:asciiTheme="minorHAnsi" w:hAnsiTheme="minorHAnsi" w:cstheme="minorHAnsi"/>
        </w:rPr>
        <w:t xml:space="preserve"> as symbols for this.</w:t>
      </w:r>
    </w:p>
    <w:p w:rsidR="00A03035" w:rsidRDefault="00A03035" w:rsidP="000F2AAB">
      <w:pPr>
        <w:ind w:firstLine="720"/>
        <w:rPr>
          <w:rFonts w:asciiTheme="minorHAnsi" w:hAnsiTheme="minorHAnsi" w:cstheme="minorHAnsi"/>
        </w:rPr>
      </w:pPr>
    </w:p>
    <w:p w:rsidR="00A03035" w:rsidRPr="00EB66FA" w:rsidRDefault="00A03035" w:rsidP="000F2AAB">
      <w:pPr>
        <w:ind w:firstLine="720"/>
        <w:rPr>
          <w:rFonts w:asciiTheme="minorHAnsi" w:hAnsiTheme="minorHAnsi" w:cstheme="minorHAnsi"/>
        </w:rPr>
      </w:pPr>
      <w:r>
        <w:rPr>
          <w:rFonts w:asciiTheme="minorHAnsi" w:hAnsiTheme="minorHAnsi" w:cstheme="minorHAnsi"/>
        </w:rPr>
        <w:t>There is great merit in using the theory of structuralism, as it can provide a solid basis for analysis of signs and symbols. However, these identifiers are often created from modern perceptions and ideas and therefore may not be applicable to ancient societies (indeed, modern society and culture is far different from that of the society a mere 50 or 100 years ago).</w:t>
      </w:r>
      <w:r w:rsidR="00EF0BC0">
        <w:rPr>
          <w:rFonts w:asciiTheme="minorHAnsi" w:hAnsiTheme="minorHAnsi" w:cstheme="minorHAnsi"/>
        </w:rPr>
        <w:t xml:space="preserve"> This is problematic as it</w:t>
      </w:r>
      <w:r w:rsidR="00C56812">
        <w:rPr>
          <w:rFonts w:asciiTheme="minorHAnsi" w:hAnsiTheme="minorHAnsi" w:cstheme="minorHAnsi"/>
        </w:rPr>
        <w:t xml:space="preserve"> impedes our ability to truly analyse a forgotten culture due to our own mindset and ideas effecting how we perceive certain aspects leading to a lesser evaluation</w:t>
      </w:r>
      <w:r w:rsidR="00682050">
        <w:rPr>
          <w:rFonts w:asciiTheme="minorHAnsi" w:hAnsiTheme="minorHAnsi" w:cstheme="minorHAnsi"/>
        </w:rPr>
        <w:t>. Unfortunately, we can</w:t>
      </w:r>
      <w:r w:rsidR="00C56812">
        <w:rPr>
          <w:rFonts w:asciiTheme="minorHAnsi" w:hAnsiTheme="minorHAnsi" w:cstheme="minorHAnsi"/>
        </w:rPr>
        <w:t xml:space="preserve"> never know what those cultures where </w:t>
      </w:r>
      <w:r w:rsidR="00682050">
        <w:rPr>
          <w:rFonts w:asciiTheme="minorHAnsi" w:hAnsiTheme="minorHAnsi" w:cstheme="minorHAnsi"/>
        </w:rPr>
        <w:t>like;</w:t>
      </w:r>
      <w:r w:rsidR="00C56812">
        <w:rPr>
          <w:rFonts w:asciiTheme="minorHAnsi" w:hAnsiTheme="minorHAnsi" w:cstheme="minorHAnsi"/>
        </w:rPr>
        <w:t xml:space="preserve"> </w:t>
      </w:r>
      <w:r w:rsidR="00BE2F3D">
        <w:rPr>
          <w:rFonts w:asciiTheme="minorHAnsi" w:hAnsiTheme="minorHAnsi" w:cstheme="minorHAnsi"/>
        </w:rPr>
        <w:t>so,</w:t>
      </w:r>
      <w:r w:rsidR="00C56812">
        <w:rPr>
          <w:rFonts w:asciiTheme="minorHAnsi" w:hAnsiTheme="minorHAnsi" w:cstheme="minorHAnsi"/>
        </w:rPr>
        <w:t xml:space="preserve"> structuralism is in truth a very </w:t>
      </w:r>
      <w:r w:rsidR="00682050">
        <w:rPr>
          <w:rFonts w:asciiTheme="minorHAnsi" w:hAnsiTheme="minorHAnsi" w:cstheme="minorHAnsi"/>
        </w:rPr>
        <w:t>useful tool to give us a good representation of the past, their cultures, and how they viewed signs.</w:t>
      </w:r>
    </w:p>
    <w:p w:rsidR="005855F3" w:rsidRPr="00BE2F3D" w:rsidRDefault="005855F3" w:rsidP="007A1600">
      <w:pPr>
        <w:rPr>
          <w:rFonts w:asciiTheme="minorHAnsi" w:hAnsiTheme="minorHAnsi" w:cstheme="minorHAnsi"/>
        </w:rPr>
      </w:pPr>
    </w:p>
    <w:p w:rsidR="005855F3" w:rsidRPr="00BE2F3D" w:rsidRDefault="00682050" w:rsidP="007A1600">
      <w:pPr>
        <w:rPr>
          <w:rFonts w:asciiTheme="minorHAnsi" w:hAnsiTheme="minorHAnsi" w:cstheme="minorHAnsi"/>
        </w:rPr>
      </w:pPr>
      <w:r w:rsidRPr="00BE2F3D">
        <w:rPr>
          <w:rFonts w:asciiTheme="minorHAnsi" w:hAnsiTheme="minorHAnsi" w:cstheme="minorHAnsi"/>
        </w:rPr>
        <w:tab/>
        <w:t xml:space="preserve">In conclusion this text </w:t>
      </w:r>
      <w:r w:rsidR="00BE2F3D" w:rsidRPr="00BE2F3D">
        <w:rPr>
          <w:rFonts w:asciiTheme="minorHAnsi" w:hAnsiTheme="minorHAnsi" w:cstheme="minorHAnsi"/>
        </w:rPr>
        <w:t>uses structuralism and semiotics to identify signs and then create signifiers and meanings from these. These included ‘Male’ and ‘Female’ animal signs and geometric patterns, whilst theorising that the whole space itself could be a signifier itself of ‘Female’</w:t>
      </w:r>
      <w:r w:rsidR="00BE2F3D">
        <w:rPr>
          <w:rFonts w:asciiTheme="minorHAnsi" w:hAnsiTheme="minorHAnsi" w:cstheme="minorHAnsi"/>
        </w:rPr>
        <w:t xml:space="preserve"> and a sense of ‘life, death, and rebirth’</w:t>
      </w:r>
      <w:r w:rsidR="00BE2F3D" w:rsidRPr="00BE2F3D">
        <w:rPr>
          <w:rFonts w:asciiTheme="minorHAnsi" w:hAnsiTheme="minorHAnsi" w:cstheme="minorHAnsi"/>
        </w:rPr>
        <w:t>.</w:t>
      </w:r>
    </w:p>
    <w:p w:rsidR="005855F3" w:rsidRPr="00BE2F3D" w:rsidRDefault="005855F3" w:rsidP="007A1600">
      <w:pPr>
        <w:rPr>
          <w:rFonts w:asciiTheme="minorHAnsi" w:hAnsiTheme="minorHAnsi" w:cstheme="minorHAnsi"/>
        </w:rPr>
      </w:pPr>
    </w:p>
    <w:p w:rsidR="005855F3" w:rsidRDefault="00683026" w:rsidP="007A1600">
      <w:pPr>
        <w:rPr>
          <w:rFonts w:asciiTheme="minorHAnsi" w:hAnsiTheme="minorHAnsi" w:cstheme="minorHAnsi"/>
        </w:rPr>
      </w:pPr>
      <w:r>
        <w:rPr>
          <w:rFonts w:asciiTheme="minorHAnsi" w:hAnsiTheme="minorHAnsi" w:cstheme="minorHAnsi"/>
        </w:rPr>
        <w:t>Word Count: 482</w:t>
      </w:r>
    </w:p>
    <w:p w:rsidR="005855F3" w:rsidRDefault="005855F3" w:rsidP="007A1600">
      <w:pPr>
        <w:rPr>
          <w:rFonts w:asciiTheme="minorHAnsi" w:hAnsiTheme="minorHAnsi" w:cstheme="minorHAnsi"/>
        </w:rPr>
      </w:pPr>
    </w:p>
    <w:p w:rsidR="00F11BB9" w:rsidRDefault="00F11BB9" w:rsidP="007A1600">
      <w:pPr>
        <w:rPr>
          <w:rFonts w:asciiTheme="minorHAnsi" w:hAnsiTheme="minorHAnsi" w:cstheme="minorHAnsi"/>
        </w:rPr>
      </w:pPr>
    </w:p>
    <w:p w:rsidR="005855F3" w:rsidRDefault="005855F3" w:rsidP="007A1600">
      <w:pPr>
        <w:rPr>
          <w:rFonts w:asciiTheme="minorHAnsi" w:hAnsiTheme="minorHAnsi" w:cstheme="minorHAnsi"/>
        </w:rPr>
      </w:pPr>
    </w:p>
    <w:p w:rsidR="00BE2F3D" w:rsidRDefault="00BE2F3D" w:rsidP="007A1600">
      <w:pPr>
        <w:rPr>
          <w:rFonts w:asciiTheme="minorHAnsi" w:hAnsiTheme="minorHAnsi" w:cstheme="minorHAnsi"/>
        </w:rPr>
      </w:pPr>
    </w:p>
    <w:p w:rsidR="005855F3" w:rsidRDefault="005855F3" w:rsidP="007A1600">
      <w:pPr>
        <w:rPr>
          <w:rFonts w:asciiTheme="minorHAnsi" w:hAnsiTheme="minorHAnsi" w:cstheme="minorHAnsi"/>
        </w:rPr>
      </w:pPr>
    </w:p>
    <w:p w:rsidR="00EB66FA" w:rsidRDefault="00EB66FA" w:rsidP="00EB66FA">
      <w:pPr>
        <w:jc w:val="center"/>
        <w:rPr>
          <w:u w:val="single"/>
        </w:rPr>
      </w:pPr>
      <w:r w:rsidRPr="007F2C44">
        <w:rPr>
          <w:u w:val="single"/>
        </w:rPr>
        <w:lastRenderedPageBreak/>
        <w:t>Reference List</w:t>
      </w:r>
    </w:p>
    <w:p w:rsidR="00886C1A" w:rsidRPr="007F2C44" w:rsidRDefault="00886C1A" w:rsidP="00EB66FA">
      <w:pPr>
        <w:jc w:val="center"/>
        <w:rPr>
          <w:u w:val="single"/>
        </w:rPr>
      </w:pPr>
    </w:p>
    <w:p w:rsidR="00EB66FA" w:rsidRDefault="00EB66FA" w:rsidP="00EB66FA">
      <w:r>
        <w:t xml:space="preserve">Harris, O. J. T. and </w:t>
      </w:r>
      <w:proofErr w:type="spellStart"/>
      <w:r>
        <w:t>Cipolla</w:t>
      </w:r>
      <w:proofErr w:type="spellEnd"/>
      <w:r>
        <w:t xml:space="preserve">, C. N. 2017. </w:t>
      </w:r>
      <w:r>
        <w:rPr>
          <w:i/>
        </w:rPr>
        <w:t xml:space="preserve">Archaeological Theory in the New Millennium: Introducing current perspectives. </w:t>
      </w:r>
      <w:r>
        <w:t>Oxon: Routledge.</w:t>
      </w:r>
    </w:p>
    <w:p w:rsidR="00EB66FA" w:rsidRDefault="00EB66FA" w:rsidP="00EB66FA"/>
    <w:p w:rsidR="00EB66FA" w:rsidRDefault="00EB66FA" w:rsidP="00EB66FA">
      <w:r>
        <w:t xml:space="preserve">Johnson, M. 2010. </w:t>
      </w:r>
      <w:r>
        <w:rPr>
          <w:i/>
        </w:rPr>
        <w:t>Archaeological Theory: An introduction</w:t>
      </w:r>
      <w:r>
        <w:t>. Singapore: Wiley-Blackwell. (2</w:t>
      </w:r>
      <w:r w:rsidRPr="00A23E8F">
        <w:rPr>
          <w:vertAlign w:val="superscript"/>
        </w:rPr>
        <w:t>nd</w:t>
      </w:r>
      <w:r>
        <w:t xml:space="preserve"> edition)</w:t>
      </w:r>
    </w:p>
    <w:p w:rsidR="00EB66FA" w:rsidRDefault="00EB66FA" w:rsidP="00EB66FA"/>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EB66FA" w:rsidRDefault="00EB66FA" w:rsidP="00EB66FA">
      <w:pPr>
        <w:jc w:val="center"/>
        <w:rPr>
          <w:u w:val="single"/>
        </w:rPr>
      </w:pPr>
    </w:p>
    <w:p w:rsidR="00886C1A" w:rsidRDefault="00886C1A" w:rsidP="00EB66FA">
      <w:pPr>
        <w:jc w:val="center"/>
        <w:rPr>
          <w:u w:val="single"/>
        </w:rPr>
      </w:pPr>
    </w:p>
    <w:p w:rsidR="00EB66FA" w:rsidRDefault="00EB66FA" w:rsidP="00EB66FA">
      <w:pPr>
        <w:jc w:val="center"/>
        <w:rPr>
          <w:u w:val="single"/>
        </w:rPr>
      </w:pPr>
      <w:r w:rsidRPr="007F2C44">
        <w:rPr>
          <w:u w:val="single"/>
        </w:rPr>
        <w:lastRenderedPageBreak/>
        <w:t>Bibliography</w:t>
      </w:r>
    </w:p>
    <w:p w:rsidR="00886C1A" w:rsidRPr="007F2C44" w:rsidRDefault="00886C1A" w:rsidP="00EB66FA">
      <w:pPr>
        <w:jc w:val="center"/>
        <w:rPr>
          <w:u w:val="single"/>
        </w:rPr>
      </w:pPr>
    </w:p>
    <w:p w:rsidR="00EB66FA" w:rsidRDefault="00EB66FA" w:rsidP="00EB66FA">
      <w:r>
        <w:t xml:space="preserve">Drew, Q. 2017. </w:t>
      </w:r>
      <w:r>
        <w:rPr>
          <w:i/>
        </w:rPr>
        <w:t xml:space="preserve">Semiotics. </w:t>
      </w:r>
      <w:r>
        <w:t>Wales, University of Wales Trinity Saint David. 20 Oct. 2017.</w:t>
      </w:r>
    </w:p>
    <w:p w:rsidR="00EB66FA" w:rsidRDefault="00EB66FA" w:rsidP="00EB66FA"/>
    <w:p w:rsidR="00EB66FA" w:rsidRDefault="00EB66FA" w:rsidP="00EB66FA">
      <w:r>
        <w:t xml:space="preserve">Harris, O. J. T. and </w:t>
      </w:r>
      <w:proofErr w:type="spellStart"/>
      <w:r>
        <w:t>Cipolla</w:t>
      </w:r>
      <w:proofErr w:type="spellEnd"/>
      <w:r>
        <w:t xml:space="preserve">, C. N. 2017. </w:t>
      </w:r>
      <w:r>
        <w:rPr>
          <w:i/>
        </w:rPr>
        <w:t xml:space="preserve">Archaeological Theory in the New Millennium: Introducing current perspectives. </w:t>
      </w:r>
      <w:r>
        <w:t>Oxon: Routledge.</w:t>
      </w:r>
      <w:r w:rsidRPr="00A23E8F">
        <w:t xml:space="preserve"> </w:t>
      </w:r>
    </w:p>
    <w:p w:rsidR="00EB66FA" w:rsidRDefault="00EB66FA" w:rsidP="00EB66FA"/>
    <w:p w:rsidR="00EB66FA" w:rsidRDefault="00EB66FA" w:rsidP="00EB66FA">
      <w:r>
        <w:t>Robb, J. E</w:t>
      </w:r>
      <w:r w:rsidRPr="002751F8">
        <w:t>.</w:t>
      </w:r>
      <w:r>
        <w:t xml:space="preserve"> 1998</w:t>
      </w:r>
      <w:r w:rsidRPr="002751F8">
        <w:t xml:space="preserve">. The Archaeology of Symbols. Annual Review of Anthropology, [online] 27, pp.329-346. Available at: </w:t>
      </w:r>
      <w:r w:rsidRPr="00A23E8F">
        <w:rPr>
          <w:u w:val="single"/>
        </w:rPr>
        <w:t xml:space="preserve">http://www.jstor.org.ezproxy.uwtsd.ac.uk/stable/223374 </w:t>
      </w:r>
      <w:r w:rsidRPr="002751F8">
        <w:t>[Accessed</w:t>
      </w:r>
      <w:r>
        <w:t>:</w:t>
      </w:r>
      <w:r w:rsidRPr="002751F8">
        <w:t xml:space="preserve"> 28 Oct. 2017].</w:t>
      </w:r>
    </w:p>
    <w:p w:rsidR="00EB66FA" w:rsidRDefault="00EB66FA" w:rsidP="00EB66FA"/>
    <w:p w:rsidR="00EB66FA" w:rsidRDefault="00EB66FA" w:rsidP="00EB66FA">
      <w:r>
        <w:t xml:space="preserve">Johnson, M. 2010. </w:t>
      </w:r>
      <w:r>
        <w:rPr>
          <w:i/>
        </w:rPr>
        <w:t>Archaeological Theory: An introduction</w:t>
      </w:r>
      <w:r>
        <w:t>. Singapore: Wiley-Blackwell. (2</w:t>
      </w:r>
      <w:r w:rsidRPr="00A23E8F">
        <w:rPr>
          <w:vertAlign w:val="superscript"/>
        </w:rPr>
        <w:t>nd</w:t>
      </w:r>
      <w:r>
        <w:t xml:space="preserve"> edition)</w:t>
      </w:r>
    </w:p>
    <w:p w:rsidR="00EB66FA" w:rsidRDefault="00EB66FA" w:rsidP="00EB66FA"/>
    <w:p w:rsidR="00EB66FA" w:rsidRDefault="00EB66FA" w:rsidP="00EB66FA">
      <w:r>
        <w:t>Leroi-</w:t>
      </w:r>
      <w:proofErr w:type="spellStart"/>
      <w:r>
        <w:t>Gourham</w:t>
      </w:r>
      <w:proofErr w:type="spellEnd"/>
      <w:r>
        <w:t xml:space="preserve">, L. 1968. </w:t>
      </w:r>
      <w:r>
        <w:rPr>
          <w:i/>
        </w:rPr>
        <w:t>The Art of Prehistoric Man in western Europe</w:t>
      </w:r>
      <w:r>
        <w:t xml:space="preserve">. </w:t>
      </w:r>
      <w:proofErr w:type="spellStart"/>
      <w:r>
        <w:t>Framce</w:t>
      </w:r>
      <w:proofErr w:type="spellEnd"/>
      <w:r>
        <w:t>/Holland: Thames and Hudson.</w:t>
      </w: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EB66FA" w:rsidRDefault="00EB66FA" w:rsidP="007A1600">
      <w:pPr>
        <w:rPr>
          <w:rFonts w:asciiTheme="minorHAnsi" w:hAnsiTheme="minorHAnsi" w:cstheme="minorHAnsi"/>
        </w:rPr>
      </w:pPr>
    </w:p>
    <w:p w:rsidR="00886C1A" w:rsidRDefault="00886C1A" w:rsidP="007A1600">
      <w:pPr>
        <w:rPr>
          <w:rFonts w:asciiTheme="minorHAnsi" w:hAnsiTheme="minorHAnsi" w:cstheme="minorHAnsi"/>
        </w:rPr>
      </w:pPr>
    </w:p>
    <w:p w:rsidR="005855F3" w:rsidRDefault="005855F3" w:rsidP="005855F3">
      <w:pPr>
        <w:jc w:val="center"/>
        <w:rPr>
          <w:rFonts w:asciiTheme="minorHAnsi" w:hAnsiTheme="minorHAnsi" w:cstheme="minorHAnsi"/>
          <w:b/>
          <w:sz w:val="36"/>
          <w:u w:val="single"/>
        </w:rPr>
      </w:pPr>
      <w:r>
        <w:rPr>
          <w:rFonts w:asciiTheme="minorHAnsi" w:hAnsiTheme="minorHAnsi" w:cstheme="minorHAnsi"/>
          <w:b/>
          <w:sz w:val="36"/>
          <w:u w:val="single"/>
        </w:rPr>
        <w:lastRenderedPageBreak/>
        <w:t>Section B: Image</w:t>
      </w:r>
      <w:r w:rsidR="00FF39F9">
        <w:rPr>
          <w:rFonts w:asciiTheme="minorHAnsi" w:hAnsiTheme="minorHAnsi" w:cstheme="minorHAnsi"/>
          <w:b/>
          <w:sz w:val="36"/>
          <w:u w:val="single"/>
        </w:rPr>
        <w:t xml:space="preserve"> 1</w:t>
      </w:r>
    </w:p>
    <w:p w:rsidR="005855F3" w:rsidRDefault="005855F3" w:rsidP="00B926EB">
      <w:pPr>
        <w:rPr>
          <w:rFonts w:asciiTheme="minorHAnsi" w:hAnsiTheme="minorHAnsi" w:cstheme="minorHAnsi"/>
        </w:rPr>
      </w:pPr>
    </w:p>
    <w:p w:rsidR="005855F3" w:rsidRDefault="005855F3" w:rsidP="007A1600">
      <w:pPr>
        <w:rPr>
          <w:rFonts w:asciiTheme="minorHAnsi" w:hAnsiTheme="minorHAnsi" w:cstheme="minorHAnsi"/>
        </w:rPr>
      </w:pPr>
    </w:p>
    <w:p w:rsidR="005855F3" w:rsidRDefault="00081990" w:rsidP="005855F3">
      <w:pPr>
        <w:rPr>
          <w:rFonts w:asciiTheme="minorHAnsi" w:hAnsiTheme="minorHAnsi" w:cstheme="minorHAnsi"/>
        </w:rPr>
      </w:pPr>
      <w:r>
        <w:rPr>
          <w:rFonts w:asciiTheme="minorHAnsi" w:hAnsiTheme="minorHAnsi" w:cstheme="minorHAnsi"/>
        </w:rPr>
        <w:tab/>
        <w:t xml:space="preserve">This image speaks volumes of how </w:t>
      </w:r>
      <w:r w:rsidR="00E70CCF">
        <w:rPr>
          <w:rFonts w:asciiTheme="minorHAnsi" w:hAnsiTheme="minorHAnsi" w:cstheme="minorHAnsi"/>
        </w:rPr>
        <w:t>people use Archaeology to create representations of the past, even when these may not be entirely correct.  This image portra</w:t>
      </w:r>
      <w:r w:rsidR="003B1B1C">
        <w:rPr>
          <w:rFonts w:asciiTheme="minorHAnsi" w:hAnsiTheme="minorHAnsi" w:cstheme="minorHAnsi"/>
        </w:rPr>
        <w:t>ys Humans as hunters, it gives the viewer some idea of what our ancestors may have been like. It also portrays a vast array of animals, from elk to elephants to hyenas, all in this one ‘snapshot’ of the past. These ideas of what prehistoric humans may have been like</w:t>
      </w:r>
      <w:bookmarkStart w:id="1" w:name="_GoBack"/>
      <w:bookmarkEnd w:id="1"/>
      <w:r w:rsidR="003B1B1C">
        <w:rPr>
          <w:rFonts w:asciiTheme="minorHAnsi" w:hAnsiTheme="minorHAnsi" w:cstheme="minorHAnsi"/>
        </w:rPr>
        <w:t xml:space="preserve"> can only come from the Archaeological record, with possible analogy to modern Hunter-Gatherer societies. </w:t>
      </w:r>
    </w:p>
    <w:p w:rsidR="007C0FEE" w:rsidRDefault="007C0FEE" w:rsidP="005855F3">
      <w:pPr>
        <w:rPr>
          <w:rFonts w:asciiTheme="minorHAnsi" w:hAnsiTheme="minorHAnsi" w:cstheme="minorHAnsi"/>
        </w:rPr>
      </w:pPr>
    </w:p>
    <w:p w:rsidR="007C0FEE" w:rsidRDefault="007C0FEE" w:rsidP="005855F3">
      <w:pPr>
        <w:rPr>
          <w:rFonts w:asciiTheme="minorHAnsi" w:hAnsiTheme="minorHAnsi" w:cstheme="minorHAnsi"/>
        </w:rPr>
      </w:pPr>
      <w:r>
        <w:rPr>
          <w:rFonts w:asciiTheme="minorHAnsi" w:hAnsiTheme="minorHAnsi" w:cstheme="minorHAnsi"/>
        </w:rPr>
        <w:tab/>
        <w:t xml:space="preserve">The image alludes to a way of life in prehistory that is a relic to societies in the western hemisphere. It portrays a society of hunter-gatherers using rock tools and wooden spears to kill and butcher animals, and suggests a plethora of animals present in one scene, that in truth would rarely be in </w:t>
      </w:r>
      <w:r w:rsidR="00FF1730">
        <w:rPr>
          <w:rFonts w:asciiTheme="minorHAnsi" w:hAnsiTheme="minorHAnsi" w:cstheme="minorHAnsi"/>
        </w:rPr>
        <w:t>the same area at any given</w:t>
      </w:r>
      <w:r>
        <w:rPr>
          <w:rFonts w:asciiTheme="minorHAnsi" w:hAnsiTheme="minorHAnsi" w:cstheme="minorHAnsi"/>
        </w:rPr>
        <w:t xml:space="preserve"> time. This information about the past will have come from </w:t>
      </w:r>
      <w:r w:rsidR="0019094A">
        <w:rPr>
          <w:rFonts w:asciiTheme="minorHAnsi" w:hAnsiTheme="minorHAnsi" w:cstheme="minorHAnsi"/>
        </w:rPr>
        <w:t>not only the archaeological record (from bones of animals, stone tools and butcher marker) but also from ethnographic examples, as objects such as wooden tools and organic material would have decayed (if not in extreme dry or wet areas).</w:t>
      </w:r>
      <w:r w:rsidR="00A5183E">
        <w:rPr>
          <w:rFonts w:asciiTheme="minorHAnsi" w:hAnsiTheme="minorHAnsi" w:cstheme="minorHAnsi"/>
        </w:rPr>
        <w:t xml:space="preserve"> I feel as if the image gi</w:t>
      </w:r>
      <w:r w:rsidR="00FF1730">
        <w:rPr>
          <w:rFonts w:asciiTheme="minorHAnsi" w:hAnsiTheme="minorHAnsi" w:cstheme="minorHAnsi"/>
        </w:rPr>
        <w:t>ves a semi-accurate ‘snapshot’ of what the landscape life may have been like, though only in this one moment. The use of environmental archaeology, through pollen and mollusc samples (</w:t>
      </w:r>
      <w:r w:rsidR="00100042">
        <w:rPr>
          <w:rFonts w:asciiTheme="minorHAnsi" w:hAnsiTheme="minorHAnsi" w:cstheme="minorHAnsi"/>
        </w:rPr>
        <w:t>Bates</w:t>
      </w:r>
      <w:r w:rsidR="00FF1730">
        <w:rPr>
          <w:rFonts w:asciiTheme="minorHAnsi" w:hAnsiTheme="minorHAnsi" w:cstheme="minorHAnsi"/>
        </w:rPr>
        <w:t xml:space="preserve"> 2017), can tell us about the type of landscape in which people inhabited, which can lead to a clear idea of how, where, and possibly why people where living and hunting in these areas.</w:t>
      </w:r>
    </w:p>
    <w:p w:rsidR="005C22BA" w:rsidRDefault="005C22BA" w:rsidP="005855F3">
      <w:pPr>
        <w:rPr>
          <w:rFonts w:asciiTheme="minorHAnsi" w:hAnsiTheme="minorHAnsi" w:cstheme="minorHAnsi"/>
        </w:rPr>
      </w:pPr>
    </w:p>
    <w:p w:rsidR="0019094A" w:rsidRDefault="005C22BA">
      <w:pPr>
        <w:rPr>
          <w:rFonts w:asciiTheme="minorHAnsi" w:hAnsiTheme="minorHAnsi" w:cstheme="minorHAnsi"/>
        </w:rPr>
      </w:pPr>
      <w:r>
        <w:rPr>
          <w:rFonts w:asciiTheme="minorHAnsi" w:hAnsiTheme="minorHAnsi" w:cstheme="minorHAnsi"/>
        </w:rPr>
        <w:tab/>
        <w:t>Ethnography can give us a representation of the past that can be useful,</w:t>
      </w:r>
      <w:r w:rsidR="004D0738">
        <w:rPr>
          <w:rFonts w:asciiTheme="minorHAnsi" w:hAnsiTheme="minorHAnsi" w:cstheme="minorHAnsi"/>
        </w:rPr>
        <w:t xml:space="preserve"> but alternat</w:t>
      </w:r>
      <w:r w:rsidR="00C217B5">
        <w:rPr>
          <w:rFonts w:asciiTheme="minorHAnsi" w:hAnsiTheme="minorHAnsi" w:cstheme="minorHAnsi"/>
        </w:rPr>
        <w:t xml:space="preserve">ely problematic. Some archaeologists suggest that “interpretation is founded on and ultimately depends upon analogy” (David and Kramer 2001: 1); and this is what we can describe to be </w:t>
      </w:r>
      <w:r w:rsidR="00EB5ADB">
        <w:rPr>
          <w:rFonts w:asciiTheme="minorHAnsi" w:hAnsiTheme="minorHAnsi" w:cstheme="minorHAnsi"/>
        </w:rPr>
        <w:t>a</w:t>
      </w:r>
      <w:r w:rsidR="00C217B5">
        <w:rPr>
          <w:rFonts w:asciiTheme="minorHAnsi" w:hAnsiTheme="minorHAnsi" w:cstheme="minorHAnsi"/>
        </w:rPr>
        <w:t xml:space="preserve"> basis for </w:t>
      </w:r>
      <w:r w:rsidR="00EB5ADB">
        <w:rPr>
          <w:rFonts w:asciiTheme="minorHAnsi" w:hAnsiTheme="minorHAnsi" w:cstheme="minorHAnsi"/>
        </w:rPr>
        <w:t>Ethnoarchaeology</w:t>
      </w:r>
      <w:r w:rsidR="008E4F24">
        <w:rPr>
          <w:rFonts w:asciiTheme="minorHAnsi" w:hAnsiTheme="minorHAnsi" w:cstheme="minorHAnsi"/>
        </w:rPr>
        <w:t>, comparing ancient societies with modern ones.</w:t>
      </w:r>
      <w:r w:rsidR="00D4633A">
        <w:rPr>
          <w:rFonts w:asciiTheme="minorHAnsi" w:hAnsiTheme="minorHAnsi" w:cstheme="minorHAnsi"/>
        </w:rPr>
        <w:t xml:space="preserve"> The use of this theory and method has been used to create idea of past/prehistoric societies. This is both useful and problematic. The problems with using Ethnoarchaeology is that by assuming that modern hunter-gatherer societies are ‘the same’ as prehistoric one you </w:t>
      </w:r>
      <w:r w:rsidR="00964BE5">
        <w:rPr>
          <w:rFonts w:asciiTheme="minorHAnsi" w:hAnsiTheme="minorHAnsi" w:cstheme="minorHAnsi"/>
        </w:rPr>
        <w:t>assume</w:t>
      </w:r>
      <w:r w:rsidR="00D4633A">
        <w:rPr>
          <w:rFonts w:asciiTheme="minorHAnsi" w:hAnsiTheme="minorHAnsi" w:cstheme="minorHAnsi"/>
        </w:rPr>
        <w:t xml:space="preserve"> that the </w:t>
      </w:r>
      <w:r w:rsidR="00964BE5">
        <w:rPr>
          <w:rFonts w:asciiTheme="minorHAnsi" w:hAnsiTheme="minorHAnsi" w:cstheme="minorHAnsi"/>
        </w:rPr>
        <w:t>‘physical elements’</w:t>
      </w:r>
      <w:r w:rsidR="00D4633A">
        <w:rPr>
          <w:rFonts w:asciiTheme="minorHAnsi" w:hAnsiTheme="minorHAnsi" w:cstheme="minorHAnsi"/>
        </w:rPr>
        <w:t xml:space="preserve"> of that society have not changed. Binford</w:t>
      </w:r>
      <w:r w:rsidR="002C64AD">
        <w:rPr>
          <w:rFonts w:asciiTheme="minorHAnsi" w:hAnsiTheme="minorHAnsi" w:cstheme="minorHAnsi"/>
        </w:rPr>
        <w:t xml:space="preserve"> (</w:t>
      </w:r>
      <w:r w:rsidR="00625951">
        <w:rPr>
          <w:rFonts w:asciiTheme="minorHAnsi" w:hAnsiTheme="minorHAnsi" w:cstheme="minorHAnsi"/>
        </w:rPr>
        <w:t>Binford 1978</w:t>
      </w:r>
      <w:r w:rsidR="002C64AD">
        <w:rPr>
          <w:rFonts w:asciiTheme="minorHAnsi" w:hAnsiTheme="minorHAnsi" w:cstheme="minorHAnsi"/>
        </w:rPr>
        <w:t>)</w:t>
      </w:r>
      <w:r w:rsidR="00D4633A">
        <w:rPr>
          <w:rFonts w:asciiTheme="minorHAnsi" w:hAnsiTheme="minorHAnsi" w:cstheme="minorHAnsi"/>
        </w:rPr>
        <w:t xml:space="preserve"> </w:t>
      </w:r>
      <w:r w:rsidR="002C64AD">
        <w:rPr>
          <w:rFonts w:asciiTheme="minorHAnsi" w:hAnsiTheme="minorHAnsi" w:cstheme="minorHAnsi"/>
        </w:rPr>
        <w:t xml:space="preserve">studied the </w:t>
      </w:r>
      <w:r w:rsidR="002C64AD" w:rsidRPr="002C64AD">
        <w:rPr>
          <w:rFonts w:asciiTheme="minorHAnsi" w:hAnsiTheme="minorHAnsi" w:cstheme="minorHAnsi"/>
        </w:rPr>
        <w:t>Nunamiut</w:t>
      </w:r>
      <w:r w:rsidR="002C64AD">
        <w:rPr>
          <w:rFonts w:asciiTheme="minorHAnsi" w:hAnsiTheme="minorHAnsi" w:cstheme="minorHAnsi"/>
        </w:rPr>
        <w:t xml:space="preserve"> people in Alaska and used their way of life in making comparisons to </w:t>
      </w:r>
      <w:r w:rsidR="002C64AD" w:rsidRPr="002C64AD">
        <w:rPr>
          <w:rFonts w:asciiTheme="minorHAnsi" w:hAnsiTheme="minorHAnsi" w:cstheme="minorHAnsi"/>
        </w:rPr>
        <w:t>Mousterian hominins</w:t>
      </w:r>
      <w:r w:rsidR="002C64AD">
        <w:rPr>
          <w:rFonts w:asciiTheme="minorHAnsi" w:hAnsiTheme="minorHAnsi" w:cstheme="minorHAnsi"/>
        </w:rPr>
        <w:t xml:space="preserve">, </w:t>
      </w:r>
      <w:proofErr w:type="gramStart"/>
      <w:r w:rsidR="002C64AD">
        <w:rPr>
          <w:rFonts w:asciiTheme="minorHAnsi" w:hAnsiTheme="minorHAnsi" w:cstheme="minorHAnsi"/>
        </w:rPr>
        <w:t>in an effort to</w:t>
      </w:r>
      <w:proofErr w:type="gramEnd"/>
      <w:r w:rsidR="002C64AD">
        <w:rPr>
          <w:rFonts w:asciiTheme="minorHAnsi" w:hAnsiTheme="minorHAnsi" w:cstheme="minorHAnsi"/>
        </w:rPr>
        <w:t xml:space="preserve"> better understand the societies, making comparisons to the ‘Toss and Drop’ zone. However, this fails to realise that the modern </w:t>
      </w:r>
      <w:r w:rsidR="002C64AD" w:rsidRPr="002C64AD">
        <w:rPr>
          <w:rFonts w:asciiTheme="minorHAnsi" w:hAnsiTheme="minorHAnsi" w:cstheme="minorHAnsi"/>
        </w:rPr>
        <w:t>Nunamiut</w:t>
      </w:r>
      <w:r w:rsidR="002C64AD">
        <w:rPr>
          <w:rFonts w:asciiTheme="minorHAnsi" w:hAnsiTheme="minorHAnsi" w:cstheme="minorHAnsi"/>
        </w:rPr>
        <w:t xml:space="preserve"> people had Snow mobiles and rifles to hand, and modern western society had, in ways large and small, affected the way in which they lived.</w:t>
      </w:r>
      <w:r w:rsidR="005A3ABD">
        <w:rPr>
          <w:rFonts w:asciiTheme="minorHAnsi" w:hAnsiTheme="minorHAnsi" w:cstheme="minorHAnsi"/>
        </w:rPr>
        <w:t xml:space="preserve"> Though this method can, and has, been used in ways which allows us to understand material culture in a way that we would not be able to otherwise (such as the aforementioned ‘Toss and Drop’ zone). However, when comparing contemporary Hunter groups to prehi</w:t>
      </w:r>
      <w:r w:rsidR="00604BCB">
        <w:rPr>
          <w:rFonts w:asciiTheme="minorHAnsi" w:hAnsiTheme="minorHAnsi" w:cstheme="minorHAnsi"/>
        </w:rPr>
        <w:t>storic society it can lead to problem</w:t>
      </w:r>
      <w:r w:rsidR="009C2803">
        <w:rPr>
          <w:rFonts w:asciiTheme="minorHAnsi" w:hAnsiTheme="minorHAnsi" w:cstheme="minorHAnsi"/>
        </w:rPr>
        <w:t>s, such as leading to ideas of cultural superiority and assumed ‘cultural/societal intelligence’ (an idea that a society is ‘less developed’ as its uses technology that could be considered ‘primitive’ and ‘prehistoric’ though I doubt very much that this would happen in todays society)</w:t>
      </w:r>
    </w:p>
    <w:p w:rsidR="00604BCB" w:rsidRDefault="00604BCB">
      <w:pPr>
        <w:rPr>
          <w:rFonts w:asciiTheme="minorHAnsi" w:hAnsiTheme="minorHAnsi" w:cstheme="minorHAnsi"/>
        </w:rPr>
      </w:pPr>
    </w:p>
    <w:p w:rsidR="009C2803" w:rsidRDefault="00604BCB">
      <w:pPr>
        <w:rPr>
          <w:rFonts w:asciiTheme="minorHAnsi" w:hAnsiTheme="minorHAnsi" w:cstheme="minorHAnsi"/>
        </w:rPr>
      </w:pPr>
      <w:r>
        <w:rPr>
          <w:rFonts w:asciiTheme="minorHAnsi" w:hAnsiTheme="minorHAnsi" w:cstheme="minorHAnsi"/>
        </w:rPr>
        <w:tab/>
        <w:t>In conclusion I feel this ima</w:t>
      </w:r>
      <w:r w:rsidR="009C2803">
        <w:rPr>
          <w:rFonts w:asciiTheme="minorHAnsi" w:hAnsiTheme="minorHAnsi" w:cstheme="minorHAnsi"/>
        </w:rPr>
        <w:t>ge does show how archaeology can</w:t>
      </w:r>
      <w:r>
        <w:rPr>
          <w:rFonts w:asciiTheme="minorHAnsi" w:hAnsiTheme="minorHAnsi" w:cstheme="minorHAnsi"/>
        </w:rPr>
        <w:t xml:space="preserve"> be used to make interpretations of past societies and environments, though how these conclusions and interpretations are made can be problematic in their method.</w:t>
      </w:r>
    </w:p>
    <w:p w:rsidR="009C2803" w:rsidRDefault="009C2803">
      <w:pPr>
        <w:rPr>
          <w:rFonts w:asciiTheme="minorHAnsi" w:hAnsiTheme="minorHAnsi" w:cstheme="minorHAnsi"/>
        </w:rPr>
      </w:pPr>
    </w:p>
    <w:p w:rsidR="009C2803" w:rsidRDefault="00964BE5">
      <w:pPr>
        <w:rPr>
          <w:rFonts w:asciiTheme="minorHAnsi" w:hAnsiTheme="minorHAnsi" w:cstheme="minorHAnsi"/>
        </w:rPr>
      </w:pPr>
      <w:r>
        <w:rPr>
          <w:rFonts w:asciiTheme="minorHAnsi" w:hAnsiTheme="minorHAnsi" w:cstheme="minorHAnsi"/>
        </w:rPr>
        <w:t>Word count: 573</w:t>
      </w:r>
    </w:p>
    <w:p w:rsidR="00100042" w:rsidRDefault="00100042" w:rsidP="00100042">
      <w:pPr>
        <w:jc w:val="center"/>
        <w:rPr>
          <w:u w:val="single"/>
        </w:rPr>
      </w:pPr>
      <w:r w:rsidRPr="007F2C44">
        <w:rPr>
          <w:u w:val="single"/>
        </w:rPr>
        <w:lastRenderedPageBreak/>
        <w:t>Reference List</w:t>
      </w:r>
    </w:p>
    <w:p w:rsidR="00100042" w:rsidRDefault="00100042" w:rsidP="00100042">
      <w:pPr>
        <w:rPr>
          <w:u w:val="single"/>
        </w:rPr>
      </w:pPr>
    </w:p>
    <w:p w:rsidR="00100042" w:rsidRDefault="00100042" w:rsidP="00100042">
      <w:r>
        <w:t xml:space="preserve">Bates, M. 2017. </w:t>
      </w:r>
      <w:r>
        <w:rPr>
          <w:i/>
        </w:rPr>
        <w:t xml:space="preserve">Molluscs. </w:t>
      </w:r>
      <w:r>
        <w:t>Wales, University of Wales Trinity Saint David. 20 Oct. 2017.</w:t>
      </w:r>
    </w:p>
    <w:p w:rsidR="00625951" w:rsidRPr="00100042" w:rsidRDefault="00625951" w:rsidP="00100042">
      <w:pPr>
        <w:rPr>
          <w:u w:val="single"/>
        </w:rPr>
      </w:pPr>
    </w:p>
    <w:p w:rsidR="00100042" w:rsidRDefault="00625951" w:rsidP="00625951">
      <w:r>
        <w:t xml:space="preserve">Binford, L. R. 1978. </w:t>
      </w:r>
      <w:r>
        <w:rPr>
          <w:i/>
        </w:rPr>
        <w:t xml:space="preserve">Nunamiut Ethnoarchaeology. </w:t>
      </w:r>
      <w:r>
        <w:t>USA: Academic Press.</w:t>
      </w:r>
    </w:p>
    <w:p w:rsidR="00625951" w:rsidRDefault="00625951" w:rsidP="00625951"/>
    <w:p w:rsidR="00100042" w:rsidRPr="007F2C44" w:rsidRDefault="00100042" w:rsidP="00100042">
      <w:pPr>
        <w:spacing w:after="160" w:line="259" w:lineRule="auto"/>
      </w:pPr>
      <w:r>
        <w:t>David, N. and</w:t>
      </w:r>
      <w:r w:rsidRPr="007F2C44">
        <w:t xml:space="preserve"> Kramer, C. 2001. </w:t>
      </w:r>
      <w:r w:rsidRPr="007F2C44">
        <w:rPr>
          <w:i/>
          <w:iCs/>
        </w:rPr>
        <w:t>Ethnoarchaeology in Action</w:t>
      </w:r>
      <w:r>
        <w:t>. Cambridge: Cambridge University Press</w:t>
      </w:r>
      <w:r w:rsidRPr="007F2C44">
        <w:t>.</w:t>
      </w:r>
    </w:p>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Default="00100042" w:rsidP="00100042"/>
    <w:p w:rsidR="00100042" w:rsidRPr="007F2C44" w:rsidRDefault="00100042" w:rsidP="00100042">
      <w:pPr>
        <w:jc w:val="center"/>
        <w:rPr>
          <w:u w:val="single"/>
        </w:rPr>
      </w:pPr>
      <w:r w:rsidRPr="007F2C44">
        <w:rPr>
          <w:u w:val="single"/>
        </w:rPr>
        <w:t>Bibliography</w:t>
      </w:r>
    </w:p>
    <w:p w:rsidR="00100042" w:rsidRDefault="00100042" w:rsidP="00100042">
      <w:r>
        <w:t xml:space="preserve">Bates, M. 2017. </w:t>
      </w:r>
      <w:r>
        <w:rPr>
          <w:i/>
        </w:rPr>
        <w:t xml:space="preserve">Molluscs. </w:t>
      </w:r>
      <w:r>
        <w:t>Wales, University of Wales Trinity Saint David. 20 Oct. 2017.</w:t>
      </w:r>
    </w:p>
    <w:p w:rsidR="00100042" w:rsidRDefault="00100042" w:rsidP="00100042"/>
    <w:p w:rsidR="00100042" w:rsidRDefault="00100042" w:rsidP="00100042">
      <w:r w:rsidRPr="007F2C44">
        <w:t>Binford, L</w:t>
      </w:r>
      <w:r>
        <w:t xml:space="preserve">. </w:t>
      </w:r>
      <w:r w:rsidRPr="007F2C44">
        <w:t>R</w:t>
      </w:r>
      <w:r>
        <w:t>.</w:t>
      </w:r>
      <w:r w:rsidRPr="007F2C44">
        <w:t xml:space="preserve"> 2002. </w:t>
      </w:r>
      <w:r w:rsidRPr="007F2C44">
        <w:rPr>
          <w:i/>
          <w:iCs/>
        </w:rPr>
        <w:t>In Pursuit of the Past: Decoding the Archaeological Record</w:t>
      </w:r>
      <w:r w:rsidRPr="007F2C44">
        <w:t>. Berkeley: University of California Press.</w:t>
      </w:r>
    </w:p>
    <w:p w:rsidR="00100042" w:rsidRDefault="00100042" w:rsidP="00100042">
      <w:pPr>
        <w:spacing w:after="160" w:line="259" w:lineRule="auto"/>
      </w:pPr>
    </w:p>
    <w:p w:rsidR="00625951" w:rsidRDefault="00625951" w:rsidP="00625951">
      <w:r>
        <w:t xml:space="preserve">Binford, L. R. 1978. </w:t>
      </w:r>
      <w:r>
        <w:rPr>
          <w:i/>
        </w:rPr>
        <w:t xml:space="preserve">Nunamiut Ethnoarchaeology. </w:t>
      </w:r>
      <w:r>
        <w:t>USA: Academic Press.</w:t>
      </w:r>
    </w:p>
    <w:p w:rsidR="00625951" w:rsidRDefault="00625951" w:rsidP="00100042">
      <w:pPr>
        <w:spacing w:after="160" w:line="259" w:lineRule="auto"/>
      </w:pPr>
    </w:p>
    <w:p w:rsidR="00100042" w:rsidRPr="007F2C44" w:rsidRDefault="00100042" w:rsidP="00100042">
      <w:pPr>
        <w:spacing w:after="160" w:line="259" w:lineRule="auto"/>
      </w:pPr>
      <w:r>
        <w:t>David, N. and</w:t>
      </w:r>
      <w:r w:rsidRPr="007F2C44">
        <w:t xml:space="preserve"> Kramer, C. 2001. </w:t>
      </w:r>
      <w:r w:rsidRPr="007F2C44">
        <w:rPr>
          <w:i/>
          <w:iCs/>
        </w:rPr>
        <w:t>Ethnoarchaeology in Action</w:t>
      </w:r>
      <w:r>
        <w:t>. Cambridge: Cambridge University Press</w:t>
      </w:r>
      <w:r w:rsidRPr="007F2C44">
        <w:t>.</w:t>
      </w:r>
    </w:p>
    <w:p w:rsidR="00100042" w:rsidRDefault="00100042" w:rsidP="00100042">
      <w:r>
        <w:t xml:space="preserve">Harris, O. J. T. and </w:t>
      </w:r>
      <w:proofErr w:type="spellStart"/>
      <w:r>
        <w:t>Cipolla</w:t>
      </w:r>
      <w:proofErr w:type="spellEnd"/>
      <w:r>
        <w:t xml:space="preserve">, C. N. 2017. </w:t>
      </w:r>
      <w:r>
        <w:rPr>
          <w:i/>
        </w:rPr>
        <w:t xml:space="preserve">Archaeological Theory in the New Millennium: Introducing current perspectives. </w:t>
      </w:r>
      <w:r>
        <w:t>Oxon: Routledge.</w:t>
      </w:r>
      <w:r w:rsidRPr="00A23E8F">
        <w:t xml:space="preserve"> </w:t>
      </w:r>
    </w:p>
    <w:p w:rsidR="00100042" w:rsidRDefault="00100042" w:rsidP="00100042"/>
    <w:p w:rsidR="00100042" w:rsidRDefault="00100042" w:rsidP="00100042">
      <w:r>
        <w:t xml:space="preserve">Johnson, M. 2010. </w:t>
      </w:r>
      <w:r>
        <w:rPr>
          <w:i/>
        </w:rPr>
        <w:t>Archaeological Theory: An introduction</w:t>
      </w:r>
      <w:r>
        <w:t>. Singapore: Wiley-Blackwell. (2</w:t>
      </w:r>
      <w:r w:rsidRPr="00A23E8F">
        <w:rPr>
          <w:vertAlign w:val="superscript"/>
        </w:rPr>
        <w:t>nd</w:t>
      </w:r>
      <w:r>
        <w:t xml:space="preserve"> edition)</w:t>
      </w:r>
    </w:p>
    <w:p w:rsidR="00964BE5" w:rsidRPr="007A1600" w:rsidRDefault="00964BE5">
      <w:pPr>
        <w:rPr>
          <w:rFonts w:asciiTheme="minorHAnsi" w:hAnsiTheme="minorHAnsi" w:cstheme="minorHAnsi"/>
        </w:rPr>
      </w:pPr>
    </w:p>
    <w:sectPr w:rsidR="00964BE5" w:rsidRPr="007A1600" w:rsidSect="00F73533">
      <w:footerReference w:type="default" r:id="rId7"/>
      <w:pgSz w:w="12240" w:h="15840"/>
      <w:pgMar w:top="993" w:right="1440" w:bottom="567" w:left="1440" w:header="568"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35DA8" w:rsidRDefault="00435DA8" w:rsidP="00AD5D5A">
      <w:r>
        <w:separator/>
      </w:r>
    </w:p>
  </w:endnote>
  <w:endnote w:type="continuationSeparator" w:id="0">
    <w:p w:rsidR="00435DA8" w:rsidRDefault="00435DA8"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D269E" w:rsidRPr="00337A70" w:rsidRDefault="00BD269E">
    <w:pPr>
      <w:pStyle w:val="Footer"/>
      <w:rPr>
        <w:rFonts w:ascii="Trebuchet MS" w:hAnsi="Trebuchet MS" w:cs="Trebuchet MS"/>
        <w:sz w:val="18"/>
        <w:szCs w:val="18"/>
      </w:rPr>
    </w:pPr>
    <w:r w:rsidRPr="00337A70">
      <w:rPr>
        <w:rFonts w:ascii="Trebuchet MS" w:hAnsi="Trebuchet MS" w:cs="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35DA8" w:rsidRDefault="00435DA8" w:rsidP="00AD5D5A">
      <w:r>
        <w:separator/>
      </w:r>
    </w:p>
  </w:footnote>
  <w:footnote w:type="continuationSeparator" w:id="0">
    <w:p w:rsidR="00435DA8" w:rsidRDefault="00435DA8" w:rsidP="00AD5D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rPr>
        <w:rFonts w:cs="Times New Roman"/>
      </w:rPr>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start w:val="1"/>
      <w:numFmt w:val="lowerRoman"/>
      <w:lvlText w:val="%3."/>
      <w:lvlJc w:val="right"/>
      <w:pPr>
        <w:tabs>
          <w:tab w:val="num" w:pos="2520"/>
        </w:tabs>
        <w:ind w:left="2520" w:hanging="180"/>
      </w:pPr>
      <w:rPr>
        <w:rFonts w:cs="Times New Roman"/>
      </w:rPr>
    </w:lvl>
    <w:lvl w:ilvl="3" w:tplc="0409000F">
      <w:start w:val="1"/>
      <w:numFmt w:val="decimal"/>
      <w:lvlText w:val="%4."/>
      <w:lvlJc w:val="left"/>
      <w:pPr>
        <w:tabs>
          <w:tab w:val="num" w:pos="3240"/>
        </w:tabs>
        <w:ind w:left="3240" w:hanging="360"/>
      </w:pPr>
      <w:rPr>
        <w:rFonts w:cs="Times New Roman"/>
      </w:rPr>
    </w:lvl>
    <w:lvl w:ilvl="4" w:tplc="04090019">
      <w:start w:val="1"/>
      <w:numFmt w:val="lowerLetter"/>
      <w:lvlText w:val="%5."/>
      <w:lvlJc w:val="left"/>
      <w:pPr>
        <w:tabs>
          <w:tab w:val="num" w:pos="3960"/>
        </w:tabs>
        <w:ind w:left="3960" w:hanging="360"/>
      </w:pPr>
      <w:rPr>
        <w:rFonts w:cs="Times New Roman"/>
      </w:rPr>
    </w:lvl>
    <w:lvl w:ilvl="5" w:tplc="0409001B">
      <w:start w:val="1"/>
      <w:numFmt w:val="lowerRoman"/>
      <w:lvlText w:val="%6."/>
      <w:lvlJc w:val="right"/>
      <w:pPr>
        <w:tabs>
          <w:tab w:val="num" w:pos="4680"/>
        </w:tabs>
        <w:ind w:left="4680" w:hanging="180"/>
      </w:pPr>
      <w:rPr>
        <w:rFonts w:cs="Times New Roman"/>
      </w:rPr>
    </w:lvl>
    <w:lvl w:ilvl="6" w:tplc="0409000F">
      <w:start w:val="1"/>
      <w:numFmt w:val="decimal"/>
      <w:lvlText w:val="%7."/>
      <w:lvlJc w:val="left"/>
      <w:pPr>
        <w:tabs>
          <w:tab w:val="num" w:pos="5400"/>
        </w:tabs>
        <w:ind w:left="5400" w:hanging="360"/>
      </w:pPr>
      <w:rPr>
        <w:rFonts w:cs="Times New Roman"/>
      </w:rPr>
    </w:lvl>
    <w:lvl w:ilvl="7" w:tplc="04090019">
      <w:start w:val="1"/>
      <w:numFmt w:val="lowerLetter"/>
      <w:lvlText w:val="%8."/>
      <w:lvlJc w:val="left"/>
      <w:pPr>
        <w:tabs>
          <w:tab w:val="num" w:pos="6120"/>
        </w:tabs>
        <w:ind w:left="6120" w:hanging="360"/>
      </w:pPr>
      <w:rPr>
        <w:rFonts w:cs="Times New Roman"/>
      </w:rPr>
    </w:lvl>
    <w:lvl w:ilvl="8" w:tplc="0409001B">
      <w:start w:val="1"/>
      <w:numFmt w:val="lowerRoman"/>
      <w:lvlText w:val="%9."/>
      <w:lvlJc w:val="right"/>
      <w:pPr>
        <w:tabs>
          <w:tab w:val="num" w:pos="6840"/>
        </w:tabs>
        <w:ind w:left="6840" w:hanging="180"/>
      </w:pPr>
      <w:rPr>
        <w:rFonts w:cs="Times New Roman"/>
      </w:r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start w:val="1"/>
      <w:numFmt w:val="bullet"/>
      <w:lvlText w:val="o"/>
      <w:lvlJc w:val="left"/>
      <w:pPr>
        <w:tabs>
          <w:tab w:val="num" w:pos="1800"/>
        </w:tabs>
        <w:ind w:left="1800" w:hanging="360"/>
      </w:pPr>
      <w:rPr>
        <w:rFonts w:ascii="Courier New" w:hAnsi="Courier New" w:hint="default"/>
      </w:rPr>
    </w:lvl>
    <w:lvl w:ilvl="2" w:tplc="08090005">
      <w:start w:val="1"/>
      <w:numFmt w:val="bullet"/>
      <w:lvlText w:val=""/>
      <w:lvlJc w:val="left"/>
      <w:pPr>
        <w:tabs>
          <w:tab w:val="num" w:pos="2520"/>
        </w:tabs>
        <w:ind w:left="2520" w:hanging="360"/>
      </w:pPr>
      <w:rPr>
        <w:rFonts w:ascii="Wingdings" w:hAnsi="Wingdings" w:hint="default"/>
      </w:rPr>
    </w:lvl>
    <w:lvl w:ilvl="3" w:tplc="08090001">
      <w:start w:val="1"/>
      <w:numFmt w:val="bullet"/>
      <w:lvlText w:val=""/>
      <w:lvlJc w:val="left"/>
      <w:pPr>
        <w:tabs>
          <w:tab w:val="num" w:pos="3240"/>
        </w:tabs>
        <w:ind w:left="3240" w:hanging="360"/>
      </w:pPr>
      <w:rPr>
        <w:rFonts w:ascii="Symbol" w:hAnsi="Symbol" w:hint="default"/>
      </w:rPr>
    </w:lvl>
    <w:lvl w:ilvl="4" w:tplc="08090003">
      <w:start w:val="1"/>
      <w:numFmt w:val="bullet"/>
      <w:lvlText w:val="o"/>
      <w:lvlJc w:val="left"/>
      <w:pPr>
        <w:tabs>
          <w:tab w:val="num" w:pos="3960"/>
        </w:tabs>
        <w:ind w:left="3960" w:hanging="360"/>
      </w:pPr>
      <w:rPr>
        <w:rFonts w:ascii="Courier New" w:hAnsi="Courier New" w:hint="default"/>
      </w:rPr>
    </w:lvl>
    <w:lvl w:ilvl="5" w:tplc="08090005">
      <w:start w:val="1"/>
      <w:numFmt w:val="bullet"/>
      <w:lvlText w:val=""/>
      <w:lvlJc w:val="left"/>
      <w:pPr>
        <w:tabs>
          <w:tab w:val="num" w:pos="4680"/>
        </w:tabs>
        <w:ind w:left="4680" w:hanging="360"/>
      </w:pPr>
      <w:rPr>
        <w:rFonts w:ascii="Wingdings" w:hAnsi="Wingdings" w:hint="default"/>
      </w:rPr>
    </w:lvl>
    <w:lvl w:ilvl="6" w:tplc="08090001">
      <w:start w:val="1"/>
      <w:numFmt w:val="bullet"/>
      <w:lvlText w:val=""/>
      <w:lvlJc w:val="left"/>
      <w:pPr>
        <w:tabs>
          <w:tab w:val="num" w:pos="5400"/>
        </w:tabs>
        <w:ind w:left="5400" w:hanging="360"/>
      </w:pPr>
      <w:rPr>
        <w:rFonts w:ascii="Symbol" w:hAnsi="Symbol" w:hint="default"/>
      </w:rPr>
    </w:lvl>
    <w:lvl w:ilvl="7" w:tplc="08090003">
      <w:start w:val="1"/>
      <w:numFmt w:val="bullet"/>
      <w:lvlText w:val="o"/>
      <w:lvlJc w:val="left"/>
      <w:pPr>
        <w:tabs>
          <w:tab w:val="num" w:pos="6120"/>
        </w:tabs>
        <w:ind w:left="6120" w:hanging="360"/>
      </w:pPr>
      <w:rPr>
        <w:rFonts w:ascii="Courier New" w:hAnsi="Courier New" w:hint="default"/>
      </w:rPr>
    </w:lvl>
    <w:lvl w:ilvl="8" w:tplc="08090005">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rPr>
        <w:rFonts w:cs="Times New Roman"/>
      </w:rPr>
    </w:lvl>
    <w:lvl w:ilvl="1" w:tplc="08090019">
      <w:start w:val="1"/>
      <w:numFmt w:val="lowerLetter"/>
      <w:lvlText w:val="%2."/>
      <w:lvlJc w:val="left"/>
      <w:pPr>
        <w:ind w:left="1260" w:hanging="360"/>
      </w:pPr>
      <w:rPr>
        <w:rFonts w:cs="Times New Roman"/>
      </w:rPr>
    </w:lvl>
    <w:lvl w:ilvl="2" w:tplc="0809001B">
      <w:start w:val="1"/>
      <w:numFmt w:val="lowerRoman"/>
      <w:lvlText w:val="%3."/>
      <w:lvlJc w:val="right"/>
      <w:pPr>
        <w:ind w:left="1980" w:hanging="180"/>
      </w:pPr>
      <w:rPr>
        <w:rFonts w:cs="Times New Roman"/>
      </w:rPr>
    </w:lvl>
    <w:lvl w:ilvl="3" w:tplc="0809000F">
      <w:start w:val="1"/>
      <w:numFmt w:val="decimal"/>
      <w:lvlText w:val="%4."/>
      <w:lvlJc w:val="left"/>
      <w:pPr>
        <w:ind w:left="2700" w:hanging="360"/>
      </w:pPr>
      <w:rPr>
        <w:rFonts w:cs="Times New Roman"/>
      </w:rPr>
    </w:lvl>
    <w:lvl w:ilvl="4" w:tplc="08090019">
      <w:start w:val="1"/>
      <w:numFmt w:val="lowerLetter"/>
      <w:lvlText w:val="%5."/>
      <w:lvlJc w:val="left"/>
      <w:pPr>
        <w:ind w:left="3420" w:hanging="360"/>
      </w:pPr>
      <w:rPr>
        <w:rFonts w:cs="Times New Roman"/>
      </w:rPr>
    </w:lvl>
    <w:lvl w:ilvl="5" w:tplc="0809001B">
      <w:start w:val="1"/>
      <w:numFmt w:val="lowerRoman"/>
      <w:lvlText w:val="%6."/>
      <w:lvlJc w:val="right"/>
      <w:pPr>
        <w:ind w:left="4140" w:hanging="180"/>
      </w:pPr>
      <w:rPr>
        <w:rFonts w:cs="Times New Roman"/>
      </w:rPr>
    </w:lvl>
    <w:lvl w:ilvl="6" w:tplc="0809000F">
      <w:start w:val="1"/>
      <w:numFmt w:val="decimal"/>
      <w:lvlText w:val="%7."/>
      <w:lvlJc w:val="left"/>
      <w:pPr>
        <w:ind w:left="4860" w:hanging="360"/>
      </w:pPr>
      <w:rPr>
        <w:rFonts w:cs="Times New Roman"/>
      </w:rPr>
    </w:lvl>
    <w:lvl w:ilvl="7" w:tplc="08090019">
      <w:start w:val="1"/>
      <w:numFmt w:val="lowerLetter"/>
      <w:lvlText w:val="%8."/>
      <w:lvlJc w:val="left"/>
      <w:pPr>
        <w:ind w:left="5580" w:hanging="360"/>
      </w:pPr>
      <w:rPr>
        <w:rFonts w:cs="Times New Roman"/>
      </w:rPr>
    </w:lvl>
    <w:lvl w:ilvl="8" w:tplc="0809001B">
      <w:start w:val="1"/>
      <w:numFmt w:val="lowerRoman"/>
      <w:lvlText w:val="%9."/>
      <w:lvlJc w:val="right"/>
      <w:pPr>
        <w:ind w:left="6300" w:hanging="180"/>
      </w:pPr>
      <w:rPr>
        <w:rFonts w:cs="Times New Roman"/>
      </w:r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rPr>
        <w:rFonts w:cs="Times New Roman"/>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cs="Times New Roman" w:hint="default"/>
        <w:sz w:val="20"/>
        <w:szCs w:val="20"/>
      </w:rPr>
    </w:lvl>
    <w:lvl w:ilvl="1" w:tplc="08090019">
      <w:start w:val="1"/>
      <w:numFmt w:val="lowerLetter"/>
      <w:lvlText w:val="%2."/>
      <w:lvlJc w:val="left"/>
      <w:pPr>
        <w:ind w:left="900" w:hanging="360"/>
      </w:pPr>
      <w:rPr>
        <w:rFonts w:cs="Times New Roman"/>
      </w:rPr>
    </w:lvl>
    <w:lvl w:ilvl="2" w:tplc="0809001B">
      <w:start w:val="1"/>
      <w:numFmt w:val="lowerRoman"/>
      <w:lvlText w:val="%3."/>
      <w:lvlJc w:val="right"/>
      <w:pPr>
        <w:ind w:left="1620" w:hanging="180"/>
      </w:pPr>
      <w:rPr>
        <w:rFonts w:cs="Times New Roman"/>
      </w:rPr>
    </w:lvl>
    <w:lvl w:ilvl="3" w:tplc="0809000F">
      <w:start w:val="1"/>
      <w:numFmt w:val="decimal"/>
      <w:lvlText w:val="%4."/>
      <w:lvlJc w:val="left"/>
      <w:pPr>
        <w:ind w:left="2340" w:hanging="360"/>
      </w:pPr>
      <w:rPr>
        <w:rFonts w:cs="Times New Roman"/>
      </w:rPr>
    </w:lvl>
    <w:lvl w:ilvl="4" w:tplc="08090019">
      <w:start w:val="1"/>
      <w:numFmt w:val="lowerLetter"/>
      <w:lvlText w:val="%5."/>
      <w:lvlJc w:val="left"/>
      <w:pPr>
        <w:ind w:left="3060" w:hanging="360"/>
      </w:pPr>
      <w:rPr>
        <w:rFonts w:cs="Times New Roman"/>
      </w:rPr>
    </w:lvl>
    <w:lvl w:ilvl="5" w:tplc="0809001B">
      <w:start w:val="1"/>
      <w:numFmt w:val="lowerRoman"/>
      <w:lvlText w:val="%6."/>
      <w:lvlJc w:val="right"/>
      <w:pPr>
        <w:ind w:left="3780" w:hanging="180"/>
      </w:pPr>
      <w:rPr>
        <w:rFonts w:cs="Times New Roman"/>
      </w:rPr>
    </w:lvl>
    <w:lvl w:ilvl="6" w:tplc="0809000F">
      <w:start w:val="1"/>
      <w:numFmt w:val="decimal"/>
      <w:lvlText w:val="%7."/>
      <w:lvlJc w:val="left"/>
      <w:pPr>
        <w:ind w:left="4500" w:hanging="360"/>
      </w:pPr>
      <w:rPr>
        <w:rFonts w:cs="Times New Roman"/>
      </w:rPr>
    </w:lvl>
    <w:lvl w:ilvl="7" w:tplc="08090019">
      <w:start w:val="1"/>
      <w:numFmt w:val="lowerLetter"/>
      <w:lvlText w:val="%8."/>
      <w:lvlJc w:val="left"/>
      <w:pPr>
        <w:ind w:left="5220" w:hanging="360"/>
      </w:pPr>
      <w:rPr>
        <w:rFonts w:cs="Times New Roman"/>
      </w:rPr>
    </w:lvl>
    <w:lvl w:ilvl="8" w:tplc="0809001B">
      <w:start w:val="1"/>
      <w:numFmt w:val="lowerRoman"/>
      <w:lvlText w:val="%9."/>
      <w:lvlJc w:val="right"/>
      <w:pPr>
        <w:ind w:left="5940" w:hanging="180"/>
      </w:pPr>
      <w:rPr>
        <w:rFonts w:cs="Times New Roman"/>
      </w:r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start w:val="1"/>
      <w:numFmt w:val="bullet"/>
      <w:lvlText w:val="o"/>
      <w:lvlJc w:val="left"/>
      <w:pPr>
        <w:tabs>
          <w:tab w:val="num" w:pos="1800"/>
        </w:tabs>
        <w:ind w:left="1800" w:hanging="360"/>
      </w:pPr>
      <w:rPr>
        <w:rFonts w:ascii="Courier New" w:hAnsi="Courier New" w:hint="default"/>
      </w:rPr>
    </w:lvl>
    <w:lvl w:ilvl="2" w:tplc="04090005">
      <w:start w:val="1"/>
      <w:numFmt w:val="bullet"/>
      <w:lvlText w:val=""/>
      <w:lvlJc w:val="left"/>
      <w:pPr>
        <w:tabs>
          <w:tab w:val="num" w:pos="2520"/>
        </w:tabs>
        <w:ind w:left="2520" w:hanging="360"/>
      </w:pPr>
      <w:rPr>
        <w:rFonts w:ascii="Wingdings" w:hAnsi="Wingdings" w:hint="default"/>
      </w:rPr>
    </w:lvl>
    <w:lvl w:ilvl="3" w:tplc="04090001">
      <w:start w:val="1"/>
      <w:numFmt w:val="bullet"/>
      <w:lvlText w:val=""/>
      <w:lvlJc w:val="left"/>
      <w:pPr>
        <w:tabs>
          <w:tab w:val="num" w:pos="3240"/>
        </w:tabs>
        <w:ind w:left="3240" w:hanging="360"/>
      </w:pPr>
      <w:rPr>
        <w:rFonts w:ascii="Symbol" w:hAnsi="Symbol" w:hint="default"/>
      </w:rPr>
    </w:lvl>
    <w:lvl w:ilvl="4" w:tplc="04090003">
      <w:start w:val="1"/>
      <w:numFmt w:val="bullet"/>
      <w:lvlText w:val="o"/>
      <w:lvlJc w:val="left"/>
      <w:pPr>
        <w:tabs>
          <w:tab w:val="num" w:pos="3960"/>
        </w:tabs>
        <w:ind w:left="3960" w:hanging="360"/>
      </w:pPr>
      <w:rPr>
        <w:rFonts w:ascii="Courier New" w:hAnsi="Courier New" w:hint="default"/>
      </w:rPr>
    </w:lvl>
    <w:lvl w:ilvl="5" w:tplc="04090005">
      <w:start w:val="1"/>
      <w:numFmt w:val="bullet"/>
      <w:lvlText w:val=""/>
      <w:lvlJc w:val="left"/>
      <w:pPr>
        <w:tabs>
          <w:tab w:val="num" w:pos="4680"/>
        </w:tabs>
        <w:ind w:left="4680" w:hanging="360"/>
      </w:pPr>
      <w:rPr>
        <w:rFonts w:ascii="Wingdings" w:hAnsi="Wingdings" w:hint="default"/>
      </w:rPr>
    </w:lvl>
    <w:lvl w:ilvl="6" w:tplc="04090001">
      <w:start w:val="1"/>
      <w:numFmt w:val="bullet"/>
      <w:lvlText w:val=""/>
      <w:lvlJc w:val="left"/>
      <w:pPr>
        <w:tabs>
          <w:tab w:val="num" w:pos="5400"/>
        </w:tabs>
        <w:ind w:left="5400" w:hanging="360"/>
      </w:pPr>
      <w:rPr>
        <w:rFonts w:ascii="Symbol" w:hAnsi="Symbol" w:hint="default"/>
      </w:rPr>
    </w:lvl>
    <w:lvl w:ilvl="7" w:tplc="04090003">
      <w:start w:val="1"/>
      <w:numFmt w:val="bullet"/>
      <w:lvlText w:val="o"/>
      <w:lvlJc w:val="left"/>
      <w:pPr>
        <w:tabs>
          <w:tab w:val="num" w:pos="6120"/>
        </w:tabs>
        <w:ind w:left="6120" w:hanging="360"/>
      </w:pPr>
      <w:rPr>
        <w:rFonts w:ascii="Courier New" w:hAnsi="Courier New" w:hint="default"/>
      </w:rPr>
    </w:lvl>
    <w:lvl w:ilvl="8" w:tplc="04090005">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rPr>
        <w:rFonts w:cs="Times New Roman"/>
      </w:rPr>
    </w:lvl>
    <w:lvl w:ilvl="1">
      <w:start w:val="1"/>
      <w:numFmt w:val="lowerLetter"/>
      <w:lvlText w:val="%2)"/>
      <w:lvlJc w:val="left"/>
      <w:pPr>
        <w:tabs>
          <w:tab w:val="num" w:pos="720"/>
        </w:tabs>
        <w:ind w:left="720" w:hanging="360"/>
      </w:pPr>
      <w:rPr>
        <w:rFonts w:cs="Times New Roman"/>
      </w:rPr>
    </w:lvl>
    <w:lvl w:ilvl="2">
      <w:start w:val="1"/>
      <w:numFmt w:val="lowerRoman"/>
      <w:lvlText w:val="%3)"/>
      <w:lvlJc w:val="left"/>
      <w:pPr>
        <w:tabs>
          <w:tab w:val="num" w:pos="1080"/>
        </w:tabs>
        <w:ind w:left="1080" w:hanging="360"/>
      </w:pPr>
      <w:rPr>
        <w:rFonts w:cs="Times New Roman"/>
      </w:rPr>
    </w:lvl>
    <w:lvl w:ilvl="3">
      <w:start w:val="1"/>
      <w:numFmt w:val="decimal"/>
      <w:lvlText w:val="(%4)"/>
      <w:lvlJc w:val="left"/>
      <w:pPr>
        <w:tabs>
          <w:tab w:val="num" w:pos="1440"/>
        </w:tabs>
        <w:ind w:left="1440" w:hanging="360"/>
      </w:pPr>
      <w:rPr>
        <w:rFonts w:cs="Times New Roman"/>
      </w:rPr>
    </w:lvl>
    <w:lvl w:ilvl="4">
      <w:start w:val="1"/>
      <w:numFmt w:val="lowerLetter"/>
      <w:lvlText w:val="(%5)"/>
      <w:lvlJc w:val="left"/>
      <w:pPr>
        <w:tabs>
          <w:tab w:val="num" w:pos="1800"/>
        </w:tabs>
        <w:ind w:left="1800" w:hanging="360"/>
      </w:pPr>
      <w:rPr>
        <w:rFonts w:cs="Times New Roman"/>
      </w:rPr>
    </w:lvl>
    <w:lvl w:ilvl="5">
      <w:start w:val="1"/>
      <w:numFmt w:val="lowerRoman"/>
      <w:lvlText w:val="(%6)"/>
      <w:lvlJc w:val="left"/>
      <w:pPr>
        <w:tabs>
          <w:tab w:val="num" w:pos="2160"/>
        </w:tabs>
        <w:ind w:left="2160" w:hanging="360"/>
      </w:pPr>
      <w:rPr>
        <w:rFonts w:cs="Times New Roman"/>
      </w:rPr>
    </w:lvl>
    <w:lvl w:ilvl="6">
      <w:start w:val="1"/>
      <w:numFmt w:val="decimal"/>
      <w:lvlText w:val="%7."/>
      <w:lvlJc w:val="left"/>
      <w:pPr>
        <w:tabs>
          <w:tab w:val="num" w:pos="2520"/>
        </w:tabs>
        <w:ind w:left="2520" w:hanging="360"/>
      </w:pPr>
      <w:rPr>
        <w:rFonts w:cs="Times New Roman"/>
      </w:rPr>
    </w:lvl>
    <w:lvl w:ilvl="7">
      <w:start w:val="1"/>
      <w:numFmt w:val="lowerLetter"/>
      <w:lvlText w:val="%8."/>
      <w:lvlJc w:val="left"/>
      <w:pPr>
        <w:tabs>
          <w:tab w:val="num" w:pos="2880"/>
        </w:tabs>
        <w:ind w:left="2880" w:hanging="360"/>
      </w:pPr>
      <w:rPr>
        <w:rFonts w:cs="Times New Roman"/>
      </w:rPr>
    </w:lvl>
    <w:lvl w:ilvl="8">
      <w:start w:val="1"/>
      <w:numFmt w:val="lowerRoman"/>
      <w:lvlText w:val="%9."/>
      <w:lvlJc w:val="left"/>
      <w:pPr>
        <w:tabs>
          <w:tab w:val="num" w:pos="3240"/>
        </w:tabs>
        <w:ind w:left="3240" w:hanging="360"/>
      </w:pPr>
      <w:rPr>
        <w:rFonts w:cs="Times New Roman"/>
      </w:r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hint="default"/>
      </w:rPr>
    </w:lvl>
    <w:lvl w:ilvl="2" w:tplc="04090005">
      <w:start w:val="1"/>
      <w:numFmt w:val="bullet"/>
      <w:lvlText w:val=""/>
      <w:lvlJc w:val="left"/>
      <w:pPr>
        <w:tabs>
          <w:tab w:val="num" w:pos="1980"/>
        </w:tabs>
        <w:ind w:left="1980" w:hanging="360"/>
      </w:pPr>
      <w:rPr>
        <w:rFonts w:ascii="Wingdings" w:hAnsi="Wingdings" w:hint="default"/>
      </w:rPr>
    </w:lvl>
    <w:lvl w:ilvl="3" w:tplc="04090001">
      <w:start w:val="1"/>
      <w:numFmt w:val="bullet"/>
      <w:lvlText w:val=""/>
      <w:lvlJc w:val="left"/>
      <w:pPr>
        <w:tabs>
          <w:tab w:val="num" w:pos="2700"/>
        </w:tabs>
        <w:ind w:left="2700" w:hanging="360"/>
      </w:pPr>
      <w:rPr>
        <w:rFonts w:ascii="Symbol" w:hAnsi="Symbol" w:hint="default"/>
      </w:rPr>
    </w:lvl>
    <w:lvl w:ilvl="4" w:tplc="04090003">
      <w:start w:val="1"/>
      <w:numFmt w:val="bullet"/>
      <w:lvlText w:val="o"/>
      <w:lvlJc w:val="left"/>
      <w:pPr>
        <w:tabs>
          <w:tab w:val="num" w:pos="3420"/>
        </w:tabs>
        <w:ind w:left="3420" w:hanging="360"/>
      </w:pPr>
      <w:rPr>
        <w:rFonts w:ascii="Courier New" w:hAnsi="Courier New" w:hint="default"/>
      </w:rPr>
    </w:lvl>
    <w:lvl w:ilvl="5" w:tplc="04090005">
      <w:start w:val="1"/>
      <w:numFmt w:val="bullet"/>
      <w:lvlText w:val=""/>
      <w:lvlJc w:val="left"/>
      <w:pPr>
        <w:tabs>
          <w:tab w:val="num" w:pos="4140"/>
        </w:tabs>
        <w:ind w:left="4140" w:hanging="360"/>
      </w:pPr>
      <w:rPr>
        <w:rFonts w:ascii="Wingdings" w:hAnsi="Wingdings" w:hint="default"/>
      </w:rPr>
    </w:lvl>
    <w:lvl w:ilvl="6" w:tplc="04090001">
      <w:start w:val="1"/>
      <w:numFmt w:val="bullet"/>
      <w:lvlText w:val=""/>
      <w:lvlJc w:val="left"/>
      <w:pPr>
        <w:tabs>
          <w:tab w:val="num" w:pos="4860"/>
        </w:tabs>
        <w:ind w:left="4860" w:hanging="360"/>
      </w:pPr>
      <w:rPr>
        <w:rFonts w:ascii="Symbol" w:hAnsi="Symbol" w:hint="default"/>
      </w:rPr>
    </w:lvl>
    <w:lvl w:ilvl="7" w:tplc="04090003">
      <w:start w:val="1"/>
      <w:numFmt w:val="bullet"/>
      <w:lvlText w:val="o"/>
      <w:lvlJc w:val="left"/>
      <w:pPr>
        <w:tabs>
          <w:tab w:val="num" w:pos="5580"/>
        </w:tabs>
        <w:ind w:left="5580" w:hanging="360"/>
      </w:pPr>
      <w:rPr>
        <w:rFonts w:ascii="Courier New" w:hAnsi="Courier New" w:hint="default"/>
      </w:rPr>
    </w:lvl>
    <w:lvl w:ilvl="8" w:tplc="04090005">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start w:val="1"/>
      <w:numFmt w:val="bullet"/>
      <w:lvlText w:val="o"/>
      <w:lvlJc w:val="left"/>
      <w:pPr>
        <w:tabs>
          <w:tab w:val="num" w:pos="1800"/>
        </w:tabs>
        <w:ind w:left="1800" w:hanging="360"/>
      </w:pPr>
      <w:rPr>
        <w:rFonts w:ascii="Courier New" w:hAnsi="Courier New" w:hint="default"/>
      </w:rPr>
    </w:lvl>
    <w:lvl w:ilvl="2" w:tplc="08090005">
      <w:start w:val="1"/>
      <w:numFmt w:val="bullet"/>
      <w:lvlText w:val=""/>
      <w:lvlJc w:val="left"/>
      <w:pPr>
        <w:tabs>
          <w:tab w:val="num" w:pos="2520"/>
        </w:tabs>
        <w:ind w:left="2520" w:hanging="360"/>
      </w:pPr>
      <w:rPr>
        <w:rFonts w:ascii="Wingdings" w:hAnsi="Wingdings" w:hint="default"/>
      </w:rPr>
    </w:lvl>
    <w:lvl w:ilvl="3" w:tplc="08090001">
      <w:start w:val="1"/>
      <w:numFmt w:val="bullet"/>
      <w:lvlText w:val=""/>
      <w:lvlJc w:val="left"/>
      <w:pPr>
        <w:tabs>
          <w:tab w:val="num" w:pos="3240"/>
        </w:tabs>
        <w:ind w:left="3240" w:hanging="360"/>
      </w:pPr>
      <w:rPr>
        <w:rFonts w:ascii="Symbol" w:hAnsi="Symbol" w:hint="default"/>
      </w:rPr>
    </w:lvl>
    <w:lvl w:ilvl="4" w:tplc="08090003">
      <w:start w:val="1"/>
      <w:numFmt w:val="bullet"/>
      <w:lvlText w:val="o"/>
      <w:lvlJc w:val="left"/>
      <w:pPr>
        <w:tabs>
          <w:tab w:val="num" w:pos="3960"/>
        </w:tabs>
        <w:ind w:left="3960" w:hanging="360"/>
      </w:pPr>
      <w:rPr>
        <w:rFonts w:ascii="Courier New" w:hAnsi="Courier New" w:hint="default"/>
      </w:rPr>
    </w:lvl>
    <w:lvl w:ilvl="5" w:tplc="08090005">
      <w:start w:val="1"/>
      <w:numFmt w:val="bullet"/>
      <w:lvlText w:val=""/>
      <w:lvlJc w:val="left"/>
      <w:pPr>
        <w:tabs>
          <w:tab w:val="num" w:pos="4680"/>
        </w:tabs>
        <w:ind w:left="4680" w:hanging="360"/>
      </w:pPr>
      <w:rPr>
        <w:rFonts w:ascii="Wingdings" w:hAnsi="Wingdings" w:hint="default"/>
      </w:rPr>
    </w:lvl>
    <w:lvl w:ilvl="6" w:tplc="08090001">
      <w:start w:val="1"/>
      <w:numFmt w:val="bullet"/>
      <w:lvlText w:val=""/>
      <w:lvlJc w:val="left"/>
      <w:pPr>
        <w:tabs>
          <w:tab w:val="num" w:pos="5400"/>
        </w:tabs>
        <w:ind w:left="5400" w:hanging="360"/>
      </w:pPr>
      <w:rPr>
        <w:rFonts w:ascii="Symbol" w:hAnsi="Symbol" w:hint="default"/>
      </w:rPr>
    </w:lvl>
    <w:lvl w:ilvl="7" w:tplc="08090003">
      <w:start w:val="1"/>
      <w:numFmt w:val="bullet"/>
      <w:lvlText w:val="o"/>
      <w:lvlJc w:val="left"/>
      <w:pPr>
        <w:tabs>
          <w:tab w:val="num" w:pos="6120"/>
        </w:tabs>
        <w:ind w:left="6120" w:hanging="360"/>
      </w:pPr>
      <w:rPr>
        <w:rFonts w:ascii="Courier New" w:hAnsi="Courier New" w:hint="default"/>
      </w:rPr>
    </w:lvl>
    <w:lvl w:ilvl="8" w:tplc="08090005">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hint="default"/>
      </w:rPr>
    </w:lvl>
    <w:lvl w:ilvl="8" w:tplc="08090005">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embedSystemFonts/>
  <w:proofState w:spelling="clean" w:grammar="clean"/>
  <w:defaultTabStop w:val="720"/>
  <w:doNotHyphenateCaps/>
  <w:noPunctuationKerning/>
  <w:characterSpacingControl w:val="doNotCompress"/>
  <w:doNotValidateAgainstSchema/>
  <w:doNotDemarcateInvalidXml/>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13545"/>
    <w:rsid w:val="00026363"/>
    <w:rsid w:val="00026A9D"/>
    <w:rsid w:val="00030650"/>
    <w:rsid w:val="00035C2C"/>
    <w:rsid w:val="00041083"/>
    <w:rsid w:val="00046A16"/>
    <w:rsid w:val="00066FE4"/>
    <w:rsid w:val="00076A0B"/>
    <w:rsid w:val="00081990"/>
    <w:rsid w:val="000854DF"/>
    <w:rsid w:val="00090D4F"/>
    <w:rsid w:val="00091431"/>
    <w:rsid w:val="000961EE"/>
    <w:rsid w:val="00096F71"/>
    <w:rsid w:val="000A3FC6"/>
    <w:rsid w:val="000A6D49"/>
    <w:rsid w:val="000A7B24"/>
    <w:rsid w:val="000C1955"/>
    <w:rsid w:val="000E3682"/>
    <w:rsid w:val="000E3751"/>
    <w:rsid w:val="000F2AAB"/>
    <w:rsid w:val="00100042"/>
    <w:rsid w:val="001070F2"/>
    <w:rsid w:val="00110CA2"/>
    <w:rsid w:val="00111283"/>
    <w:rsid w:val="001369FC"/>
    <w:rsid w:val="00137B0C"/>
    <w:rsid w:val="0014285B"/>
    <w:rsid w:val="00145E4F"/>
    <w:rsid w:val="00160734"/>
    <w:rsid w:val="00172497"/>
    <w:rsid w:val="00172699"/>
    <w:rsid w:val="001749D8"/>
    <w:rsid w:val="0019094A"/>
    <w:rsid w:val="001A2849"/>
    <w:rsid w:val="001A3B6C"/>
    <w:rsid w:val="001C0B52"/>
    <w:rsid w:val="001C164A"/>
    <w:rsid w:val="001C4B2D"/>
    <w:rsid w:val="001D1E22"/>
    <w:rsid w:val="001E0E06"/>
    <w:rsid w:val="001F4CE1"/>
    <w:rsid w:val="001F7528"/>
    <w:rsid w:val="002132DC"/>
    <w:rsid w:val="00216211"/>
    <w:rsid w:val="00224B95"/>
    <w:rsid w:val="00231DE3"/>
    <w:rsid w:val="00236571"/>
    <w:rsid w:val="00236C0D"/>
    <w:rsid w:val="00247A6E"/>
    <w:rsid w:val="002715FA"/>
    <w:rsid w:val="002737F0"/>
    <w:rsid w:val="00276002"/>
    <w:rsid w:val="00277421"/>
    <w:rsid w:val="002805A3"/>
    <w:rsid w:val="0028749F"/>
    <w:rsid w:val="00290783"/>
    <w:rsid w:val="002A1D0D"/>
    <w:rsid w:val="002A3E26"/>
    <w:rsid w:val="002B44D0"/>
    <w:rsid w:val="002B6C2E"/>
    <w:rsid w:val="002C3F03"/>
    <w:rsid w:val="002C64AD"/>
    <w:rsid w:val="002D2A04"/>
    <w:rsid w:val="002E14D0"/>
    <w:rsid w:val="002E2BA0"/>
    <w:rsid w:val="002F1475"/>
    <w:rsid w:val="0030492E"/>
    <w:rsid w:val="00305185"/>
    <w:rsid w:val="00307B22"/>
    <w:rsid w:val="00326631"/>
    <w:rsid w:val="00337A70"/>
    <w:rsid w:val="00341D2F"/>
    <w:rsid w:val="0036561E"/>
    <w:rsid w:val="0038342D"/>
    <w:rsid w:val="003A3F6E"/>
    <w:rsid w:val="003A5397"/>
    <w:rsid w:val="003B1B1C"/>
    <w:rsid w:val="003C3F4F"/>
    <w:rsid w:val="003C49A3"/>
    <w:rsid w:val="003C7F6F"/>
    <w:rsid w:val="003D14BE"/>
    <w:rsid w:val="003E08F3"/>
    <w:rsid w:val="003F0AD2"/>
    <w:rsid w:val="0040214A"/>
    <w:rsid w:val="004051AA"/>
    <w:rsid w:val="0040732D"/>
    <w:rsid w:val="00414B7D"/>
    <w:rsid w:val="00415013"/>
    <w:rsid w:val="00417489"/>
    <w:rsid w:val="004179A6"/>
    <w:rsid w:val="004250DD"/>
    <w:rsid w:val="00427EF8"/>
    <w:rsid w:val="0043386B"/>
    <w:rsid w:val="00435DA8"/>
    <w:rsid w:val="0043758C"/>
    <w:rsid w:val="00437C27"/>
    <w:rsid w:val="0044129B"/>
    <w:rsid w:val="00447497"/>
    <w:rsid w:val="00453254"/>
    <w:rsid w:val="00460A5C"/>
    <w:rsid w:val="004627BA"/>
    <w:rsid w:val="00462F52"/>
    <w:rsid w:val="004640A1"/>
    <w:rsid w:val="004724D6"/>
    <w:rsid w:val="00475C78"/>
    <w:rsid w:val="004924C1"/>
    <w:rsid w:val="00496F3E"/>
    <w:rsid w:val="004A61C1"/>
    <w:rsid w:val="004A76DD"/>
    <w:rsid w:val="004A7E64"/>
    <w:rsid w:val="004B044B"/>
    <w:rsid w:val="004B0EAE"/>
    <w:rsid w:val="004B73BA"/>
    <w:rsid w:val="004C6E0B"/>
    <w:rsid w:val="004C7104"/>
    <w:rsid w:val="004C79CE"/>
    <w:rsid w:val="004D0738"/>
    <w:rsid w:val="004D6A73"/>
    <w:rsid w:val="0050446C"/>
    <w:rsid w:val="005149C9"/>
    <w:rsid w:val="00521E0F"/>
    <w:rsid w:val="005220CD"/>
    <w:rsid w:val="00525C32"/>
    <w:rsid w:val="00531109"/>
    <w:rsid w:val="00535880"/>
    <w:rsid w:val="005429EF"/>
    <w:rsid w:val="00546E54"/>
    <w:rsid w:val="00552270"/>
    <w:rsid w:val="00556609"/>
    <w:rsid w:val="00560F2D"/>
    <w:rsid w:val="005768EB"/>
    <w:rsid w:val="005777C0"/>
    <w:rsid w:val="005855F3"/>
    <w:rsid w:val="00586C22"/>
    <w:rsid w:val="0058726A"/>
    <w:rsid w:val="00587421"/>
    <w:rsid w:val="00590E9A"/>
    <w:rsid w:val="005942E9"/>
    <w:rsid w:val="005A142E"/>
    <w:rsid w:val="005A3ABD"/>
    <w:rsid w:val="005A59CC"/>
    <w:rsid w:val="005C22BA"/>
    <w:rsid w:val="005C4369"/>
    <w:rsid w:val="005C6560"/>
    <w:rsid w:val="005C7DCD"/>
    <w:rsid w:val="005E7AEB"/>
    <w:rsid w:val="00603421"/>
    <w:rsid w:val="00604BCB"/>
    <w:rsid w:val="00610318"/>
    <w:rsid w:val="00622FE1"/>
    <w:rsid w:val="00625951"/>
    <w:rsid w:val="00632937"/>
    <w:rsid w:val="0063628C"/>
    <w:rsid w:val="0064071A"/>
    <w:rsid w:val="00643519"/>
    <w:rsid w:val="006558D4"/>
    <w:rsid w:val="00656141"/>
    <w:rsid w:val="0065654E"/>
    <w:rsid w:val="00662A40"/>
    <w:rsid w:val="006642AC"/>
    <w:rsid w:val="006805EC"/>
    <w:rsid w:val="00682050"/>
    <w:rsid w:val="00683026"/>
    <w:rsid w:val="00691819"/>
    <w:rsid w:val="00693C4D"/>
    <w:rsid w:val="006947A1"/>
    <w:rsid w:val="006A205D"/>
    <w:rsid w:val="006B295C"/>
    <w:rsid w:val="006B6810"/>
    <w:rsid w:val="006B6A59"/>
    <w:rsid w:val="006C0A3A"/>
    <w:rsid w:val="006C5E96"/>
    <w:rsid w:val="006D35F7"/>
    <w:rsid w:val="006E43F7"/>
    <w:rsid w:val="006F0FA1"/>
    <w:rsid w:val="006F3E0D"/>
    <w:rsid w:val="006F3E19"/>
    <w:rsid w:val="007009B0"/>
    <w:rsid w:val="00705A3C"/>
    <w:rsid w:val="00706D4E"/>
    <w:rsid w:val="00711558"/>
    <w:rsid w:val="00711A04"/>
    <w:rsid w:val="007201A1"/>
    <w:rsid w:val="0073018D"/>
    <w:rsid w:val="00747A11"/>
    <w:rsid w:val="0075128C"/>
    <w:rsid w:val="00751BE2"/>
    <w:rsid w:val="00760BB5"/>
    <w:rsid w:val="00765417"/>
    <w:rsid w:val="00770733"/>
    <w:rsid w:val="00773D0E"/>
    <w:rsid w:val="00784236"/>
    <w:rsid w:val="00790E2F"/>
    <w:rsid w:val="007A1600"/>
    <w:rsid w:val="007A2E8D"/>
    <w:rsid w:val="007A64C6"/>
    <w:rsid w:val="007B296F"/>
    <w:rsid w:val="007B721A"/>
    <w:rsid w:val="007C098A"/>
    <w:rsid w:val="007C0FEE"/>
    <w:rsid w:val="007C38B3"/>
    <w:rsid w:val="007C52D8"/>
    <w:rsid w:val="007D7715"/>
    <w:rsid w:val="007E4D23"/>
    <w:rsid w:val="007F77F3"/>
    <w:rsid w:val="00800391"/>
    <w:rsid w:val="008048F4"/>
    <w:rsid w:val="00823895"/>
    <w:rsid w:val="0083442E"/>
    <w:rsid w:val="00840B95"/>
    <w:rsid w:val="0084272E"/>
    <w:rsid w:val="00843DE9"/>
    <w:rsid w:val="0085094E"/>
    <w:rsid w:val="00860711"/>
    <w:rsid w:val="00870C37"/>
    <w:rsid w:val="008755BC"/>
    <w:rsid w:val="00875C0B"/>
    <w:rsid w:val="00881475"/>
    <w:rsid w:val="00886C1A"/>
    <w:rsid w:val="00887A66"/>
    <w:rsid w:val="0089447F"/>
    <w:rsid w:val="008A4DCC"/>
    <w:rsid w:val="008A79C4"/>
    <w:rsid w:val="008B30D1"/>
    <w:rsid w:val="008B3A97"/>
    <w:rsid w:val="008C3DBF"/>
    <w:rsid w:val="008D03F0"/>
    <w:rsid w:val="008D43CF"/>
    <w:rsid w:val="008E4F24"/>
    <w:rsid w:val="008F329A"/>
    <w:rsid w:val="008F7197"/>
    <w:rsid w:val="0090396C"/>
    <w:rsid w:val="009251E7"/>
    <w:rsid w:val="00926978"/>
    <w:rsid w:val="00946262"/>
    <w:rsid w:val="00954BED"/>
    <w:rsid w:val="009550F2"/>
    <w:rsid w:val="00956E85"/>
    <w:rsid w:val="00962C02"/>
    <w:rsid w:val="00964BE5"/>
    <w:rsid w:val="00973B44"/>
    <w:rsid w:val="009801D3"/>
    <w:rsid w:val="00982B1E"/>
    <w:rsid w:val="009866EE"/>
    <w:rsid w:val="00986740"/>
    <w:rsid w:val="0099107B"/>
    <w:rsid w:val="009961AE"/>
    <w:rsid w:val="009A3D0A"/>
    <w:rsid w:val="009A621D"/>
    <w:rsid w:val="009B2D10"/>
    <w:rsid w:val="009B4016"/>
    <w:rsid w:val="009C01A3"/>
    <w:rsid w:val="009C15B4"/>
    <w:rsid w:val="009C2803"/>
    <w:rsid w:val="009C396A"/>
    <w:rsid w:val="009C5E65"/>
    <w:rsid w:val="009D623A"/>
    <w:rsid w:val="009E294C"/>
    <w:rsid w:val="009E456A"/>
    <w:rsid w:val="009E5FA0"/>
    <w:rsid w:val="00A02C62"/>
    <w:rsid w:val="00A03035"/>
    <w:rsid w:val="00A1689F"/>
    <w:rsid w:val="00A2073F"/>
    <w:rsid w:val="00A24270"/>
    <w:rsid w:val="00A303FE"/>
    <w:rsid w:val="00A400A0"/>
    <w:rsid w:val="00A41032"/>
    <w:rsid w:val="00A41AF9"/>
    <w:rsid w:val="00A507E4"/>
    <w:rsid w:val="00A5183E"/>
    <w:rsid w:val="00A5650F"/>
    <w:rsid w:val="00A61439"/>
    <w:rsid w:val="00A62E68"/>
    <w:rsid w:val="00A64BDE"/>
    <w:rsid w:val="00A80B00"/>
    <w:rsid w:val="00A9182B"/>
    <w:rsid w:val="00A92866"/>
    <w:rsid w:val="00A966DD"/>
    <w:rsid w:val="00A972E4"/>
    <w:rsid w:val="00A9744A"/>
    <w:rsid w:val="00AA0D53"/>
    <w:rsid w:val="00AA2AF6"/>
    <w:rsid w:val="00AA3AB9"/>
    <w:rsid w:val="00AB2CAE"/>
    <w:rsid w:val="00AB3FAB"/>
    <w:rsid w:val="00AC1C9C"/>
    <w:rsid w:val="00AC1F05"/>
    <w:rsid w:val="00AC36E3"/>
    <w:rsid w:val="00AC6213"/>
    <w:rsid w:val="00AC6D9B"/>
    <w:rsid w:val="00AD5D5A"/>
    <w:rsid w:val="00AF2D27"/>
    <w:rsid w:val="00AF42C1"/>
    <w:rsid w:val="00B11E29"/>
    <w:rsid w:val="00B42501"/>
    <w:rsid w:val="00B45FEF"/>
    <w:rsid w:val="00B61ACB"/>
    <w:rsid w:val="00B81E5D"/>
    <w:rsid w:val="00B86B8B"/>
    <w:rsid w:val="00B91672"/>
    <w:rsid w:val="00B91C88"/>
    <w:rsid w:val="00B926EB"/>
    <w:rsid w:val="00B92781"/>
    <w:rsid w:val="00B96983"/>
    <w:rsid w:val="00B9724B"/>
    <w:rsid w:val="00BA77CE"/>
    <w:rsid w:val="00BC17F1"/>
    <w:rsid w:val="00BD269E"/>
    <w:rsid w:val="00BE2F3D"/>
    <w:rsid w:val="00BE7B7A"/>
    <w:rsid w:val="00BF22DC"/>
    <w:rsid w:val="00BF3D29"/>
    <w:rsid w:val="00BF6291"/>
    <w:rsid w:val="00C0348A"/>
    <w:rsid w:val="00C050D2"/>
    <w:rsid w:val="00C06288"/>
    <w:rsid w:val="00C072F8"/>
    <w:rsid w:val="00C11A29"/>
    <w:rsid w:val="00C129C7"/>
    <w:rsid w:val="00C13CB4"/>
    <w:rsid w:val="00C202A7"/>
    <w:rsid w:val="00C217B5"/>
    <w:rsid w:val="00C22A88"/>
    <w:rsid w:val="00C27EAB"/>
    <w:rsid w:val="00C34E41"/>
    <w:rsid w:val="00C4699B"/>
    <w:rsid w:val="00C5556F"/>
    <w:rsid w:val="00C56812"/>
    <w:rsid w:val="00C57CE3"/>
    <w:rsid w:val="00C6341A"/>
    <w:rsid w:val="00C63FB1"/>
    <w:rsid w:val="00C641EC"/>
    <w:rsid w:val="00C65E7F"/>
    <w:rsid w:val="00C8155A"/>
    <w:rsid w:val="00C84C23"/>
    <w:rsid w:val="00C93CD4"/>
    <w:rsid w:val="00CA1984"/>
    <w:rsid w:val="00CC3C45"/>
    <w:rsid w:val="00CC52A3"/>
    <w:rsid w:val="00CD1ACD"/>
    <w:rsid w:val="00CE3B79"/>
    <w:rsid w:val="00CF1E9D"/>
    <w:rsid w:val="00CF635F"/>
    <w:rsid w:val="00D0754F"/>
    <w:rsid w:val="00D1447D"/>
    <w:rsid w:val="00D14973"/>
    <w:rsid w:val="00D34F04"/>
    <w:rsid w:val="00D40FAE"/>
    <w:rsid w:val="00D45476"/>
    <w:rsid w:val="00D459DC"/>
    <w:rsid w:val="00D4633A"/>
    <w:rsid w:val="00D53D65"/>
    <w:rsid w:val="00D56EFA"/>
    <w:rsid w:val="00D61979"/>
    <w:rsid w:val="00D70647"/>
    <w:rsid w:val="00D74A40"/>
    <w:rsid w:val="00D85184"/>
    <w:rsid w:val="00DA3217"/>
    <w:rsid w:val="00DA3E0F"/>
    <w:rsid w:val="00DA5213"/>
    <w:rsid w:val="00DB0287"/>
    <w:rsid w:val="00DB185F"/>
    <w:rsid w:val="00DB435F"/>
    <w:rsid w:val="00DB43BB"/>
    <w:rsid w:val="00DD363B"/>
    <w:rsid w:val="00DD5BD9"/>
    <w:rsid w:val="00DE54B1"/>
    <w:rsid w:val="00E3766D"/>
    <w:rsid w:val="00E4155A"/>
    <w:rsid w:val="00E460D9"/>
    <w:rsid w:val="00E47B4A"/>
    <w:rsid w:val="00E57529"/>
    <w:rsid w:val="00E57EA2"/>
    <w:rsid w:val="00E70CCF"/>
    <w:rsid w:val="00E75265"/>
    <w:rsid w:val="00E758FB"/>
    <w:rsid w:val="00E77B1C"/>
    <w:rsid w:val="00E814FE"/>
    <w:rsid w:val="00E84F5D"/>
    <w:rsid w:val="00E86E5C"/>
    <w:rsid w:val="00E91C61"/>
    <w:rsid w:val="00EA6731"/>
    <w:rsid w:val="00EB5ADB"/>
    <w:rsid w:val="00EB66FA"/>
    <w:rsid w:val="00EC3EE4"/>
    <w:rsid w:val="00EC5CF8"/>
    <w:rsid w:val="00EC7546"/>
    <w:rsid w:val="00ED2DE6"/>
    <w:rsid w:val="00ED6BDA"/>
    <w:rsid w:val="00EE2D53"/>
    <w:rsid w:val="00EF0BC0"/>
    <w:rsid w:val="00EF4CE1"/>
    <w:rsid w:val="00F02BF8"/>
    <w:rsid w:val="00F10192"/>
    <w:rsid w:val="00F11BB9"/>
    <w:rsid w:val="00F11DFA"/>
    <w:rsid w:val="00F14355"/>
    <w:rsid w:val="00F1661E"/>
    <w:rsid w:val="00F21DD0"/>
    <w:rsid w:val="00F346BE"/>
    <w:rsid w:val="00F35098"/>
    <w:rsid w:val="00F473E9"/>
    <w:rsid w:val="00F514A2"/>
    <w:rsid w:val="00F712C0"/>
    <w:rsid w:val="00F73533"/>
    <w:rsid w:val="00F77853"/>
    <w:rsid w:val="00F81D19"/>
    <w:rsid w:val="00FA07E9"/>
    <w:rsid w:val="00FA0FC3"/>
    <w:rsid w:val="00FA2A4C"/>
    <w:rsid w:val="00FB1647"/>
    <w:rsid w:val="00FB673F"/>
    <w:rsid w:val="00FC0B48"/>
    <w:rsid w:val="00FD53F6"/>
    <w:rsid w:val="00FE1AC7"/>
    <w:rsid w:val="00FE3CF1"/>
    <w:rsid w:val="00FF1125"/>
    <w:rsid w:val="00FF1730"/>
    <w:rsid w:val="00FF39F9"/>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AEA1B3D"/>
  <w15:docId w15:val="{92C14E7B-6BF1-49D1-BCFE-2229902B9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sz w:val="22"/>
        <w:szCs w:val="22"/>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locked="1" w:uiPriority="0"/>
    <w:lsdException w:name="footer" w:locked="1" w:uiPriority="0"/>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B185F"/>
    <w:rPr>
      <w:sz w:val="24"/>
      <w:szCs w:val="24"/>
      <w:lang w:eastAsia="zh-CN"/>
    </w:rPr>
  </w:style>
  <w:style w:type="paragraph" w:styleId="Heading3">
    <w:name w:val="heading 3"/>
    <w:basedOn w:val="Normal"/>
    <w:link w:val="Heading3Char"/>
    <w:uiPriority w:val="99"/>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9"/>
    <w:semiHidden/>
    <w:locked/>
    <w:rsid w:val="0085094E"/>
    <w:rPr>
      <w:rFonts w:ascii="Cambria" w:hAnsi="Cambria" w:cs="Times New Roman"/>
      <w:b/>
      <w:bCs/>
      <w:sz w:val="26"/>
      <w:szCs w:val="26"/>
      <w:lang w:eastAsia="zh-CN"/>
    </w:rPr>
  </w:style>
  <w:style w:type="paragraph" w:styleId="NormalWeb">
    <w:name w:val="Normal (Web)"/>
    <w:basedOn w:val="Normal"/>
    <w:uiPriority w:val="99"/>
    <w:rsid w:val="00DB185F"/>
    <w:pPr>
      <w:spacing w:before="100" w:beforeAutospacing="1" w:after="100" w:afterAutospacing="1"/>
    </w:pPr>
    <w:rPr>
      <w:rFonts w:ascii="Georgia" w:hAnsi="Georgia" w:cs="Georgia"/>
      <w:color w:val="000000"/>
      <w:sz w:val="21"/>
      <w:szCs w:val="21"/>
    </w:rPr>
  </w:style>
  <w:style w:type="character" w:styleId="CommentReference">
    <w:name w:val="annotation reference"/>
    <w:basedOn w:val="DefaultParagraphFont"/>
    <w:uiPriority w:val="99"/>
    <w:semiHidden/>
    <w:rsid w:val="00840B95"/>
    <w:rPr>
      <w:rFonts w:cs="Times New Roman"/>
      <w:sz w:val="16"/>
      <w:szCs w:val="16"/>
    </w:rPr>
  </w:style>
  <w:style w:type="paragraph" w:styleId="CommentText">
    <w:name w:val="annotation text"/>
    <w:basedOn w:val="Normal"/>
    <w:link w:val="CommentTextChar"/>
    <w:uiPriority w:val="99"/>
    <w:semiHidden/>
    <w:rsid w:val="00840B95"/>
    <w:rPr>
      <w:sz w:val="20"/>
      <w:szCs w:val="20"/>
    </w:rPr>
  </w:style>
  <w:style w:type="character" w:customStyle="1" w:styleId="CommentTextChar">
    <w:name w:val="Comment Text Char"/>
    <w:basedOn w:val="DefaultParagraphFont"/>
    <w:link w:val="CommentText"/>
    <w:uiPriority w:val="99"/>
    <w:locked/>
    <w:rsid w:val="00840B95"/>
    <w:rPr>
      <w:rFonts w:cs="Times New Roman"/>
      <w:lang w:eastAsia="zh-CN"/>
    </w:rPr>
  </w:style>
  <w:style w:type="paragraph" w:styleId="CommentSubject">
    <w:name w:val="annotation subject"/>
    <w:basedOn w:val="CommentText"/>
    <w:next w:val="CommentText"/>
    <w:link w:val="CommentSubjectChar"/>
    <w:uiPriority w:val="99"/>
    <w:semiHidden/>
    <w:rsid w:val="00840B95"/>
    <w:rPr>
      <w:b/>
      <w:bCs/>
    </w:rPr>
  </w:style>
  <w:style w:type="character" w:customStyle="1" w:styleId="CommentSubjectChar">
    <w:name w:val="Comment Subject Char"/>
    <w:basedOn w:val="CommentTextChar"/>
    <w:link w:val="CommentSubject"/>
    <w:uiPriority w:val="99"/>
    <w:locked/>
    <w:rsid w:val="00840B95"/>
    <w:rPr>
      <w:rFonts w:cs="Times New Roman"/>
      <w:b/>
      <w:bCs/>
      <w:lang w:eastAsia="zh-CN"/>
    </w:rPr>
  </w:style>
  <w:style w:type="paragraph" w:styleId="BalloonText">
    <w:name w:val="Balloon Text"/>
    <w:basedOn w:val="Normal"/>
    <w:link w:val="BalloonTextChar"/>
    <w:uiPriority w:val="99"/>
    <w:semiHidden/>
    <w:rsid w:val="00840B95"/>
    <w:rPr>
      <w:rFonts w:ascii="Tahoma" w:hAnsi="Tahoma" w:cs="Tahoma"/>
      <w:sz w:val="16"/>
      <w:szCs w:val="16"/>
    </w:rPr>
  </w:style>
  <w:style w:type="character" w:customStyle="1" w:styleId="BalloonTextChar">
    <w:name w:val="Balloon Text Char"/>
    <w:basedOn w:val="DefaultParagraphFont"/>
    <w:link w:val="BalloonText"/>
    <w:uiPriority w:val="99"/>
    <w:locked/>
    <w:rsid w:val="00840B95"/>
    <w:rPr>
      <w:rFonts w:ascii="Tahoma" w:hAnsi="Tahoma" w:cs="Tahoma"/>
      <w:sz w:val="16"/>
      <w:szCs w:val="16"/>
      <w:lang w:eastAsia="zh-CN"/>
    </w:rPr>
  </w:style>
  <w:style w:type="paragraph" w:styleId="Header">
    <w:name w:val="header"/>
    <w:basedOn w:val="Normal"/>
    <w:link w:val="HeaderChar"/>
    <w:uiPriority w:val="99"/>
    <w:rsid w:val="008A4DCC"/>
    <w:pPr>
      <w:tabs>
        <w:tab w:val="center" w:pos="4513"/>
        <w:tab w:val="right" w:pos="9026"/>
      </w:tabs>
    </w:pPr>
    <w:rPr>
      <w:rFonts w:ascii="Trebuchet MS" w:hAnsi="Trebuchet MS" w:cs="Trebuchet MS"/>
      <w:sz w:val="22"/>
      <w:szCs w:val="22"/>
      <w:lang w:eastAsia="en-US"/>
    </w:rPr>
  </w:style>
  <w:style w:type="character" w:customStyle="1" w:styleId="HeaderChar">
    <w:name w:val="Header Char"/>
    <w:basedOn w:val="DefaultParagraphFont"/>
    <w:link w:val="Header"/>
    <w:uiPriority w:val="99"/>
    <w:locked/>
    <w:rsid w:val="008A4DCC"/>
    <w:rPr>
      <w:rFonts w:ascii="Trebuchet MS" w:hAnsi="Trebuchet MS" w:cs="Trebuchet MS"/>
      <w:sz w:val="22"/>
      <w:szCs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basedOn w:val="DefaultParagraphFont"/>
    <w:link w:val="Footer"/>
    <w:uiPriority w:val="99"/>
    <w:locked/>
    <w:rsid w:val="00AD5D5A"/>
    <w:rPr>
      <w:rFonts w:cs="Times New Roman"/>
      <w:sz w:val="24"/>
      <w:szCs w:val="24"/>
      <w:lang w:eastAsia="zh-CN"/>
    </w:rPr>
  </w:style>
  <w:style w:type="paragraph" w:styleId="FootnoteText">
    <w:name w:val="footnote text"/>
    <w:basedOn w:val="Normal"/>
    <w:link w:val="FootnoteTextChar"/>
    <w:uiPriority w:val="99"/>
    <w:semiHidden/>
    <w:rsid w:val="005C4369"/>
    <w:pPr>
      <w:spacing w:after="200" w:line="276" w:lineRule="auto"/>
    </w:pPr>
    <w:rPr>
      <w:rFonts w:ascii="Calibri" w:hAnsi="Calibri" w:cs="Calibri"/>
      <w:sz w:val="20"/>
      <w:szCs w:val="20"/>
      <w:lang w:eastAsia="en-US"/>
    </w:rPr>
  </w:style>
  <w:style w:type="character" w:customStyle="1" w:styleId="FootnoteTextChar">
    <w:name w:val="Footnote Text Char"/>
    <w:basedOn w:val="DefaultParagraphFont"/>
    <w:link w:val="FootnoteText"/>
    <w:uiPriority w:val="99"/>
    <w:locked/>
    <w:rsid w:val="005C4369"/>
    <w:rPr>
      <w:rFonts w:ascii="Calibri" w:hAnsi="Calibri" w:cs="Calibri"/>
      <w:lang w:eastAsia="en-US"/>
    </w:rPr>
  </w:style>
  <w:style w:type="character" w:styleId="FootnoteReference">
    <w:name w:val="footnote reference"/>
    <w:basedOn w:val="DefaultParagraphFont"/>
    <w:uiPriority w:val="99"/>
    <w:semiHidden/>
    <w:rsid w:val="005C4369"/>
    <w:rPr>
      <w:rFonts w:cs="Times New Roman"/>
      <w:vertAlign w:val="superscript"/>
    </w:rPr>
  </w:style>
  <w:style w:type="character" w:styleId="Emphasis">
    <w:name w:val="Emphasis"/>
    <w:basedOn w:val="DefaultParagraphFont"/>
    <w:uiPriority w:val="99"/>
    <w:qFormat/>
    <w:rsid w:val="005C4369"/>
    <w:rPr>
      <w:rFonts w:cs="Times New Roman"/>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9458079">
      <w:marLeft w:val="0"/>
      <w:marRight w:val="0"/>
      <w:marTop w:val="0"/>
      <w:marBottom w:val="0"/>
      <w:divBdr>
        <w:top w:val="none" w:sz="0" w:space="0" w:color="auto"/>
        <w:left w:val="none" w:sz="0" w:space="0" w:color="auto"/>
        <w:bottom w:val="none" w:sz="0" w:space="0" w:color="auto"/>
        <w:right w:val="none" w:sz="0" w:space="0" w:color="auto"/>
      </w:divBdr>
    </w:div>
    <w:div w:id="709458080">
      <w:marLeft w:val="0"/>
      <w:marRight w:val="0"/>
      <w:marTop w:val="0"/>
      <w:marBottom w:val="0"/>
      <w:divBdr>
        <w:top w:val="none" w:sz="0" w:space="0" w:color="auto"/>
        <w:left w:val="none" w:sz="0" w:space="0" w:color="auto"/>
        <w:bottom w:val="none" w:sz="0" w:space="0" w:color="auto"/>
        <w:right w:val="none" w:sz="0" w:space="0" w:color="auto"/>
      </w:divBdr>
    </w:div>
    <w:div w:id="70945808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1332</Words>
  <Characters>7593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8908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dc:description/>
  <cp:lastModifiedBy>Mattie Bennett</cp:lastModifiedBy>
  <cp:revision>2</cp:revision>
  <cp:lastPrinted>2009-10-19T16:04:00Z</cp:lastPrinted>
  <dcterms:created xsi:type="dcterms:W3CDTF">2017-11-02T18:10:00Z</dcterms:created>
  <dcterms:modified xsi:type="dcterms:W3CDTF">2017-11-02T18:10:00Z</dcterms:modified>
</cp:coreProperties>
</file>