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2">
      <w:pPr>
        <w:spacing w:after="280" w:before="280" w:line="360" w:lineRule="auto"/>
        <w:rPr>
          <w:rFonts w:ascii="Arial" w:cs="Arial" w:eastAsia="Arial" w:hAnsi="Arial"/>
          <w:b w:val="1"/>
          <w:bCs w:val="1"/>
          <w:color w:val="000000"/>
          <w:sz w:val="28"/>
          <w:szCs w:val="28"/>
        </w:rPr>
      </w:pPr>
      <w:r w:rsidDel="00000000" w:rsidR="00000000" w:rsidRPr="00000000">
        <w:rPr/>
        <w:drawing>
          <wp:inline distB="0" distT="0" distL="0" distR="0">
            <wp:extent cx="3277003" cy="1244432"/>
            <wp:effectExtent b="0" l="0" r="0" t="0"/>
            <wp:docPr descr="University of wales Logos" id="3" name="image2.jpg"/>
            <a:graphic>
              <a:graphicData uri="http://schemas.openxmlformats.org/drawingml/2006/picture">
                <pic:pic>
                  <pic:nvPicPr>
                    <pic:cNvPr descr="University of wales Logos" id="0" name="image2.jpg"/>
                    <pic:cNvPicPr preferRelativeResize="0"/>
                  </pic:nvPicPr>
                  <pic:blipFill>
                    <a:blip r:embed="rId6"/>
                    <a:srcRect b="0" l="0" r="0" t="0"/>
                    <a:stretch>
                      <a:fillRect/>
                    </a:stretch>
                  </pic:blipFill>
                  <pic:spPr>
                    <a:xfrm>
                      <a:off x="0" y="0"/>
                      <a:ext cx="3277003" cy="124443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4">
      <w:pPr>
        <w:spacing w:after="280" w:before="280" w:line="360" w:lineRule="auto"/>
        <w:jc w:val="center"/>
        <w:rPr>
          <w:rFonts w:ascii="Arial" w:cs="Arial" w:eastAsia="Arial" w:hAnsi="Arial"/>
          <w:b w:val="1"/>
          <w:bCs w:val="1"/>
          <w:color w:val="000000"/>
          <w:sz w:val="40"/>
          <w:szCs w:val="40"/>
        </w:rPr>
      </w:pPr>
      <w:r w:rsidDel="00000000" w:rsidR="00000000" w:rsidRPr="00000000">
        <w:rPr>
          <w:rFonts w:ascii="Arial" w:cs="Arial" w:eastAsia="Arial" w:hAnsi="Arial"/>
          <w:b w:val="1"/>
          <w:bCs w:val="1"/>
          <w:color w:val="000000"/>
          <w:sz w:val="40"/>
          <w:szCs w:val="40"/>
          <w:rtl w:val="0"/>
        </w:rPr>
        <w:t xml:space="preserve">Psychology in Health and Social Care</w:t>
        <w:br w:type="textWrapping"/>
        <w:t xml:space="preserve">LCHS4010</w:t>
        <w:br w:type="textWrapping"/>
        <w:br w:type="textWrapping"/>
        <w:t xml:space="preserve">Component 2: Written task – report</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ptos" w:cs="Aptos" w:eastAsia="Aptos" w:hAnsi="Aptos"/>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ptos" w:cs="Aptos" w:eastAsia="Aptos" w:hAnsi="Aptos"/>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ptos" w:cs="Aptos" w:eastAsia="Aptos" w:hAnsi="Aptos"/>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Student name:  Ludia Silva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Student ID:  2429368</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1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Lecturer: </w:t>
      </w: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tl w:val="0"/>
        </w:rPr>
        <w:t xml:space="preserve">Bianca Sanfilippo</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p>
    <w:p w:rsidR="00000000" w:rsidDel="00000000" w:rsidP="00000000" w:rsidRDefault="00000000" w:rsidRPr="00000000" w14:paraId="0000000B">
      <w:pPr>
        <w:spacing w:after="280" w:before="280" w:line="360" w:lineRule="auto"/>
        <w:rPr>
          <w:rFonts w:ascii="Arial" w:cs="Arial" w:eastAsia="Arial" w:hAnsi="Arial"/>
          <w:b w:val="1"/>
          <w:bCs w:val="1"/>
          <w:color w:val="000000"/>
          <w:sz w:val="32"/>
          <w:szCs w:val="32"/>
        </w:rPr>
      </w:pPr>
      <w:r w:rsidDel="00000000" w:rsidR="00000000" w:rsidRPr="00000000">
        <w:rPr>
          <w:rtl w:val="0"/>
        </w:rPr>
      </w:r>
    </w:p>
    <w:p w:rsidR="00000000" w:rsidDel="00000000" w:rsidP="00000000" w:rsidRDefault="00000000" w:rsidRPr="00000000" w14:paraId="0000000C">
      <w:pPr>
        <w:spacing w:after="280" w:before="280" w:line="360" w:lineRule="auto"/>
        <w:rPr>
          <w:rFonts w:ascii="Arial" w:cs="Arial" w:eastAsia="Arial" w:hAnsi="Arial"/>
          <w:b w:val="1"/>
          <w:bCs w:val="1"/>
          <w:color w:val="000000"/>
          <w:sz w:val="32"/>
          <w:szCs w:val="32"/>
        </w:rPr>
      </w:pPr>
      <w:r w:rsidDel="00000000" w:rsidR="00000000" w:rsidRPr="00000000">
        <w:rPr>
          <w:rtl w:val="0"/>
        </w:rPr>
      </w:r>
    </w:p>
    <w:p w:rsidR="00000000" w:rsidDel="00000000" w:rsidP="00000000" w:rsidRDefault="00000000" w:rsidRPr="00000000" w14:paraId="0000000D">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E">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0F">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10">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11">
      <w:pPr>
        <w:spacing w:after="280" w:before="280" w:line="360" w:lineRule="auto"/>
        <w:rPr>
          <w:rFonts w:ascii="Arial" w:cs="Arial" w:eastAsia="Arial" w:hAnsi="Arial"/>
          <w:b w:val="1"/>
          <w:bCs w:val="1"/>
          <w:sz w:val="28"/>
          <w:szCs w:val="28"/>
        </w:rPr>
      </w:pPr>
      <w:r w:rsidDel="00000000" w:rsidR="00000000" w:rsidRPr="00000000">
        <w:rPr>
          <w:rFonts w:ascii="Arial" w:cs="Arial" w:eastAsia="Arial" w:hAnsi="Arial"/>
          <w:b w:val="1"/>
          <w:bCs w:val="1"/>
          <w:color w:val="000000"/>
          <w:sz w:val="28"/>
          <w:szCs w:val="28"/>
          <w:rtl w:val="0"/>
        </w:rPr>
        <w:t xml:space="preserve">Table of contents </w:t>
      </w:r>
      <w:r w:rsidDel="00000000" w:rsidR="00000000" w:rsidRPr="00000000">
        <w:rPr>
          <w:rtl w:val="0"/>
        </w:rPr>
      </w:r>
    </w:p>
    <w:p w:rsidR="00000000" w:rsidDel="00000000" w:rsidP="00000000" w:rsidRDefault="00000000" w:rsidRPr="00000000" w14:paraId="00000012">
      <w:pPr>
        <w:spacing w:after="280" w:before="280"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spacing w:after="240" w:before="240" w:line="360" w:lineRule="auto"/>
        <w:ind w:left="0" w:firstLine="0"/>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1 Introduction</w:t>
      </w:r>
    </w:p>
    <w:p w:rsidR="00000000" w:rsidDel="00000000" w:rsidP="00000000" w:rsidRDefault="00000000" w:rsidRPr="00000000" w14:paraId="00000014">
      <w:pPr>
        <w:spacing w:after="240" w:before="24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 Overview of Psychological Theories</w:t>
        <w:br w:type="textWrapping"/>
        <w:t xml:space="preserve">2.1 Bowlby’s Attachment Theory</w:t>
        <w:br w:type="textWrapping"/>
        <w:t xml:space="preserve">2.2 Vygotsky’s Sociocultural Theory</w:t>
      </w:r>
    </w:p>
    <w:p w:rsidR="00000000" w:rsidDel="00000000" w:rsidP="00000000" w:rsidRDefault="00000000" w:rsidRPr="00000000" w14:paraId="00000015">
      <w:pPr>
        <w:spacing w:after="240" w:before="24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Application in the Dementia Care Context</w:t>
        <w:br w:type="textWrapping"/>
        <w:t xml:space="preserve">3.1 Applying Bowlby’s Theory</w:t>
        <w:br w:type="textWrapping"/>
        <w:t xml:space="preserve">3.2 Applying Vygotsky’s Theory</w:t>
        <w:br w:type="textWrapping"/>
        <w:t xml:space="preserve">3.3 Challenges and Strategies</w:t>
      </w:r>
    </w:p>
    <w:p w:rsidR="00000000" w:rsidDel="00000000" w:rsidP="00000000" w:rsidRDefault="00000000" w:rsidRPr="00000000" w14:paraId="00000016">
      <w:pPr>
        <w:spacing w:after="240" w:before="24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4 Conclusion</w:t>
      </w:r>
    </w:p>
    <w:p w:rsidR="00000000" w:rsidDel="00000000" w:rsidP="00000000" w:rsidRDefault="00000000" w:rsidRPr="00000000" w14:paraId="00000017">
      <w:pPr>
        <w:spacing w:after="240" w:before="24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5 References</w:t>
      </w:r>
    </w:p>
    <w:p w:rsidR="00000000" w:rsidDel="00000000" w:rsidP="00000000" w:rsidRDefault="00000000" w:rsidRPr="00000000" w14:paraId="00000018">
      <w:pPr>
        <w:spacing w:after="240" w:before="240" w:line="360" w:lineRule="auto"/>
        <w:ind w:left="0" w:firstLine="0"/>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pStyle w:val="Heading2"/>
        <w:keepNext w:val="0"/>
        <w:keepLines w:val="0"/>
        <w:spacing w:before="360" w:line="360" w:lineRule="auto"/>
        <w:rPr>
          <w:rFonts w:ascii="Arial" w:cs="Arial" w:eastAsia="Arial" w:hAnsi="Arial"/>
          <w:b w:val="1"/>
          <w:bCs w:val="1"/>
          <w:color w:val="000000"/>
          <w:sz w:val="34"/>
          <w:szCs w:val="34"/>
        </w:rPr>
      </w:pPr>
      <w:bookmarkStart w:colFirst="0" w:colLast="0" w:name="_p4es40qhdy3x" w:id="0"/>
      <w:bookmarkEnd w:id="0"/>
      <w:r w:rsidDel="00000000" w:rsidR="00000000" w:rsidRPr="00000000">
        <w:rPr>
          <w:rFonts w:ascii="Arial" w:cs="Arial" w:eastAsia="Arial" w:hAnsi="Arial"/>
          <w:b w:val="1"/>
          <w:bCs w:val="1"/>
          <w:color w:val="000000"/>
          <w:sz w:val="34"/>
          <w:szCs w:val="34"/>
          <w:rtl w:val="0"/>
        </w:rPr>
        <w:t xml:space="preserve"> </w:t>
      </w:r>
    </w:p>
    <w:p w:rsidR="00000000" w:rsidDel="00000000" w:rsidP="00000000" w:rsidRDefault="00000000" w:rsidRPr="00000000" w14:paraId="0000001A">
      <w:pPr>
        <w:pStyle w:val="Heading2"/>
        <w:keepNext w:val="0"/>
        <w:keepLines w:val="0"/>
        <w:spacing w:before="360" w:line="360" w:lineRule="auto"/>
        <w:rPr>
          <w:rFonts w:ascii="Arial" w:cs="Arial" w:eastAsia="Arial" w:hAnsi="Arial"/>
          <w:b w:val="1"/>
          <w:bCs w:val="1"/>
          <w:color w:val="000000"/>
          <w:sz w:val="34"/>
          <w:szCs w:val="34"/>
        </w:rPr>
      </w:pPr>
      <w:bookmarkStart w:colFirst="0" w:colLast="0" w:name="_w766boldcrjm" w:id="1"/>
      <w:bookmarkEnd w:id="1"/>
      <w:r w:rsidDel="00000000" w:rsidR="00000000" w:rsidRPr="00000000">
        <w:rPr>
          <w:rtl w:val="0"/>
        </w:rPr>
      </w:r>
    </w:p>
    <w:p w:rsidR="00000000" w:rsidDel="00000000" w:rsidP="00000000" w:rsidRDefault="00000000" w:rsidRPr="00000000" w14:paraId="0000001B">
      <w:pPr>
        <w:pStyle w:val="Heading2"/>
        <w:keepNext w:val="0"/>
        <w:keepLines w:val="0"/>
        <w:spacing w:before="360" w:line="360" w:lineRule="auto"/>
        <w:rPr>
          <w:rFonts w:ascii="Arial" w:cs="Arial" w:eastAsia="Arial" w:hAnsi="Arial"/>
          <w:b w:val="1"/>
          <w:bCs w:val="1"/>
          <w:color w:val="000000"/>
          <w:sz w:val="34"/>
          <w:szCs w:val="34"/>
        </w:rPr>
      </w:pPr>
      <w:bookmarkStart w:colFirst="0" w:colLast="0" w:name="_meyugd28500z" w:id="2"/>
      <w:bookmarkEnd w:id="2"/>
      <w:r w:rsidDel="00000000" w:rsidR="00000000" w:rsidRPr="00000000">
        <w:rPr>
          <w:rtl w:val="0"/>
        </w:rPr>
      </w:r>
    </w:p>
    <w:p w:rsidR="00000000" w:rsidDel="00000000" w:rsidP="00000000" w:rsidRDefault="00000000" w:rsidRPr="00000000" w14:paraId="0000001C">
      <w:pPr>
        <w:pStyle w:val="Heading2"/>
        <w:keepNext w:val="0"/>
        <w:keepLines w:val="0"/>
        <w:spacing w:before="360" w:line="360" w:lineRule="auto"/>
        <w:rPr>
          <w:rFonts w:ascii="Arial" w:cs="Arial" w:eastAsia="Arial" w:hAnsi="Arial"/>
          <w:b w:val="1"/>
          <w:bCs w:val="1"/>
          <w:color w:val="000000"/>
          <w:sz w:val="34"/>
          <w:szCs w:val="34"/>
        </w:rPr>
      </w:pPr>
      <w:bookmarkStart w:colFirst="0" w:colLast="0" w:name="_f2m7c3bn6giq" w:id="3"/>
      <w:bookmarkEnd w:id="3"/>
      <w:r w:rsidDel="00000000" w:rsidR="00000000" w:rsidRPr="00000000">
        <w:rPr>
          <w:rtl w:val="0"/>
        </w:rPr>
      </w:r>
    </w:p>
    <w:p w:rsidR="00000000" w:rsidDel="00000000" w:rsidP="00000000" w:rsidRDefault="00000000" w:rsidRPr="00000000" w14:paraId="0000001D">
      <w:pPr>
        <w:pStyle w:val="Heading2"/>
        <w:keepNext w:val="0"/>
        <w:keepLines w:val="0"/>
        <w:spacing w:before="360" w:line="360" w:lineRule="auto"/>
        <w:rPr>
          <w:rFonts w:ascii="Arial" w:cs="Arial" w:eastAsia="Arial" w:hAnsi="Arial"/>
          <w:b w:val="1"/>
          <w:bCs w:val="1"/>
          <w:color w:val="000000"/>
          <w:sz w:val="34"/>
          <w:szCs w:val="34"/>
        </w:rPr>
      </w:pPr>
      <w:bookmarkStart w:colFirst="0" w:colLast="0" w:name="_9u3t3b8gl8ox" w:id="4"/>
      <w:bookmarkEnd w:id="4"/>
      <w:r w:rsidDel="00000000" w:rsidR="00000000" w:rsidRPr="00000000">
        <w:rPr>
          <w:rtl w:val="0"/>
        </w:rPr>
      </w:r>
    </w:p>
    <w:p w:rsidR="00000000" w:rsidDel="00000000" w:rsidP="00000000" w:rsidRDefault="00000000" w:rsidRPr="00000000" w14:paraId="0000001E">
      <w:pPr>
        <w:pStyle w:val="Heading2"/>
        <w:keepNext w:val="0"/>
        <w:keepLines w:val="0"/>
        <w:spacing w:after="240" w:before="240" w:line="360" w:lineRule="auto"/>
        <w:rPr>
          <w:rFonts w:ascii="Arial" w:cs="Arial" w:eastAsia="Arial" w:hAnsi="Arial"/>
          <w:b w:val="1"/>
          <w:bCs w:val="1"/>
          <w:color w:val="000000"/>
          <w:sz w:val="28"/>
          <w:szCs w:val="28"/>
        </w:rPr>
      </w:pPr>
      <w:bookmarkStart w:colFirst="0" w:colLast="0" w:name="_sl9a7sofwlfs" w:id="5"/>
      <w:bookmarkEnd w:id="5"/>
      <w:r w:rsidDel="00000000" w:rsidR="00000000" w:rsidRPr="00000000">
        <w:rPr>
          <w:rFonts w:ascii="Arial" w:cs="Arial" w:eastAsia="Arial" w:hAnsi="Arial"/>
          <w:b w:val="1"/>
          <w:bCs w:val="1"/>
          <w:color w:val="000000"/>
          <w:sz w:val="28"/>
          <w:szCs w:val="28"/>
          <w:rtl w:val="0"/>
        </w:rPr>
        <w:t xml:space="preserve">Applying Psychological Theories to Support Older Adults with Dementia in a Care Home Setting</w:t>
      </w:r>
    </w:p>
    <w:p w:rsidR="00000000" w:rsidDel="00000000" w:rsidP="00000000" w:rsidRDefault="00000000" w:rsidRPr="00000000" w14:paraId="0000001F">
      <w:pPr>
        <w:pStyle w:val="Heading2"/>
        <w:keepNext w:val="0"/>
        <w:keepLines w:val="0"/>
        <w:spacing w:after="240" w:before="240" w:line="360" w:lineRule="auto"/>
        <w:rPr>
          <w:rFonts w:ascii="Arial" w:cs="Arial" w:eastAsia="Arial" w:hAnsi="Arial"/>
          <w:b w:val="1"/>
          <w:bCs w:val="1"/>
          <w:color w:val="000000"/>
          <w:sz w:val="26"/>
          <w:szCs w:val="26"/>
        </w:rPr>
      </w:pPr>
      <w:bookmarkStart w:colFirst="0" w:colLast="0" w:name="_yr6jine5n6fr" w:id="6"/>
      <w:bookmarkEnd w:id="6"/>
      <w:r w:rsidDel="00000000" w:rsidR="00000000" w:rsidRPr="00000000">
        <w:rPr>
          <w:rFonts w:ascii="Arial" w:cs="Arial" w:eastAsia="Arial" w:hAnsi="Arial"/>
          <w:b w:val="1"/>
          <w:bCs w:val="1"/>
          <w:color w:val="000000"/>
          <w:sz w:val="26"/>
          <w:szCs w:val="26"/>
          <w:rtl w:val="0"/>
        </w:rPr>
        <w:t xml:space="preserve">1. Introduction</w:t>
      </w:r>
    </w:p>
    <w:p w:rsidR="00000000" w:rsidDel="00000000" w:rsidP="00000000" w:rsidRDefault="00000000" w:rsidRPr="00000000" w14:paraId="00000020">
      <w:pPr>
        <w:pStyle w:val="Heading2"/>
        <w:keepNext w:val="0"/>
        <w:keepLines w:val="0"/>
        <w:spacing w:after="240" w:before="240" w:line="360" w:lineRule="auto"/>
        <w:rPr>
          <w:rFonts w:ascii="Arial" w:cs="Arial" w:eastAsia="Arial" w:hAnsi="Arial"/>
          <w:color w:val="000000"/>
          <w:sz w:val="22"/>
          <w:szCs w:val="22"/>
        </w:rPr>
      </w:pPr>
      <w:bookmarkStart w:colFirst="0" w:colLast="0" w:name="_w2sxdduz2brz" w:id="7"/>
      <w:bookmarkEnd w:id="7"/>
      <w:r w:rsidDel="00000000" w:rsidR="00000000" w:rsidRPr="00000000">
        <w:rPr>
          <w:rFonts w:ascii="Arial" w:cs="Arial" w:eastAsia="Arial" w:hAnsi="Arial"/>
          <w:color w:val="000000"/>
          <w:sz w:val="22"/>
          <w:szCs w:val="22"/>
          <w:rtl w:val="0"/>
        </w:rPr>
        <w:t xml:space="preserve">Adults aged 65 and over who live in dementia care homes often experience complex psychological health conditions such as anxiety, depression, confusion, and difficulties coping with memory loss. Dementia impacts cognitive functioning, behaviour, emotional regulation, and social interaction, making evidence‑based psychological understanding essential for high‑quality care. This report provides guidance for health and social care professionals on how psychological theories can inform effective support strategies. It focuses on </w:t>
      </w:r>
      <w:r w:rsidDel="00000000" w:rsidR="00000000" w:rsidRPr="00000000">
        <w:rPr>
          <w:rFonts w:ascii="Arial" w:cs="Arial" w:eastAsia="Arial" w:hAnsi="Arial"/>
          <w:b w:val="1"/>
          <w:bCs w:val="1"/>
          <w:color w:val="000000"/>
          <w:sz w:val="22"/>
          <w:szCs w:val="22"/>
          <w:rtl w:val="0"/>
        </w:rPr>
        <w:t xml:space="preserve">John Bowlby’s Attachment Theory </w:t>
      </w:r>
      <w:r w:rsidDel="00000000" w:rsidR="00000000" w:rsidRPr="00000000">
        <w:rPr>
          <w:rFonts w:ascii="Arial" w:cs="Arial" w:eastAsia="Arial" w:hAnsi="Arial"/>
          <w:color w:val="000000"/>
          <w:sz w:val="22"/>
          <w:szCs w:val="22"/>
          <w:rtl w:val="0"/>
        </w:rPr>
        <w:t xml:space="preserve">and </w:t>
      </w:r>
      <w:r w:rsidDel="00000000" w:rsidR="00000000" w:rsidRPr="00000000">
        <w:rPr>
          <w:rFonts w:ascii="Arial" w:cs="Arial" w:eastAsia="Arial" w:hAnsi="Arial"/>
          <w:b w:val="1"/>
          <w:bCs w:val="1"/>
          <w:color w:val="000000"/>
          <w:sz w:val="22"/>
          <w:szCs w:val="22"/>
          <w:rtl w:val="0"/>
        </w:rPr>
        <w:t xml:space="preserve">Lev Vygotsky’s Sociocultural Theory,</w:t>
      </w:r>
      <w:r w:rsidDel="00000000" w:rsidR="00000000" w:rsidRPr="00000000">
        <w:rPr>
          <w:rFonts w:ascii="Arial" w:cs="Arial" w:eastAsia="Arial" w:hAnsi="Arial"/>
          <w:color w:val="000000"/>
          <w:sz w:val="22"/>
          <w:szCs w:val="22"/>
          <w:rtl w:val="0"/>
        </w:rPr>
        <w:t xml:space="preserve"> demonstrating how both frameworks can enhance care practices for older adults living with dementia.</w:t>
      </w:r>
    </w:p>
    <w:p w:rsidR="00000000" w:rsidDel="00000000" w:rsidP="00000000" w:rsidRDefault="00000000" w:rsidRPr="00000000" w14:paraId="00000021">
      <w:pPr>
        <w:pStyle w:val="Heading2"/>
        <w:keepNext w:val="0"/>
        <w:keepLines w:val="0"/>
        <w:spacing w:before="360" w:line="360" w:lineRule="auto"/>
        <w:rPr>
          <w:rFonts w:ascii="Arial" w:cs="Arial" w:eastAsia="Arial" w:hAnsi="Arial"/>
          <w:b w:val="1"/>
          <w:bCs w:val="1"/>
          <w:sz w:val="28"/>
          <w:szCs w:val="28"/>
        </w:rPr>
      </w:pPr>
      <w:bookmarkStart w:colFirst="0" w:colLast="0" w:name="_aaergh5j6abk" w:id="8"/>
      <w:bookmarkEnd w:id="8"/>
      <w:r w:rsidDel="00000000" w:rsidR="00000000" w:rsidRPr="00000000">
        <w:rPr>
          <w:rFonts w:ascii="Arial" w:cs="Arial" w:eastAsia="Arial" w:hAnsi="Arial"/>
          <w:b w:val="1"/>
          <w:bCs w:val="1"/>
          <w:color w:val="000000"/>
          <w:sz w:val="22"/>
          <w:szCs w:val="22"/>
          <w:rtl w:val="0"/>
        </w:rPr>
        <w:t xml:space="preserve">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Style w:val="Heading2"/>
        <w:keepNext w:val="0"/>
        <w:keepLines w:val="0"/>
        <w:spacing w:before="360" w:line="360" w:lineRule="auto"/>
        <w:rPr>
          <w:rFonts w:ascii="Arial" w:cs="Arial" w:eastAsia="Arial" w:hAnsi="Arial"/>
          <w:b w:val="1"/>
          <w:bCs w:val="1"/>
          <w:color w:val="000000"/>
          <w:sz w:val="34"/>
          <w:szCs w:val="34"/>
        </w:rPr>
      </w:pPr>
      <w:bookmarkStart w:colFirst="0" w:colLast="0" w:name="_etrvbqo7854o" w:id="9"/>
      <w:bookmarkEnd w:id="9"/>
      <w:r w:rsidDel="00000000" w:rsidR="00000000" w:rsidRPr="00000000">
        <w:rPr>
          <w:rtl w:val="0"/>
        </w:rPr>
      </w:r>
    </w:p>
    <w:p w:rsidR="00000000" w:rsidDel="00000000" w:rsidP="00000000" w:rsidRDefault="00000000" w:rsidRPr="00000000" w14:paraId="00000023">
      <w:pPr>
        <w:pStyle w:val="Heading2"/>
        <w:keepNext w:val="0"/>
        <w:keepLines w:val="0"/>
        <w:spacing w:before="360" w:line="360" w:lineRule="auto"/>
        <w:rPr>
          <w:rFonts w:ascii="Arial" w:cs="Arial" w:eastAsia="Arial" w:hAnsi="Arial"/>
          <w:b w:val="1"/>
          <w:bCs w:val="1"/>
          <w:color w:val="000000"/>
          <w:sz w:val="34"/>
          <w:szCs w:val="34"/>
        </w:rPr>
      </w:pPr>
      <w:bookmarkStart w:colFirst="0" w:colLast="0" w:name="_42wu24zw21m" w:id="10"/>
      <w:bookmarkEnd w:id="10"/>
      <w:r w:rsidDel="00000000" w:rsidR="00000000" w:rsidRPr="00000000">
        <w:rPr>
          <w:rtl w:val="0"/>
        </w:rPr>
      </w:r>
    </w:p>
    <w:p w:rsidR="00000000" w:rsidDel="00000000" w:rsidP="00000000" w:rsidRDefault="00000000" w:rsidRPr="00000000" w14:paraId="00000024">
      <w:pPr>
        <w:pStyle w:val="Heading2"/>
        <w:keepNext w:val="0"/>
        <w:keepLines w:val="0"/>
        <w:spacing w:before="360" w:line="360" w:lineRule="auto"/>
        <w:rPr>
          <w:rFonts w:ascii="Arial" w:cs="Arial" w:eastAsia="Arial" w:hAnsi="Arial"/>
          <w:b w:val="1"/>
          <w:bCs w:val="1"/>
          <w:color w:val="000000"/>
          <w:sz w:val="34"/>
          <w:szCs w:val="34"/>
        </w:rPr>
      </w:pPr>
      <w:bookmarkStart w:colFirst="0" w:colLast="0" w:name="_eemm9pqss3ev" w:id="11"/>
      <w:bookmarkEnd w:id="11"/>
      <w:r w:rsidDel="00000000" w:rsidR="00000000" w:rsidRPr="00000000">
        <w:rPr>
          <w:rtl w:val="0"/>
        </w:rPr>
      </w:r>
    </w:p>
    <w:p w:rsidR="00000000" w:rsidDel="00000000" w:rsidP="00000000" w:rsidRDefault="00000000" w:rsidRPr="00000000" w14:paraId="00000025">
      <w:pPr>
        <w:pStyle w:val="Heading2"/>
        <w:keepNext w:val="0"/>
        <w:keepLines w:val="0"/>
        <w:spacing w:before="360" w:line="360" w:lineRule="auto"/>
        <w:rPr>
          <w:rFonts w:ascii="Arial" w:cs="Arial" w:eastAsia="Arial" w:hAnsi="Arial"/>
          <w:b w:val="1"/>
          <w:bCs w:val="1"/>
          <w:color w:val="000000"/>
          <w:sz w:val="34"/>
          <w:szCs w:val="34"/>
        </w:rPr>
      </w:pPr>
      <w:bookmarkStart w:colFirst="0" w:colLast="0" w:name="_a8lrbl4u4vah" w:id="12"/>
      <w:bookmarkEnd w:id="12"/>
      <w:r w:rsidDel="00000000" w:rsidR="00000000" w:rsidRPr="00000000">
        <w:rPr>
          <w:rtl w:val="0"/>
        </w:rPr>
      </w:r>
    </w:p>
    <w:p w:rsidR="00000000" w:rsidDel="00000000" w:rsidP="00000000" w:rsidRDefault="00000000" w:rsidRPr="00000000" w14:paraId="00000026">
      <w:pPr>
        <w:pStyle w:val="Heading2"/>
        <w:keepNext w:val="0"/>
        <w:keepLines w:val="0"/>
        <w:spacing w:before="360" w:line="360" w:lineRule="auto"/>
        <w:rPr>
          <w:rFonts w:ascii="Arial" w:cs="Arial" w:eastAsia="Arial" w:hAnsi="Arial"/>
          <w:b w:val="1"/>
          <w:bCs w:val="1"/>
          <w:color w:val="000000"/>
          <w:sz w:val="34"/>
          <w:szCs w:val="34"/>
        </w:rPr>
      </w:pPr>
      <w:bookmarkStart w:colFirst="0" w:colLast="0" w:name="_r69plisn86p3" w:id="13"/>
      <w:bookmarkEnd w:id="13"/>
      <w:r w:rsidDel="00000000" w:rsidR="00000000" w:rsidRPr="00000000">
        <w:rPr>
          <w:rtl w:val="0"/>
        </w:rPr>
      </w:r>
    </w:p>
    <w:p w:rsidR="00000000" w:rsidDel="00000000" w:rsidP="00000000" w:rsidRDefault="00000000" w:rsidRPr="00000000" w14:paraId="00000027">
      <w:pPr>
        <w:pStyle w:val="Heading2"/>
        <w:keepNext w:val="0"/>
        <w:keepLines w:val="0"/>
        <w:spacing w:before="360" w:line="360" w:lineRule="auto"/>
        <w:rPr>
          <w:rFonts w:ascii="Arial" w:cs="Arial" w:eastAsia="Arial" w:hAnsi="Arial"/>
          <w:b w:val="1"/>
          <w:bCs w:val="1"/>
          <w:color w:val="000000"/>
          <w:sz w:val="34"/>
          <w:szCs w:val="34"/>
        </w:rPr>
      </w:pPr>
      <w:bookmarkStart w:colFirst="0" w:colLast="0" w:name="_zg1z0qmoe3zv" w:id="14"/>
      <w:bookmarkEnd w:id="14"/>
      <w:r w:rsidDel="00000000" w:rsidR="00000000" w:rsidRPr="00000000">
        <w:rPr>
          <w:rFonts w:ascii="Arial" w:cs="Arial" w:eastAsia="Arial" w:hAnsi="Arial"/>
          <w:b w:val="1"/>
          <w:bCs w:val="1"/>
          <w:color w:val="000000"/>
          <w:sz w:val="34"/>
          <w:szCs w:val="34"/>
          <w:rtl w:val="0"/>
        </w:rPr>
        <w:t xml:space="preserve">2. Overview of Psychological Theories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3"/>
        <w:keepNext w:val="0"/>
        <w:keepLines w:val="0"/>
        <w:spacing w:before="280" w:line="360" w:lineRule="auto"/>
        <w:rPr>
          <w:rFonts w:ascii="Arial" w:cs="Arial" w:eastAsia="Arial" w:hAnsi="Arial"/>
          <w:b w:val="1"/>
          <w:bCs w:val="1"/>
          <w:color w:val="000000"/>
          <w:sz w:val="26"/>
          <w:szCs w:val="26"/>
        </w:rPr>
      </w:pPr>
      <w:bookmarkStart w:colFirst="0" w:colLast="0" w:name="_tnjs3btcr6da" w:id="15"/>
      <w:bookmarkEnd w:id="15"/>
      <w:r w:rsidDel="00000000" w:rsidR="00000000" w:rsidRPr="00000000">
        <w:rPr>
          <w:rFonts w:ascii="Arial" w:cs="Arial" w:eastAsia="Arial" w:hAnsi="Arial"/>
          <w:b w:val="1"/>
          <w:bCs w:val="1"/>
          <w:color w:val="000000"/>
          <w:sz w:val="26"/>
          <w:szCs w:val="26"/>
          <w:rtl w:val="0"/>
        </w:rPr>
        <w:t xml:space="preserve">2.1 Bowlby’s Attachment Theory</w:t>
      </w:r>
    </w:p>
    <w:p w:rsidR="00000000" w:rsidDel="00000000" w:rsidP="00000000" w:rsidRDefault="00000000" w:rsidRPr="00000000" w14:paraId="0000002A">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rtl w:val="0"/>
        </w:rPr>
        <w:t xml:space="preserve">John Bowlby (1969). </w:t>
      </w:r>
      <w:r w:rsidDel="00000000" w:rsidR="00000000" w:rsidRPr="00000000">
        <w:rPr>
          <w:rFonts w:ascii="Arial" w:cs="Arial" w:eastAsia="Arial" w:hAnsi="Arial"/>
          <w:sz w:val="22"/>
          <w:szCs w:val="22"/>
          <w:rtl w:val="0"/>
        </w:rPr>
        <w:t xml:space="preserve">Emphasises the human need for security, emotional connection, and stable relationships. Although originally developed to explain infant–caregiver bonds, Bowlby argued that attachment needs continue across the lifespan. In older adults, particularly those experiencing dementia, attachment behaviours may become more pronounced due to cognitive decline, vulnerability, and the loss of familiar environments or relationships. Feelings of insecurity may lead to increased dependency, distress, or agitation when routines change or when familiar caregivers are absent.</w:t>
      </w:r>
    </w:p>
    <w:p w:rsidR="00000000" w:rsidDel="00000000" w:rsidP="00000000" w:rsidRDefault="00000000" w:rsidRPr="00000000" w14:paraId="0000002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Although Bowlby’s work primarily addressed attachment in early childhood, subsequent research has established that attachment dynamics persist throughout adulthood and into later life (Ainsworth, 1989; Magai &amp; Cohen, 1998). In older adults—especially those experiencing increasing frailty or cognitive impairment—attachment needs may re-emerge as reliance on caregivers grows. Dementia can further intensify these processes; the associated confusion, anxiety, and disorientation often lead to behaviours such as seeking reassurance, clinging, or social withdrawal, which mirror early attachment responses (Perrenet al., 2015).  </w:t>
      </w:r>
    </w:p>
    <w:p w:rsidR="00000000" w:rsidDel="00000000" w:rsidP="00000000" w:rsidRDefault="00000000" w:rsidRPr="00000000" w14:paraId="0000002C">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253038" cy="291465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253038"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after="240" w:before="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Attachment theory offers a useful framework for understanding why stable, emotionally responsive caregiving promotes reassurance and cooperation among individuals living with dementia. In contrast, sudden alterations in routine or unfamiliar staff can heighten feelings of anxiety and lead to distressed behaviour. In later life, secure attachment relationships continue to function as a “safe base,” enabling individuals to interact more confidently with their surroundings (Bowlby, 1988). In the context of dementia care, this principle underscores the importance of establishing predictable, trusting caregiver–resident relationships that help mitigate the insecurity and disorientation associated with memory loss.</w:t>
      </w:r>
    </w:p>
    <w:p w:rsidR="00000000" w:rsidDel="00000000" w:rsidP="00000000" w:rsidRDefault="00000000" w:rsidRPr="00000000" w14:paraId="00000031">
      <w:pPr>
        <w:spacing w:after="280" w:before="280" w:line="360"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pStyle w:val="Heading2"/>
        <w:keepNext w:val="0"/>
        <w:keepLines w:val="0"/>
        <w:spacing w:before="360" w:line="360" w:lineRule="auto"/>
        <w:rPr>
          <w:rFonts w:ascii="Arial" w:cs="Arial" w:eastAsia="Arial" w:hAnsi="Arial"/>
          <w:color w:val="000000"/>
          <w:sz w:val="22"/>
          <w:szCs w:val="22"/>
        </w:rPr>
      </w:pPr>
      <w:bookmarkStart w:colFirst="0" w:colLast="0" w:name="_6tdz2slb5a4k" w:id="16"/>
      <w:bookmarkEnd w:id="16"/>
      <w:r w:rsidDel="00000000" w:rsidR="00000000" w:rsidRPr="00000000">
        <w:rPr>
          <w:rtl w:val="0"/>
        </w:rPr>
      </w:r>
    </w:p>
    <w:p w:rsidR="00000000" w:rsidDel="00000000" w:rsidP="00000000" w:rsidRDefault="00000000" w:rsidRPr="00000000" w14:paraId="00000033">
      <w:pPr>
        <w:pStyle w:val="Heading2"/>
        <w:keepNext w:val="0"/>
        <w:keepLines w:val="0"/>
        <w:spacing w:before="360" w:line="360" w:lineRule="auto"/>
        <w:rPr>
          <w:rFonts w:ascii="Arial" w:cs="Arial" w:eastAsia="Arial" w:hAnsi="Arial"/>
          <w:color w:val="000000"/>
          <w:sz w:val="22"/>
          <w:szCs w:val="22"/>
        </w:rPr>
      </w:pPr>
      <w:bookmarkStart w:colFirst="0" w:colLast="0" w:name="_g3jt0d8colvc" w:id="17"/>
      <w:bookmarkEnd w:id="17"/>
      <w:r w:rsidDel="00000000" w:rsidR="00000000" w:rsidRPr="00000000">
        <w:rPr>
          <w:rtl w:val="0"/>
        </w:rPr>
      </w:r>
    </w:p>
    <w:p w:rsidR="00000000" w:rsidDel="00000000" w:rsidP="00000000" w:rsidRDefault="00000000" w:rsidRPr="00000000" w14:paraId="00000034">
      <w:pPr>
        <w:pStyle w:val="Heading2"/>
        <w:keepNext w:val="0"/>
        <w:keepLines w:val="0"/>
        <w:spacing w:before="360" w:line="360" w:lineRule="auto"/>
        <w:rPr>
          <w:rFonts w:ascii="Arial" w:cs="Arial" w:eastAsia="Arial" w:hAnsi="Arial"/>
          <w:b w:val="1"/>
          <w:bCs w:val="1"/>
          <w:color w:val="000000"/>
          <w:sz w:val="24"/>
          <w:szCs w:val="24"/>
        </w:rPr>
      </w:pPr>
      <w:bookmarkStart w:colFirst="0" w:colLast="0" w:name="_yxibly35m8m" w:id="18"/>
      <w:bookmarkEnd w:id="18"/>
      <w:r w:rsidDel="00000000" w:rsidR="00000000" w:rsidRPr="00000000">
        <w:rPr>
          <w:rFonts w:ascii="Arial" w:cs="Arial" w:eastAsia="Arial" w:hAnsi="Arial"/>
          <w:color w:val="000000"/>
          <w:sz w:val="22"/>
          <w:szCs w:val="22"/>
          <w:rtl w:val="0"/>
        </w:rPr>
        <w:t xml:space="preserve">2.2</w:t>
      </w:r>
      <w:r w:rsidDel="00000000" w:rsidR="00000000" w:rsidRPr="00000000">
        <w:rPr>
          <w:rFonts w:ascii="Arial" w:cs="Arial" w:eastAsia="Arial" w:hAnsi="Arial"/>
          <w:b w:val="1"/>
          <w:bCs w:val="1"/>
          <w:color w:val="000000"/>
          <w:sz w:val="24"/>
          <w:szCs w:val="24"/>
          <w:rtl w:val="0"/>
        </w:rPr>
        <w:t xml:space="preserve"> Application in the Health and Social Care Context</w:t>
      </w:r>
    </w:p>
    <w:p w:rsidR="00000000" w:rsidDel="00000000" w:rsidP="00000000" w:rsidRDefault="00000000" w:rsidRPr="00000000" w14:paraId="00000035">
      <w:pPr>
        <w:pStyle w:val="Heading3"/>
        <w:keepNext w:val="0"/>
        <w:keepLines w:val="0"/>
        <w:spacing w:before="280" w:line="360" w:lineRule="auto"/>
        <w:rPr>
          <w:rFonts w:ascii="Arial" w:cs="Arial" w:eastAsia="Arial" w:hAnsi="Arial"/>
          <w:b w:val="1"/>
          <w:bCs w:val="1"/>
          <w:color w:val="000000"/>
          <w:sz w:val="24"/>
          <w:szCs w:val="24"/>
        </w:rPr>
      </w:pPr>
      <w:bookmarkStart w:colFirst="0" w:colLast="0" w:name="_i32arrqrgcnq" w:id="19"/>
      <w:bookmarkEnd w:id="19"/>
      <w:r w:rsidDel="00000000" w:rsidR="00000000" w:rsidRPr="00000000">
        <w:rPr>
          <w:rFonts w:ascii="Arial" w:cs="Arial" w:eastAsia="Arial" w:hAnsi="Arial"/>
          <w:color w:val="000000"/>
          <w:sz w:val="22"/>
          <w:szCs w:val="22"/>
          <w:rtl w:val="0"/>
        </w:rPr>
        <w:t xml:space="preserve">2.3 </w:t>
      </w:r>
      <w:r w:rsidDel="00000000" w:rsidR="00000000" w:rsidRPr="00000000">
        <w:rPr>
          <w:rFonts w:ascii="Arial" w:cs="Arial" w:eastAsia="Arial" w:hAnsi="Arial"/>
          <w:b w:val="1"/>
          <w:bCs w:val="1"/>
          <w:color w:val="000000"/>
          <w:sz w:val="24"/>
          <w:szCs w:val="24"/>
          <w:rtl w:val="0"/>
        </w:rPr>
        <w:t xml:space="preserve">Applying Bowlby’s Attachment Theory in Dementia Care</w:t>
      </w:r>
    </w:p>
    <w:p w:rsidR="00000000" w:rsidDel="00000000" w:rsidP="00000000" w:rsidRDefault="00000000" w:rsidRPr="00000000" w14:paraId="0000003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Bowlby’s theory highlights the importance of secure relationships, which are vital for older adults experiencing confusion or anxiety. In dementia care homes, residents may show attachment-related behaviours such as calling for family, following staff members, or displaying distress during transitions.</w:t>
      </w:r>
    </w:p>
    <w:p w:rsidR="00000000" w:rsidDel="00000000" w:rsidP="00000000" w:rsidRDefault="00000000" w:rsidRPr="00000000" w14:paraId="00000037">
      <w:pPr>
        <w:pStyle w:val="Heading3"/>
        <w:keepNext w:val="0"/>
        <w:keepLines w:val="0"/>
        <w:spacing w:after="240" w:before="240" w:line="360" w:lineRule="auto"/>
        <w:rPr>
          <w:rFonts w:ascii="Arial" w:cs="Arial" w:eastAsia="Arial" w:hAnsi="Arial"/>
          <w:color w:val="000000"/>
          <w:sz w:val="22"/>
          <w:szCs w:val="22"/>
        </w:rPr>
      </w:pPr>
      <w:bookmarkStart w:colFirst="0" w:colLast="0" w:name="_ky392o9q3xab" w:id="20"/>
      <w:bookmarkEnd w:id="20"/>
      <w:r w:rsidDel="00000000" w:rsidR="00000000" w:rsidRPr="00000000">
        <w:rPr>
          <w:rFonts w:ascii="Arial" w:cs="Arial" w:eastAsia="Arial" w:hAnsi="Arial"/>
          <w:color w:val="000000"/>
          <w:sz w:val="24"/>
          <w:szCs w:val="24"/>
          <w:rtl w:val="0"/>
        </w:rPr>
        <w:t xml:space="preserve">2.4 </w:t>
      </w:r>
      <w:r w:rsidDel="00000000" w:rsidR="00000000" w:rsidRPr="00000000">
        <w:rPr>
          <w:rFonts w:ascii="Arial" w:cs="Arial" w:eastAsia="Arial" w:hAnsi="Arial"/>
          <w:b w:val="1"/>
          <w:bCs w:val="1"/>
          <w:color w:val="000000"/>
          <w:sz w:val="24"/>
          <w:szCs w:val="24"/>
          <w:rtl w:val="0"/>
        </w:rPr>
        <w:t xml:space="preserve">Creating a Sense of Security and Trust</w:t>
        <w:br w:type="textWrapping"/>
      </w:r>
      <w:r w:rsidDel="00000000" w:rsidR="00000000" w:rsidRPr="00000000">
        <w:rPr>
          <w:rFonts w:ascii="Arial" w:cs="Arial" w:eastAsia="Arial" w:hAnsi="Arial"/>
          <w:color w:val="000000"/>
          <w:sz w:val="22"/>
          <w:szCs w:val="22"/>
          <w:rtl w:val="0"/>
        </w:rPr>
        <w:t xml:space="preserve"> Consistent, reliable, and emotionally attuned caregiving fosters a secure base for residents with dementia. When care staff respond with warmth, predictability, and patience, residents are more likely to experience reduced stress, improved cooperation, and greater emotional stability. Maintaining familiar routines, minimising abrupt changes, and providing continuity of staff strengthen feelings of safety and reduce confusion.</w:t>
      </w:r>
    </w:p>
    <w:p w:rsidR="00000000" w:rsidDel="00000000" w:rsidP="00000000" w:rsidRDefault="00000000" w:rsidRPr="00000000" w14:paraId="00000038">
      <w:pPr>
        <w:pStyle w:val="Heading3"/>
        <w:keepNext w:val="0"/>
        <w:keepLines w:val="0"/>
        <w:spacing w:after="240" w:before="240" w:line="360" w:lineRule="auto"/>
        <w:rPr>
          <w:rFonts w:ascii="Arial" w:cs="Arial" w:eastAsia="Arial" w:hAnsi="Arial"/>
          <w:b w:val="1"/>
          <w:bCs w:val="1"/>
          <w:color w:val="000000"/>
          <w:sz w:val="24"/>
          <w:szCs w:val="24"/>
        </w:rPr>
      </w:pPr>
      <w:bookmarkStart w:colFirst="0" w:colLast="0" w:name="_4wpnlcjbpnqj" w:id="21"/>
      <w:bookmarkEnd w:id="21"/>
      <w:r w:rsidDel="00000000" w:rsidR="00000000" w:rsidRPr="00000000">
        <w:rPr>
          <w:rtl w:val="0"/>
        </w:rPr>
      </w:r>
    </w:p>
    <w:p w:rsidR="00000000" w:rsidDel="00000000" w:rsidP="00000000" w:rsidRDefault="00000000" w:rsidRPr="00000000" w14:paraId="00000039">
      <w:pPr>
        <w:pStyle w:val="Heading3"/>
        <w:keepNext w:val="0"/>
        <w:keepLines w:val="0"/>
        <w:spacing w:after="240" w:before="240" w:line="360" w:lineRule="auto"/>
        <w:rPr>
          <w:rFonts w:ascii="Arial" w:cs="Arial" w:eastAsia="Arial" w:hAnsi="Arial"/>
          <w:b w:val="1"/>
          <w:bCs w:val="1"/>
          <w:color w:val="000000"/>
          <w:sz w:val="24"/>
          <w:szCs w:val="24"/>
        </w:rPr>
      </w:pPr>
      <w:bookmarkStart w:colFirst="0" w:colLast="0" w:name="_ky392o9q3xab" w:id="20"/>
      <w:bookmarkEnd w:id="20"/>
      <w:r w:rsidDel="00000000" w:rsidR="00000000" w:rsidRPr="00000000">
        <w:rPr>
          <w:rFonts w:ascii="Arial" w:cs="Arial" w:eastAsia="Arial" w:hAnsi="Arial"/>
          <w:color w:val="000000"/>
          <w:sz w:val="24"/>
          <w:szCs w:val="24"/>
          <w:rtl w:val="0"/>
        </w:rPr>
        <w:t xml:space="preserve">2.5  </w:t>
      </w:r>
      <w:r w:rsidDel="00000000" w:rsidR="00000000" w:rsidRPr="00000000">
        <w:rPr>
          <w:rFonts w:ascii="Arial" w:cs="Arial" w:eastAsia="Arial" w:hAnsi="Arial"/>
          <w:b w:val="1"/>
          <w:bCs w:val="1"/>
          <w:color w:val="000000"/>
          <w:sz w:val="24"/>
          <w:szCs w:val="24"/>
          <w:rtl w:val="0"/>
        </w:rPr>
        <w:t xml:space="preserve">Practical Examples</w:t>
      </w:r>
    </w:p>
    <w:p w:rsidR="00000000" w:rsidDel="00000000" w:rsidP="00000000" w:rsidRDefault="00000000" w:rsidRPr="00000000" w14:paraId="0000003A">
      <w:pPr>
        <w:pStyle w:val="Heading3"/>
        <w:keepNext w:val="0"/>
        <w:keepLines w:val="0"/>
        <w:numPr>
          <w:ilvl w:val="0"/>
          <w:numId w:val="3"/>
        </w:numPr>
        <w:spacing w:after="0" w:afterAutospacing="0" w:before="240" w:line="360" w:lineRule="auto"/>
        <w:ind w:left="720" w:hanging="360"/>
        <w:rPr>
          <w:rFonts w:ascii="Arial" w:cs="Arial" w:eastAsia="Arial" w:hAnsi="Arial"/>
          <w:color w:val="000000"/>
          <w:sz w:val="22"/>
          <w:szCs w:val="22"/>
        </w:rPr>
      </w:pPr>
      <w:bookmarkStart w:colFirst="0" w:colLast="0" w:name="_ky392o9q3xab" w:id="20"/>
      <w:bookmarkEnd w:id="20"/>
      <w:r w:rsidDel="00000000" w:rsidR="00000000" w:rsidRPr="00000000">
        <w:rPr>
          <w:rFonts w:ascii="Arial" w:cs="Arial" w:eastAsia="Arial" w:hAnsi="Arial"/>
          <w:color w:val="000000"/>
          <w:sz w:val="22"/>
          <w:szCs w:val="22"/>
          <w:rtl w:val="0"/>
        </w:rPr>
        <w:t xml:space="preserve">Consistent staffing: Assigning key workers so residents regularly interact with the same caregivers, promoting familiarity and trust.</w:t>
        <w:br w:type="textWrapping"/>
      </w:r>
    </w:p>
    <w:p w:rsidR="00000000" w:rsidDel="00000000" w:rsidP="00000000" w:rsidRDefault="00000000" w:rsidRPr="00000000" w14:paraId="0000003B">
      <w:pPr>
        <w:pStyle w:val="Heading3"/>
        <w:keepNext w:val="0"/>
        <w:keepLines w:val="0"/>
        <w:numPr>
          <w:ilvl w:val="0"/>
          <w:numId w:val="3"/>
        </w:numPr>
        <w:spacing w:after="0" w:afterAutospacing="0" w:before="0" w:beforeAutospacing="0" w:line="360" w:lineRule="auto"/>
        <w:ind w:left="720" w:hanging="360"/>
        <w:rPr>
          <w:rFonts w:ascii="Arial" w:cs="Arial" w:eastAsia="Arial" w:hAnsi="Arial"/>
          <w:color w:val="000000"/>
          <w:sz w:val="22"/>
          <w:szCs w:val="22"/>
        </w:rPr>
      </w:pPr>
      <w:bookmarkStart w:colFirst="0" w:colLast="0" w:name="_ky392o9q3xab" w:id="20"/>
      <w:bookmarkEnd w:id="20"/>
      <w:r w:rsidDel="00000000" w:rsidR="00000000" w:rsidRPr="00000000">
        <w:rPr>
          <w:rFonts w:ascii="Arial" w:cs="Arial" w:eastAsia="Arial" w:hAnsi="Arial"/>
          <w:color w:val="000000"/>
          <w:sz w:val="22"/>
          <w:szCs w:val="22"/>
          <w:rtl w:val="0"/>
        </w:rPr>
        <w:t xml:space="preserve">Stable routines: Implementing predictable daily schedules for meals, activities, and personal care to reduce anxiety and disorientation.</w:t>
        <w:br w:type="textWrapping"/>
      </w:r>
    </w:p>
    <w:p w:rsidR="00000000" w:rsidDel="00000000" w:rsidP="00000000" w:rsidRDefault="00000000" w:rsidRPr="00000000" w14:paraId="0000003C">
      <w:pPr>
        <w:pStyle w:val="Heading3"/>
        <w:keepNext w:val="0"/>
        <w:keepLines w:val="0"/>
        <w:numPr>
          <w:ilvl w:val="0"/>
          <w:numId w:val="3"/>
        </w:numPr>
        <w:spacing w:after="0" w:afterAutospacing="0" w:before="0" w:beforeAutospacing="0" w:line="360" w:lineRule="auto"/>
        <w:ind w:left="720" w:hanging="360"/>
        <w:rPr>
          <w:rFonts w:ascii="Arial" w:cs="Arial" w:eastAsia="Arial" w:hAnsi="Arial"/>
          <w:b w:val="1"/>
          <w:bCs w:val="1"/>
          <w:color w:val="000000"/>
        </w:rPr>
      </w:pPr>
      <w:bookmarkStart w:colFirst="0" w:colLast="0" w:name="_eb1hp3p8ddpb" w:id="22"/>
      <w:bookmarkEnd w:id="22"/>
      <w:r w:rsidDel="00000000" w:rsidR="00000000" w:rsidRPr="00000000">
        <w:rPr>
          <w:rFonts w:ascii="Arial" w:cs="Arial" w:eastAsia="Arial" w:hAnsi="Arial"/>
          <w:color w:val="000000"/>
          <w:sz w:val="22"/>
          <w:szCs w:val="22"/>
          <w:rtl w:val="0"/>
        </w:rPr>
        <w:t xml:space="preserve">Providing additional reassurance during potentially distressing moments, such as room changes, medical appointments, Reassurance and emotional presence: Using calm communication, gentle tone, and appropriate physical reassurance (e.g., handholding if welcomed) to support emotional regulation.</w:t>
        <w:br w:type="textWrapping"/>
      </w:r>
    </w:p>
    <w:p w:rsidR="00000000" w:rsidDel="00000000" w:rsidP="00000000" w:rsidRDefault="00000000" w:rsidRPr="00000000" w14:paraId="0000003D">
      <w:pPr>
        <w:pStyle w:val="Heading3"/>
        <w:keepNext w:val="0"/>
        <w:keepLines w:val="0"/>
        <w:numPr>
          <w:ilvl w:val="0"/>
          <w:numId w:val="3"/>
        </w:numPr>
        <w:spacing w:after="0" w:afterAutospacing="0" w:before="0" w:beforeAutospacing="0" w:line="360" w:lineRule="auto"/>
        <w:ind w:left="720" w:hanging="360"/>
        <w:rPr>
          <w:rFonts w:ascii="Arial" w:cs="Arial" w:eastAsia="Arial" w:hAnsi="Arial"/>
          <w:color w:val="000000"/>
          <w:sz w:val="22"/>
          <w:szCs w:val="22"/>
        </w:rPr>
      </w:pPr>
      <w:bookmarkStart w:colFirst="0" w:colLast="0" w:name="_7d9m0wvyqyk2" w:id="23"/>
      <w:bookmarkEnd w:id="23"/>
      <w:r w:rsidDel="00000000" w:rsidR="00000000" w:rsidRPr="00000000">
        <w:rPr>
          <w:rFonts w:ascii="Arial" w:cs="Arial" w:eastAsia="Arial" w:hAnsi="Arial"/>
          <w:color w:val="000000"/>
          <w:sz w:val="22"/>
          <w:szCs w:val="22"/>
          <w:rtl w:val="0"/>
        </w:rPr>
        <w:t xml:space="preserve">Personalised care: Incorporating residents’ life histories, preferences, and familiar objects into their environment to reinforce comfort and identity.</w:t>
        <w:br w:type="textWrapping"/>
      </w:r>
    </w:p>
    <w:p w:rsidR="00000000" w:rsidDel="00000000" w:rsidP="00000000" w:rsidRDefault="00000000" w:rsidRPr="00000000" w14:paraId="0000003E">
      <w:pPr>
        <w:pStyle w:val="Heading3"/>
        <w:keepNext w:val="0"/>
        <w:keepLines w:val="0"/>
        <w:numPr>
          <w:ilvl w:val="0"/>
          <w:numId w:val="3"/>
        </w:numPr>
        <w:spacing w:after="240" w:before="0" w:beforeAutospacing="0" w:line="360" w:lineRule="auto"/>
        <w:ind w:left="720" w:hanging="360"/>
        <w:rPr>
          <w:rFonts w:ascii="Arial" w:cs="Arial" w:eastAsia="Arial" w:hAnsi="Arial"/>
          <w:b w:val="1"/>
          <w:bCs w:val="1"/>
          <w:color w:val="000000"/>
        </w:rPr>
      </w:pPr>
      <w:bookmarkStart w:colFirst="0" w:colLast="0" w:name="_lncjrewjygyz" w:id="24"/>
      <w:bookmarkEnd w:id="24"/>
      <w:r w:rsidDel="00000000" w:rsidR="00000000" w:rsidRPr="00000000">
        <w:rPr>
          <w:rFonts w:ascii="Arial" w:cs="Arial" w:eastAsia="Arial" w:hAnsi="Arial"/>
          <w:color w:val="000000"/>
          <w:sz w:val="22"/>
          <w:szCs w:val="22"/>
          <w:rtl w:val="0"/>
        </w:rPr>
        <w:t xml:space="preserve">Support during transitions: or unfamiliar situations.</w:t>
      </w:r>
      <w:r w:rsidDel="00000000" w:rsidR="00000000" w:rsidRPr="00000000">
        <w:rPr>
          <w:rFonts w:ascii="Arial" w:cs="Arial" w:eastAsia="Arial" w:hAnsi="Arial"/>
          <w:color w:val="000000"/>
          <w:sz w:val="22"/>
          <w:szCs w:val="22"/>
        </w:rPr>
        <w:drawing>
          <wp:inline distB="114300" distT="114300" distL="114300" distR="114300">
            <wp:extent cx="4986338" cy="3318046"/>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986338" cy="3318046"/>
                    </a:xfrm>
                    <a:prstGeom prst="rect"/>
                    <a:ln/>
                  </pic:spPr>
                </pic:pic>
              </a:graphicData>
            </a:graphic>
          </wp:inline>
        </w:drawing>
      </w:r>
      <w:r w:rsidDel="00000000" w:rsidR="00000000" w:rsidRPr="00000000">
        <w:rPr>
          <w:rFonts w:ascii="Arial" w:cs="Arial" w:eastAsia="Arial" w:hAnsi="Arial"/>
          <w:color w:val="000000"/>
          <w:sz w:val="22"/>
          <w:szCs w:val="22"/>
          <w:rtl w:val="0"/>
        </w:rPr>
        <w:br w:type="textWrapping"/>
      </w:r>
    </w:p>
    <w:p w:rsidR="00000000" w:rsidDel="00000000" w:rsidP="00000000" w:rsidRDefault="00000000" w:rsidRPr="00000000" w14:paraId="0000003F">
      <w:pPr>
        <w:pStyle w:val="Heading3"/>
        <w:keepNext w:val="0"/>
        <w:keepLines w:val="0"/>
        <w:spacing w:after="240" w:before="240" w:line="360" w:lineRule="auto"/>
        <w:ind w:left="720" w:firstLine="0"/>
        <w:rPr>
          <w:rFonts w:ascii="Arial" w:cs="Arial" w:eastAsia="Arial" w:hAnsi="Arial"/>
          <w:color w:val="000000"/>
          <w:sz w:val="22"/>
          <w:szCs w:val="22"/>
        </w:rPr>
      </w:pPr>
      <w:bookmarkStart w:colFirst="0" w:colLast="0" w:name="_oocaeez22gqs" w:id="25"/>
      <w:bookmarkEnd w:id="25"/>
      <w:r w:rsidDel="00000000" w:rsidR="00000000" w:rsidRPr="00000000">
        <w:rPr>
          <w:rtl w:val="0"/>
        </w:rPr>
      </w:r>
    </w:p>
    <w:p w:rsidR="00000000" w:rsidDel="00000000" w:rsidP="00000000" w:rsidRDefault="00000000" w:rsidRPr="00000000" w14:paraId="00000040">
      <w:pPr>
        <w:pStyle w:val="Heading3"/>
        <w:keepNext w:val="0"/>
        <w:keepLines w:val="0"/>
        <w:spacing w:after="240" w:before="240" w:line="360" w:lineRule="auto"/>
        <w:ind w:left="720" w:firstLine="0"/>
        <w:rPr>
          <w:rFonts w:ascii="Arial" w:cs="Arial" w:eastAsia="Arial" w:hAnsi="Arial"/>
          <w:color w:val="000000"/>
        </w:rPr>
      </w:pPr>
      <w:bookmarkStart w:colFirst="0" w:colLast="0" w:name="_8v9rtq2vohp7" w:id="26"/>
      <w:bookmarkEnd w:id="26"/>
      <w:r w:rsidDel="00000000" w:rsidR="00000000" w:rsidRPr="00000000">
        <w:rPr>
          <w:rtl w:val="0"/>
        </w:rPr>
      </w:r>
    </w:p>
    <w:p w:rsidR="00000000" w:rsidDel="00000000" w:rsidP="00000000" w:rsidRDefault="00000000" w:rsidRPr="00000000" w14:paraId="00000041">
      <w:pPr>
        <w:pStyle w:val="Heading3"/>
        <w:keepNext w:val="0"/>
        <w:keepLines w:val="0"/>
        <w:spacing w:after="240" w:before="240" w:line="360" w:lineRule="auto"/>
        <w:ind w:left="0" w:firstLine="0"/>
        <w:rPr>
          <w:rFonts w:ascii="Arial" w:cs="Arial" w:eastAsia="Arial" w:hAnsi="Arial"/>
          <w:b w:val="1"/>
          <w:bCs w:val="1"/>
          <w:color w:val="000000"/>
        </w:rPr>
      </w:pPr>
      <w:bookmarkStart w:colFirst="0" w:colLast="0" w:name="_5erywlft4h3t" w:id="27"/>
      <w:bookmarkEnd w:id="27"/>
      <w:r w:rsidDel="00000000" w:rsidR="00000000" w:rsidRPr="00000000">
        <w:rPr>
          <w:rFonts w:ascii="Arial" w:cs="Arial" w:eastAsia="Arial" w:hAnsi="Arial"/>
          <w:color w:val="000000"/>
          <w:rtl w:val="0"/>
        </w:rPr>
        <w:t xml:space="preserve">2.6  </w:t>
      </w:r>
      <w:r w:rsidDel="00000000" w:rsidR="00000000" w:rsidRPr="00000000">
        <w:rPr>
          <w:rFonts w:ascii="Arial" w:cs="Arial" w:eastAsia="Arial" w:hAnsi="Arial"/>
          <w:b w:val="1"/>
          <w:bCs w:val="1"/>
          <w:color w:val="000000"/>
          <w:rtl w:val="0"/>
        </w:rPr>
        <w:t xml:space="preserve">Challenges.</w:t>
      </w:r>
    </w:p>
    <w:p w:rsidR="00000000" w:rsidDel="00000000" w:rsidP="00000000" w:rsidRDefault="00000000" w:rsidRPr="00000000" w14:paraId="00000042">
      <w:pPr>
        <w:rPr/>
      </w:pPr>
      <w:r w:rsidDel="00000000" w:rsidR="00000000" w:rsidRPr="00000000">
        <w:rPr>
          <w:rtl w:val="0"/>
        </w:rPr>
        <w:t xml:space="preserve">Applying Bowlby’s attachment principles in dementia care homes can be difficult due to high staff turnover, limited time and resources, and inconsistent training. Residents’ fluctuating cognitive abilities and behavioural symptoms may also make relationship-building challenging. Additionally, busy or unpredictable care home environments can reduce the sense of safety needed to form secure, trusting attachments (Koren et al., 2021).</w:t>
      </w:r>
      <w:r w:rsidDel="00000000" w:rsidR="00000000" w:rsidRPr="00000000">
        <w:rPr>
          <w:rtl w:val="0"/>
        </w:rPr>
      </w:r>
    </w:p>
    <w:p w:rsidR="00000000" w:rsidDel="00000000" w:rsidP="00000000" w:rsidRDefault="00000000" w:rsidRPr="00000000" w14:paraId="00000043">
      <w:pPr>
        <w:spacing w:after="240" w:before="240" w:line="360" w:lineRule="auto"/>
        <w:rPr>
          <w:rFonts w:ascii="Arial" w:cs="Arial" w:eastAsia="Arial" w:hAnsi="Arial"/>
          <w:b w:val="1"/>
          <w:bCs w:val="1"/>
          <w:color w:val="000000"/>
          <w:sz w:val="26"/>
          <w:szCs w:val="26"/>
        </w:rPr>
      </w:pPr>
      <w:r w:rsidDel="00000000" w:rsidR="00000000" w:rsidRPr="00000000">
        <w:rPr>
          <w:rtl w:val="0"/>
        </w:rPr>
      </w:r>
    </w:p>
    <w:p w:rsidR="00000000" w:rsidDel="00000000" w:rsidP="00000000" w:rsidRDefault="00000000" w:rsidRPr="00000000" w14:paraId="00000044">
      <w:pPr>
        <w:spacing w:after="280" w:before="280" w:line="360" w:lineRule="auto"/>
        <w:rPr>
          <w:rFonts w:ascii="Arial" w:cs="Arial" w:eastAsia="Arial" w:hAnsi="Arial"/>
          <w:b w:val="1"/>
          <w:bCs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keepNext w:val="0"/>
        <w:keepLines w:val="0"/>
        <w:spacing w:before="360" w:line="360" w:lineRule="auto"/>
        <w:rPr>
          <w:rFonts w:ascii="Arial" w:cs="Arial" w:eastAsia="Arial" w:hAnsi="Arial"/>
          <w:b w:val="1"/>
          <w:bCs w:val="1"/>
          <w:color w:val="000000"/>
          <w:sz w:val="26"/>
          <w:szCs w:val="26"/>
        </w:rPr>
      </w:pPr>
      <w:bookmarkStart w:colFirst="0" w:colLast="0" w:name="_o95bxwils50t" w:id="28"/>
      <w:bookmarkEnd w:id="28"/>
      <w:r w:rsidDel="00000000" w:rsidR="00000000" w:rsidRPr="00000000">
        <w:rPr>
          <w:rFonts w:ascii="Arial" w:cs="Arial" w:eastAsia="Arial" w:hAnsi="Arial"/>
          <w:color w:val="000000"/>
          <w:sz w:val="24"/>
          <w:szCs w:val="24"/>
          <w:rtl w:val="0"/>
        </w:rPr>
        <w:t xml:space="preserve">3. </w:t>
      </w:r>
      <w:r w:rsidDel="00000000" w:rsidR="00000000" w:rsidRPr="00000000">
        <w:rPr>
          <w:rFonts w:ascii="Arial" w:cs="Arial" w:eastAsia="Arial" w:hAnsi="Arial"/>
          <w:b w:val="1"/>
          <w:bCs w:val="1"/>
          <w:color w:val="000000"/>
          <w:sz w:val="26"/>
          <w:szCs w:val="26"/>
          <w:rtl w:val="0"/>
        </w:rPr>
        <w:t xml:space="preserve">Vygotsky’s Sociocultural Theory</w:t>
      </w:r>
    </w:p>
    <w:p w:rsidR="00000000" w:rsidDel="00000000" w:rsidP="00000000" w:rsidRDefault="00000000" w:rsidRPr="00000000" w14:paraId="00000046">
      <w:pPr>
        <w:pStyle w:val="Heading2"/>
        <w:keepNext w:val="0"/>
        <w:keepLines w:val="0"/>
        <w:spacing w:after="240" w:before="240" w:line="360" w:lineRule="auto"/>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color w:val="000000"/>
          <w:sz w:val="24"/>
          <w:szCs w:val="24"/>
          <w:rtl w:val="0"/>
        </w:rPr>
        <w:t xml:space="preserve">Vygotsky’s Sociocultural Theory emphasises that learning and development are shaped through social interaction, cultural practices, and supportive guidance from more knowledgeable individuals. Central concepts such as the </w:t>
      </w:r>
      <w:r w:rsidDel="00000000" w:rsidR="00000000" w:rsidRPr="00000000">
        <w:rPr>
          <w:rFonts w:ascii="Arial" w:cs="Arial" w:eastAsia="Arial" w:hAnsi="Arial"/>
          <w:i w:val="1"/>
          <w:iCs w:val="1"/>
          <w:color w:val="000000"/>
          <w:sz w:val="24"/>
          <w:szCs w:val="24"/>
          <w:rtl w:val="0"/>
        </w:rPr>
        <w:t xml:space="preserve">Zone of Proximal Development (ZPD)</w:t>
      </w:r>
      <w:r w:rsidDel="00000000" w:rsidR="00000000" w:rsidRPr="00000000">
        <w:rPr>
          <w:rFonts w:ascii="Arial" w:cs="Arial" w:eastAsia="Arial" w:hAnsi="Arial"/>
          <w:color w:val="000000"/>
          <w:sz w:val="24"/>
          <w:szCs w:val="24"/>
          <w:rtl w:val="0"/>
        </w:rPr>
        <w:t xml:space="preserve"> and </w:t>
      </w:r>
      <w:r w:rsidDel="00000000" w:rsidR="00000000" w:rsidRPr="00000000">
        <w:rPr>
          <w:rFonts w:ascii="Arial" w:cs="Arial" w:eastAsia="Arial" w:hAnsi="Arial"/>
          <w:i w:val="1"/>
          <w:iCs w:val="1"/>
          <w:color w:val="000000"/>
          <w:sz w:val="24"/>
          <w:szCs w:val="24"/>
          <w:rtl w:val="0"/>
        </w:rPr>
        <w:t xml:space="preserve">scaffolding</w:t>
      </w:r>
      <w:r w:rsidDel="00000000" w:rsidR="00000000" w:rsidRPr="00000000">
        <w:rPr>
          <w:rFonts w:ascii="Arial" w:cs="Arial" w:eastAsia="Arial" w:hAnsi="Arial"/>
          <w:color w:val="000000"/>
          <w:sz w:val="24"/>
          <w:szCs w:val="24"/>
          <w:rtl w:val="0"/>
        </w:rPr>
        <w:t xml:space="preserve"> highlight the importance of collaborative support that enables individuals to carry out tasks they cannot manage alone.(Newman &amp; Newman, 2020).</w:t>
      </w:r>
    </w:p>
    <w:p w:rsidR="00000000" w:rsidDel="00000000" w:rsidP="00000000" w:rsidRDefault="00000000" w:rsidRPr="00000000" w14:paraId="00000047">
      <w:pPr>
        <w:pStyle w:val="Heading2"/>
        <w:keepNext w:val="0"/>
        <w:keepLines w:val="0"/>
        <w:spacing w:before="360" w:line="360" w:lineRule="auto"/>
        <w:rPr>
          <w:rFonts w:ascii="Arial" w:cs="Arial" w:eastAsia="Arial" w:hAnsi="Arial"/>
          <w:color w:val="000000"/>
          <w:sz w:val="24"/>
          <w:szCs w:val="24"/>
        </w:rPr>
      </w:pPr>
      <w:bookmarkStart w:colFirst="0" w:colLast="0" w:name="_o95bxwils50t" w:id="28"/>
      <w:bookmarkEnd w:id="2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3"/>
        <w:keepNext w:val="0"/>
        <w:keepLines w:val="0"/>
        <w:spacing w:before="280" w:line="360" w:lineRule="auto"/>
        <w:rPr>
          <w:rFonts w:ascii="Arial" w:cs="Arial" w:eastAsia="Arial" w:hAnsi="Arial"/>
          <w:b w:val="1"/>
          <w:bCs w:val="1"/>
          <w:color w:val="000000"/>
          <w:sz w:val="26"/>
          <w:szCs w:val="26"/>
        </w:rPr>
      </w:pPr>
      <w:bookmarkStart w:colFirst="0" w:colLast="0" w:name="_blest3vasg14" w:id="29"/>
      <w:bookmarkEnd w:id="29"/>
      <w:r w:rsidDel="00000000" w:rsidR="00000000" w:rsidRPr="00000000">
        <w:rPr>
          <w:rFonts w:ascii="Arial" w:cs="Arial" w:eastAsia="Arial" w:hAnsi="Arial"/>
          <w:color w:val="000000"/>
          <w:sz w:val="24"/>
          <w:szCs w:val="24"/>
          <w:rtl w:val="0"/>
        </w:rPr>
        <w:t xml:space="preserve">3.1 </w:t>
      </w:r>
      <w:r w:rsidDel="00000000" w:rsidR="00000000" w:rsidRPr="00000000">
        <w:rPr>
          <w:rFonts w:ascii="Arial" w:cs="Arial" w:eastAsia="Arial" w:hAnsi="Arial"/>
          <w:b w:val="1"/>
          <w:bCs w:val="1"/>
          <w:color w:val="000000"/>
          <w:sz w:val="26"/>
          <w:szCs w:val="26"/>
          <w:rtl w:val="0"/>
        </w:rPr>
        <w:t xml:space="preserve">Applying Vygotsky’s Theory in Dementia Care Homes</w:t>
      </w:r>
    </w:p>
    <w:p w:rsidR="00000000" w:rsidDel="00000000" w:rsidP="00000000" w:rsidRDefault="00000000" w:rsidRPr="00000000" w14:paraId="00000049">
      <w:pPr>
        <w:pStyle w:val="Heading2"/>
        <w:keepNext w:val="0"/>
        <w:keepLines w:val="0"/>
        <w:spacing w:after="240" w:before="240" w:line="360" w:lineRule="auto"/>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color w:val="000000"/>
          <w:sz w:val="24"/>
          <w:szCs w:val="24"/>
          <w:rtl w:val="0"/>
        </w:rPr>
        <w:t xml:space="preserve">Within dementia care settings, Vygotsky’s principles can be adapted to support residents’ cognitive, social, and emotional functioning. Providing structured guidance, meaningful social engagement, and culturally familiar activities allows residents to participate to the best of their abilities. Caregivers act as the “more knowledgeable other,” offering tailored assistance that helps residents maintain independence, identity, and confidence for as long as possible.</w:t>
      </w:r>
    </w:p>
    <w:p w:rsidR="00000000" w:rsidDel="00000000" w:rsidP="00000000" w:rsidRDefault="00000000" w:rsidRPr="00000000" w14:paraId="0000004A">
      <w:pPr>
        <w:pStyle w:val="Heading2"/>
        <w:keepNext w:val="0"/>
        <w:keepLines w:val="0"/>
        <w:spacing w:after="240" w:before="240" w:line="360" w:lineRule="auto"/>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color w:val="000000"/>
          <w:sz w:val="24"/>
          <w:szCs w:val="24"/>
          <w:rtl w:val="0"/>
        </w:rPr>
        <w:t xml:space="preserve">This approach encourages the use of supportive interactions, shared tasks, and personalised communication strategies to promote cognitive engagement and preserve remaining abilities.</w:t>
      </w:r>
    </w:p>
    <w:p w:rsidR="00000000" w:rsidDel="00000000" w:rsidP="00000000" w:rsidRDefault="00000000" w:rsidRPr="00000000" w14:paraId="0000004B">
      <w:pPr>
        <w:pStyle w:val="Heading2"/>
        <w:keepNext w:val="0"/>
        <w:keepLines w:val="0"/>
        <w:spacing w:before="360" w:line="360" w:lineRule="auto"/>
        <w:rPr>
          <w:rFonts w:ascii="Arial" w:cs="Arial" w:eastAsia="Arial" w:hAnsi="Arial"/>
          <w:color w:val="000000"/>
          <w:sz w:val="24"/>
          <w:szCs w:val="24"/>
        </w:rPr>
      </w:pPr>
      <w:bookmarkStart w:colFirst="0" w:colLast="0" w:name="_o95bxwils50t" w:id="28"/>
      <w:bookmarkEnd w:id="2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pStyle w:val="Heading3"/>
        <w:keepNext w:val="0"/>
        <w:keepLines w:val="0"/>
        <w:spacing w:before="280" w:line="360" w:lineRule="auto"/>
        <w:rPr>
          <w:rFonts w:ascii="Arial" w:cs="Arial" w:eastAsia="Arial" w:hAnsi="Arial"/>
          <w:b w:val="1"/>
          <w:bCs w:val="1"/>
          <w:color w:val="000000"/>
          <w:sz w:val="26"/>
          <w:szCs w:val="26"/>
        </w:rPr>
      </w:pPr>
      <w:bookmarkStart w:colFirst="0" w:colLast="0" w:name="_6foxr0sofnwi" w:id="30"/>
      <w:bookmarkEnd w:id="30"/>
      <w:r w:rsidDel="00000000" w:rsidR="00000000" w:rsidRPr="00000000">
        <w:rPr>
          <w:rFonts w:ascii="Arial" w:cs="Arial" w:eastAsia="Arial" w:hAnsi="Arial"/>
          <w:color w:val="000000"/>
          <w:sz w:val="24"/>
          <w:szCs w:val="24"/>
          <w:rtl w:val="0"/>
        </w:rPr>
        <w:t xml:space="preserve">3.2 </w:t>
      </w:r>
      <w:r w:rsidDel="00000000" w:rsidR="00000000" w:rsidRPr="00000000">
        <w:rPr>
          <w:rFonts w:ascii="Arial" w:cs="Arial" w:eastAsia="Arial" w:hAnsi="Arial"/>
          <w:b w:val="1"/>
          <w:bCs w:val="1"/>
          <w:color w:val="000000"/>
          <w:sz w:val="26"/>
          <w:szCs w:val="26"/>
          <w:rtl w:val="0"/>
        </w:rPr>
        <w:t xml:space="preserve">Practical Examples</w:t>
      </w:r>
    </w:p>
    <w:p w:rsidR="00000000" w:rsidDel="00000000" w:rsidP="00000000" w:rsidRDefault="00000000" w:rsidRPr="00000000" w14:paraId="0000004D">
      <w:pPr>
        <w:pStyle w:val="Heading2"/>
        <w:keepNext w:val="0"/>
        <w:keepLines w:val="0"/>
        <w:numPr>
          <w:ilvl w:val="0"/>
          <w:numId w:val="1"/>
        </w:numPr>
        <w:spacing w:after="0" w:afterAutospacing="0" w:before="240" w:line="360" w:lineRule="auto"/>
        <w:ind w:left="720" w:hanging="360"/>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b w:val="1"/>
          <w:bCs w:val="1"/>
          <w:color w:val="000000"/>
          <w:sz w:val="24"/>
          <w:szCs w:val="24"/>
          <w:rtl w:val="0"/>
        </w:rPr>
        <w:t xml:space="preserve">Guided daily tasks:</w:t>
      </w:r>
      <w:r w:rsidDel="00000000" w:rsidR="00000000" w:rsidRPr="00000000">
        <w:rPr>
          <w:rFonts w:ascii="Arial" w:cs="Arial" w:eastAsia="Arial" w:hAnsi="Arial"/>
          <w:color w:val="000000"/>
          <w:sz w:val="24"/>
          <w:szCs w:val="24"/>
          <w:rtl w:val="0"/>
        </w:rPr>
        <w:t xml:space="preserve"> Staff offer step-by-step cues during activities such as dressing or eating, enabling residents to complete parts of the task independently.</w:t>
        <w:br w:type="textWrapping"/>
      </w:r>
    </w:p>
    <w:p w:rsidR="00000000" w:rsidDel="00000000" w:rsidP="00000000" w:rsidRDefault="00000000" w:rsidRPr="00000000" w14:paraId="0000004E">
      <w:pPr>
        <w:pStyle w:val="Heading2"/>
        <w:keepNext w:val="0"/>
        <w:keepLines w:val="0"/>
        <w:numPr>
          <w:ilvl w:val="0"/>
          <w:numId w:val="1"/>
        </w:numPr>
        <w:spacing w:after="0" w:afterAutospacing="0" w:before="0" w:beforeAutospacing="0" w:line="360" w:lineRule="auto"/>
        <w:ind w:left="720" w:hanging="360"/>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b w:val="1"/>
          <w:bCs w:val="1"/>
          <w:color w:val="000000"/>
          <w:sz w:val="24"/>
          <w:szCs w:val="24"/>
          <w:rtl w:val="0"/>
        </w:rPr>
        <w:t xml:space="preserve">Meaningful social interaction:</w:t>
      </w:r>
      <w:r w:rsidDel="00000000" w:rsidR="00000000" w:rsidRPr="00000000">
        <w:rPr>
          <w:rFonts w:ascii="Arial" w:cs="Arial" w:eastAsia="Arial" w:hAnsi="Arial"/>
          <w:color w:val="000000"/>
          <w:sz w:val="24"/>
          <w:szCs w:val="24"/>
          <w:rtl w:val="0"/>
        </w:rPr>
        <w:t xml:space="preserve"> Small group discussions, music sessions, or reminiscence therapy provide opportunities for supported communication and cognitive engagement.</w:t>
        <w:br w:type="textWrapping"/>
      </w:r>
    </w:p>
    <w:p w:rsidR="00000000" w:rsidDel="00000000" w:rsidP="00000000" w:rsidRDefault="00000000" w:rsidRPr="00000000" w14:paraId="0000004F">
      <w:pPr>
        <w:pStyle w:val="Heading2"/>
        <w:keepNext w:val="0"/>
        <w:keepLines w:val="0"/>
        <w:numPr>
          <w:ilvl w:val="0"/>
          <w:numId w:val="1"/>
        </w:numPr>
        <w:spacing w:after="0" w:afterAutospacing="0" w:before="0" w:beforeAutospacing="0" w:line="360" w:lineRule="auto"/>
        <w:ind w:left="720" w:hanging="360"/>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b w:val="1"/>
          <w:bCs w:val="1"/>
          <w:color w:val="000000"/>
          <w:sz w:val="24"/>
          <w:szCs w:val="24"/>
          <w:rtl w:val="0"/>
        </w:rPr>
        <w:t xml:space="preserve">Scaffolded activities:</w:t>
      </w:r>
      <w:r w:rsidDel="00000000" w:rsidR="00000000" w:rsidRPr="00000000">
        <w:rPr>
          <w:rFonts w:ascii="Arial" w:cs="Arial" w:eastAsia="Arial" w:hAnsi="Arial"/>
          <w:color w:val="000000"/>
          <w:sz w:val="24"/>
          <w:szCs w:val="24"/>
          <w:rtl w:val="0"/>
        </w:rPr>
        <w:t xml:space="preserve"> Caregivers break tasks into manageable stages, offering prompts or demonstrations when needed and gradually reducing support as residents gain confidence.</w:t>
        <w:br w:type="textWrapping"/>
      </w:r>
    </w:p>
    <w:p w:rsidR="00000000" w:rsidDel="00000000" w:rsidP="00000000" w:rsidRDefault="00000000" w:rsidRPr="00000000" w14:paraId="00000050">
      <w:pPr>
        <w:pStyle w:val="Heading2"/>
        <w:keepNext w:val="0"/>
        <w:keepLines w:val="0"/>
        <w:numPr>
          <w:ilvl w:val="0"/>
          <w:numId w:val="1"/>
        </w:numPr>
        <w:spacing w:after="0" w:afterAutospacing="0" w:before="0" w:beforeAutospacing="0" w:line="360" w:lineRule="auto"/>
        <w:ind w:left="720" w:hanging="360"/>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b w:val="1"/>
          <w:bCs w:val="1"/>
          <w:color w:val="000000"/>
          <w:sz w:val="24"/>
          <w:szCs w:val="24"/>
          <w:rtl w:val="0"/>
        </w:rPr>
        <w:t xml:space="preserve">Use of cultural and personal history:</w:t>
      </w:r>
      <w:r w:rsidDel="00000000" w:rsidR="00000000" w:rsidRPr="00000000">
        <w:rPr>
          <w:rFonts w:ascii="Arial" w:cs="Arial" w:eastAsia="Arial" w:hAnsi="Arial"/>
          <w:color w:val="000000"/>
          <w:sz w:val="24"/>
          <w:szCs w:val="24"/>
          <w:rtl w:val="0"/>
        </w:rPr>
        <w:t xml:space="preserve"> Incorporating familiar objects, songs, languages, and routines helps strengthen memory and stimulates engagement through culturally meaningful experiences.</w:t>
        <w:br w:type="textWrapping"/>
      </w:r>
    </w:p>
    <w:p w:rsidR="00000000" w:rsidDel="00000000" w:rsidP="00000000" w:rsidRDefault="00000000" w:rsidRPr="00000000" w14:paraId="00000051">
      <w:pPr>
        <w:pStyle w:val="Heading2"/>
        <w:keepNext w:val="0"/>
        <w:keepLines w:val="0"/>
        <w:numPr>
          <w:ilvl w:val="0"/>
          <w:numId w:val="1"/>
        </w:numPr>
        <w:spacing w:after="240" w:before="0" w:beforeAutospacing="0" w:line="360" w:lineRule="auto"/>
        <w:ind w:left="720" w:hanging="360"/>
        <w:rPr>
          <w:rFonts w:ascii="Arial" w:cs="Arial" w:eastAsia="Arial" w:hAnsi="Arial"/>
          <w:color w:val="000000"/>
          <w:sz w:val="24"/>
          <w:szCs w:val="24"/>
        </w:rPr>
      </w:pPr>
      <w:bookmarkStart w:colFirst="0" w:colLast="0" w:name="_o95bxwils50t" w:id="28"/>
      <w:bookmarkEnd w:id="28"/>
      <w:r w:rsidDel="00000000" w:rsidR="00000000" w:rsidRPr="00000000">
        <w:rPr>
          <w:rFonts w:ascii="Arial" w:cs="Arial" w:eastAsia="Arial" w:hAnsi="Arial"/>
          <w:b w:val="1"/>
          <w:bCs w:val="1"/>
          <w:color w:val="000000"/>
          <w:sz w:val="24"/>
          <w:szCs w:val="24"/>
          <w:rtl w:val="0"/>
        </w:rPr>
        <w:t xml:space="preserve">Collaborative problem-solving:</w:t>
      </w:r>
      <w:r w:rsidDel="00000000" w:rsidR="00000000" w:rsidRPr="00000000">
        <w:rPr>
          <w:rFonts w:ascii="Arial" w:cs="Arial" w:eastAsia="Arial" w:hAnsi="Arial"/>
          <w:color w:val="000000"/>
          <w:sz w:val="24"/>
          <w:szCs w:val="24"/>
          <w:rtl w:val="0"/>
        </w:rPr>
        <w:t xml:space="preserve"> Staff and residents work together on simple activities—such as puzzles, gardening, or arts and crafts—promoting shared participation and reducing frustration.</w:t>
        <w:br w:type="textWrapping"/>
      </w:r>
    </w:p>
    <w:p w:rsidR="00000000" w:rsidDel="00000000" w:rsidP="00000000" w:rsidRDefault="00000000" w:rsidRPr="00000000" w14:paraId="00000052">
      <w:pPr>
        <w:pStyle w:val="Heading2"/>
        <w:keepNext w:val="0"/>
        <w:keepLines w:val="0"/>
        <w:spacing w:before="360" w:line="360" w:lineRule="auto"/>
        <w:rPr>
          <w:rFonts w:ascii="Arial" w:cs="Arial" w:eastAsia="Arial" w:hAnsi="Arial"/>
          <w:color w:val="000000"/>
          <w:sz w:val="24"/>
          <w:szCs w:val="24"/>
        </w:rPr>
      </w:pPr>
      <w:bookmarkStart w:colFirst="0" w:colLast="0" w:name="_o95bxwils50t" w:id="28"/>
      <w:bookmarkEnd w:id="2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3"/>
        <w:keepNext w:val="0"/>
        <w:keepLines w:val="0"/>
        <w:spacing w:before="280" w:line="360" w:lineRule="auto"/>
        <w:rPr>
          <w:rFonts w:ascii="Arial" w:cs="Arial" w:eastAsia="Arial" w:hAnsi="Arial"/>
          <w:color w:val="000000"/>
          <w:sz w:val="24"/>
          <w:szCs w:val="24"/>
        </w:rPr>
      </w:pPr>
      <w:bookmarkStart w:colFirst="0" w:colLast="0" w:name="_crs5jhq6ecsk" w:id="31"/>
      <w:bookmarkEnd w:id="31"/>
      <w:r w:rsidDel="00000000" w:rsidR="00000000" w:rsidRPr="00000000">
        <w:rPr>
          <w:rtl w:val="0"/>
        </w:rPr>
      </w:r>
    </w:p>
    <w:p w:rsidR="00000000" w:rsidDel="00000000" w:rsidP="00000000" w:rsidRDefault="00000000" w:rsidRPr="00000000" w14:paraId="00000054">
      <w:pPr>
        <w:pStyle w:val="Heading3"/>
        <w:keepNext w:val="0"/>
        <w:keepLines w:val="0"/>
        <w:spacing w:before="280" w:line="360" w:lineRule="auto"/>
        <w:rPr>
          <w:rFonts w:ascii="Arial" w:cs="Arial" w:eastAsia="Arial" w:hAnsi="Arial"/>
          <w:color w:val="000000"/>
          <w:sz w:val="24"/>
          <w:szCs w:val="24"/>
        </w:rPr>
      </w:pPr>
      <w:bookmarkStart w:colFirst="0" w:colLast="0" w:name="_s3nxnhcbkqmt" w:id="32"/>
      <w:bookmarkEnd w:id="32"/>
      <w:r w:rsidDel="00000000" w:rsidR="00000000" w:rsidRPr="00000000">
        <w:rPr>
          <w:rtl w:val="0"/>
        </w:rPr>
      </w:r>
    </w:p>
    <w:p w:rsidR="00000000" w:rsidDel="00000000" w:rsidP="00000000" w:rsidRDefault="00000000" w:rsidRPr="00000000" w14:paraId="00000055">
      <w:pPr>
        <w:pStyle w:val="Heading3"/>
        <w:keepNext w:val="0"/>
        <w:keepLines w:val="0"/>
        <w:spacing w:before="280" w:line="360" w:lineRule="auto"/>
        <w:rPr>
          <w:rFonts w:ascii="Arial" w:cs="Arial" w:eastAsia="Arial" w:hAnsi="Arial"/>
          <w:color w:val="000000"/>
          <w:sz w:val="24"/>
          <w:szCs w:val="24"/>
        </w:rPr>
      </w:pPr>
      <w:bookmarkStart w:colFirst="0" w:colLast="0" w:name="_626dfyael9uc" w:id="33"/>
      <w:bookmarkEnd w:id="33"/>
      <w:r w:rsidDel="00000000" w:rsidR="00000000" w:rsidRPr="00000000">
        <w:rPr>
          <w:rtl w:val="0"/>
        </w:rPr>
      </w:r>
    </w:p>
    <w:p w:rsidR="00000000" w:rsidDel="00000000" w:rsidP="00000000" w:rsidRDefault="00000000" w:rsidRPr="00000000" w14:paraId="00000056">
      <w:pPr>
        <w:pStyle w:val="Heading3"/>
        <w:keepNext w:val="0"/>
        <w:keepLines w:val="0"/>
        <w:spacing w:before="280" w:line="360" w:lineRule="auto"/>
        <w:rPr>
          <w:rFonts w:ascii="Arial" w:cs="Arial" w:eastAsia="Arial" w:hAnsi="Arial"/>
          <w:b w:val="1"/>
          <w:bCs w:val="1"/>
          <w:color w:val="000000"/>
          <w:sz w:val="26"/>
          <w:szCs w:val="26"/>
        </w:rPr>
      </w:pPr>
      <w:bookmarkStart w:colFirst="0" w:colLast="0" w:name="_ul04v8p0c757" w:id="34"/>
      <w:bookmarkEnd w:id="34"/>
      <w:r w:rsidDel="00000000" w:rsidR="00000000" w:rsidRPr="00000000">
        <w:rPr>
          <w:rFonts w:ascii="Arial" w:cs="Arial" w:eastAsia="Arial" w:hAnsi="Arial"/>
          <w:color w:val="000000"/>
          <w:sz w:val="24"/>
          <w:szCs w:val="24"/>
          <w:rtl w:val="0"/>
        </w:rPr>
        <w:t xml:space="preserve">3.3 </w:t>
      </w:r>
      <w:r w:rsidDel="00000000" w:rsidR="00000000" w:rsidRPr="00000000">
        <w:rPr>
          <w:rFonts w:ascii="Arial" w:cs="Arial" w:eastAsia="Arial" w:hAnsi="Arial"/>
          <w:b w:val="1"/>
          <w:bCs w:val="1"/>
          <w:color w:val="000000"/>
          <w:sz w:val="26"/>
          <w:szCs w:val="26"/>
          <w:rtl w:val="0"/>
        </w:rPr>
        <w:t xml:space="preserve">Challenges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spacing w:after="240" w:before="240" w:lineRule="auto"/>
        <w:rPr>
          <w:rFonts w:ascii="Arial" w:cs="Arial" w:eastAsia="Arial" w:hAnsi="Arial"/>
          <w:color w:val="000000"/>
          <w:sz w:val="24"/>
          <w:szCs w:val="24"/>
        </w:rPr>
      </w:pPr>
      <w:r w:rsidDel="00000000" w:rsidR="00000000" w:rsidRPr="00000000">
        <w:rPr>
          <w:rtl w:val="0"/>
        </w:rPr>
        <w:t xml:space="preserve">Applying Vygotsky’s Sociocultural Theory in dementia care homes is challenging due to residents’ declining and fluctuating cognitive abilities, which can limit their responsiveness to guided support. Staff shortages and limited time reduce opportunities for personalised engagement, while insufficient training may hinder effective use of scaffolding techniques. Additionally, overstimulating or distracting </w:t>
      </w:r>
      <w:r w:rsidDel="00000000" w:rsidR="00000000" w:rsidRPr="00000000">
        <w:rPr>
          <w:rFonts w:ascii="Arial" w:cs="Arial" w:eastAsia="Arial" w:hAnsi="Arial"/>
          <w:color w:val="000000"/>
          <w:sz w:val="24"/>
          <w:szCs w:val="24"/>
          <w:rtl w:val="0"/>
        </w:rPr>
        <w:br w:type="textWrapping"/>
      </w:r>
    </w:p>
    <w:p w:rsidR="00000000" w:rsidDel="00000000" w:rsidP="00000000" w:rsidRDefault="00000000" w:rsidRPr="00000000" w14:paraId="00000059">
      <w:pPr>
        <w:pStyle w:val="Heading2"/>
        <w:keepNext w:val="0"/>
        <w:keepLines w:val="0"/>
        <w:spacing w:before="360" w:line="360" w:lineRule="auto"/>
        <w:rPr>
          <w:rFonts w:ascii="Arial" w:cs="Arial" w:eastAsia="Arial" w:hAnsi="Arial"/>
          <w:color w:val="000000"/>
          <w:sz w:val="24"/>
          <w:szCs w:val="24"/>
        </w:rPr>
      </w:pPr>
      <w:bookmarkStart w:colFirst="0" w:colLast="0" w:name="_kxukixtwgnd" w:id="35"/>
      <w:bookmarkEnd w:id="35"/>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5A">
      <w:pPr>
        <w:rPr>
          <w:b w:val="1"/>
          <w:bCs w:val="1"/>
          <w:sz w:val="28"/>
          <w:szCs w:val="28"/>
        </w:rPr>
      </w:pPr>
      <w:r w:rsidDel="00000000" w:rsidR="00000000" w:rsidRPr="00000000">
        <w:rPr>
          <w:sz w:val="26"/>
          <w:szCs w:val="26"/>
          <w:rtl w:val="0"/>
        </w:rPr>
        <w:t xml:space="preserve">4. </w:t>
      </w:r>
      <w:r w:rsidDel="00000000" w:rsidR="00000000" w:rsidRPr="00000000">
        <w:rPr>
          <w:b w:val="1"/>
          <w:bCs w:val="1"/>
          <w:sz w:val="28"/>
          <w:szCs w:val="28"/>
          <w:rtl w:val="0"/>
        </w:rPr>
        <w:t xml:space="preserve">Conclusion</w:t>
      </w:r>
    </w:p>
    <w:p w:rsidR="00000000" w:rsidDel="00000000" w:rsidP="00000000" w:rsidRDefault="00000000" w:rsidRPr="00000000" w14:paraId="0000005B">
      <w:pPr>
        <w:rPr>
          <w:b w:val="1"/>
          <w:bCs w:val="1"/>
          <w:sz w:val="28"/>
          <w:szCs w:val="28"/>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In the end, understanding theories like Bowlby’s and Vygotsky’s really helps make sense of what older adults with dementia are going through and how we can support them better. These ideas remind us that people still need connection, reassurance, and meaningful interaction, no matter their age or diagnosis. By using these approaches in care homes, staff can create warmer, safer environments where residents feel understood and valued. It shows that even small changes in how we communicate and support someone can make a big difference in their daily life and wellbeing.</w:t>
      </w:r>
    </w:p>
    <w:p w:rsidR="00000000" w:rsidDel="00000000" w:rsidP="00000000" w:rsidRDefault="00000000" w:rsidRPr="00000000" w14:paraId="0000005D">
      <w:pPr>
        <w:rPr>
          <w:b w:val="1"/>
          <w:bCs w:val="1"/>
          <w:sz w:val="28"/>
          <w:szCs w:val="28"/>
        </w:rPr>
      </w:pPr>
      <w:r w:rsidDel="00000000" w:rsidR="00000000" w:rsidRPr="00000000">
        <w:rPr>
          <w:rtl w:val="0"/>
        </w:rPr>
      </w:r>
    </w:p>
    <w:p w:rsidR="00000000" w:rsidDel="00000000" w:rsidP="00000000" w:rsidRDefault="00000000" w:rsidRPr="00000000" w14:paraId="0000005E">
      <w:pPr>
        <w:rPr>
          <w:b w:val="1"/>
          <w:bCs w:val="1"/>
          <w:sz w:val="28"/>
          <w:szCs w:val="28"/>
        </w:rPr>
      </w:pPr>
      <w:r w:rsidDel="00000000" w:rsidR="00000000" w:rsidRPr="00000000">
        <w:rPr>
          <w:rtl w:val="0"/>
        </w:rPr>
      </w:r>
    </w:p>
    <w:p w:rsidR="00000000" w:rsidDel="00000000" w:rsidP="00000000" w:rsidRDefault="00000000" w:rsidRPr="00000000" w14:paraId="0000005F">
      <w:pPr>
        <w:rPr>
          <w:b w:val="1"/>
          <w:bCs w:val="1"/>
          <w:sz w:val="28"/>
          <w:szCs w:val="28"/>
        </w:rPr>
      </w:pPr>
      <w:r w:rsidDel="00000000" w:rsidR="00000000" w:rsidRPr="00000000">
        <w:rPr>
          <w:rtl w:val="0"/>
        </w:rPr>
      </w:r>
    </w:p>
    <w:p w:rsidR="00000000" w:rsidDel="00000000" w:rsidP="00000000" w:rsidRDefault="00000000" w:rsidRPr="00000000" w14:paraId="00000060">
      <w:pPr>
        <w:rPr>
          <w:b w:val="1"/>
          <w:bCs w:val="1"/>
          <w:sz w:val="28"/>
          <w:szCs w:val="28"/>
        </w:rPr>
      </w:pPr>
      <w:r w:rsidDel="00000000" w:rsidR="00000000" w:rsidRPr="00000000">
        <w:rPr>
          <w:rtl w:val="0"/>
        </w:rPr>
      </w:r>
    </w:p>
    <w:p w:rsidR="00000000" w:rsidDel="00000000" w:rsidP="00000000" w:rsidRDefault="00000000" w:rsidRPr="00000000" w14:paraId="00000061">
      <w:pPr>
        <w:rPr>
          <w:b w:val="1"/>
          <w:bCs w:val="1"/>
          <w:sz w:val="28"/>
          <w:szCs w:val="28"/>
        </w:rPr>
      </w:pPr>
      <w:r w:rsidDel="00000000" w:rsidR="00000000" w:rsidRPr="00000000">
        <w:rPr>
          <w:rtl w:val="0"/>
        </w:rPr>
      </w:r>
    </w:p>
    <w:p w:rsidR="00000000" w:rsidDel="00000000" w:rsidP="00000000" w:rsidRDefault="00000000" w:rsidRPr="00000000" w14:paraId="00000062">
      <w:pPr>
        <w:pStyle w:val="Heading2"/>
        <w:keepNext w:val="0"/>
        <w:keepLines w:val="0"/>
        <w:spacing w:before="360" w:line="360" w:lineRule="auto"/>
        <w:rPr>
          <w:rFonts w:ascii="Arial" w:cs="Arial" w:eastAsia="Arial" w:hAnsi="Arial"/>
          <w:color w:val="000000"/>
          <w:sz w:val="24"/>
          <w:szCs w:val="24"/>
        </w:rPr>
      </w:pPr>
      <w:bookmarkStart w:colFirst="0" w:colLast="0" w:name="_ufdvk2qd7d6h" w:id="36"/>
      <w:bookmarkEnd w:id="36"/>
      <w:r w:rsidDel="00000000" w:rsidR="00000000" w:rsidRPr="00000000">
        <w:rPr>
          <w:rtl w:val="0"/>
        </w:rPr>
      </w:r>
    </w:p>
    <w:p w:rsidR="00000000" w:rsidDel="00000000" w:rsidP="00000000" w:rsidRDefault="00000000" w:rsidRPr="00000000" w14:paraId="00000063">
      <w:pPr>
        <w:pStyle w:val="Heading2"/>
        <w:keepNext w:val="0"/>
        <w:keepLines w:val="0"/>
        <w:spacing w:before="360" w:line="360" w:lineRule="auto"/>
        <w:rPr>
          <w:rFonts w:ascii="Arial" w:cs="Arial" w:eastAsia="Arial" w:hAnsi="Arial"/>
          <w:color w:val="000000"/>
          <w:sz w:val="24"/>
          <w:szCs w:val="24"/>
        </w:rPr>
      </w:pPr>
      <w:bookmarkStart w:colFirst="0" w:colLast="0" w:name="_tbrem2a137rp" w:id="37"/>
      <w:bookmarkEnd w:id="37"/>
      <w:r w:rsidDel="00000000" w:rsidR="00000000" w:rsidRPr="00000000">
        <w:rPr>
          <w:rtl w:val="0"/>
        </w:rPr>
      </w:r>
    </w:p>
    <w:p w:rsidR="00000000" w:rsidDel="00000000" w:rsidP="00000000" w:rsidRDefault="00000000" w:rsidRPr="00000000" w14:paraId="00000064">
      <w:pPr>
        <w:pStyle w:val="Heading2"/>
        <w:keepNext w:val="0"/>
        <w:keepLines w:val="0"/>
        <w:spacing w:before="360" w:line="360" w:lineRule="auto"/>
        <w:rPr>
          <w:rFonts w:ascii="Arial" w:cs="Arial" w:eastAsia="Arial" w:hAnsi="Arial"/>
          <w:color w:val="000000"/>
          <w:sz w:val="24"/>
          <w:szCs w:val="24"/>
        </w:rPr>
      </w:pPr>
      <w:bookmarkStart w:colFirst="0" w:colLast="0" w:name="_96lptbop15fv" w:id="38"/>
      <w:bookmarkEnd w:id="38"/>
      <w:r w:rsidDel="00000000" w:rsidR="00000000" w:rsidRPr="00000000">
        <w:rPr>
          <w:rtl w:val="0"/>
        </w:rPr>
      </w:r>
    </w:p>
    <w:p w:rsidR="00000000" w:rsidDel="00000000" w:rsidP="00000000" w:rsidRDefault="00000000" w:rsidRPr="00000000" w14:paraId="00000065">
      <w:pPr>
        <w:pStyle w:val="Heading2"/>
        <w:keepNext w:val="0"/>
        <w:keepLines w:val="0"/>
        <w:spacing w:before="360" w:line="360" w:lineRule="auto"/>
        <w:rPr>
          <w:rFonts w:ascii="Arial" w:cs="Arial" w:eastAsia="Arial" w:hAnsi="Arial"/>
          <w:b w:val="1"/>
          <w:bCs w:val="1"/>
          <w:color w:val="000000"/>
          <w:sz w:val="34"/>
          <w:szCs w:val="34"/>
        </w:rPr>
      </w:pPr>
      <w:bookmarkStart w:colFirst="0" w:colLast="0" w:name="_3j2nd6rpof0v" w:id="39"/>
      <w:bookmarkEnd w:id="39"/>
      <w:r w:rsidDel="00000000" w:rsidR="00000000" w:rsidRPr="00000000">
        <w:rPr>
          <w:rFonts w:ascii="Arial" w:cs="Arial" w:eastAsia="Arial" w:hAnsi="Arial"/>
          <w:color w:val="000000"/>
          <w:sz w:val="24"/>
          <w:szCs w:val="24"/>
          <w:rtl w:val="0"/>
        </w:rPr>
        <w:t xml:space="preserve">5</w:t>
      </w:r>
      <w:r w:rsidDel="00000000" w:rsidR="00000000" w:rsidRPr="00000000">
        <w:rPr>
          <w:rFonts w:ascii="Arial" w:cs="Arial" w:eastAsia="Arial" w:hAnsi="Arial"/>
          <w:b w:val="1"/>
          <w:bCs w:val="1"/>
          <w:color w:val="000000"/>
          <w:sz w:val="34"/>
          <w:szCs w:val="34"/>
          <w:rtl w:val="0"/>
        </w:rPr>
        <w:t xml:space="preserve">. References</w:t>
      </w:r>
    </w:p>
    <w:p w:rsidR="00000000" w:rsidDel="00000000" w:rsidP="00000000" w:rsidRDefault="00000000" w:rsidRPr="00000000" w14:paraId="00000066">
      <w:pPr>
        <w:numPr>
          <w:ilvl w:val="0"/>
          <w:numId w:val="2"/>
        </w:numPr>
        <w:spacing w:after="0" w:afterAutospacing="0"/>
        <w:ind w:left="720" w:hanging="360"/>
        <w:rPr>
          <w:b w:val="1"/>
          <w:bCs w:val="1"/>
          <w:sz w:val="26"/>
          <w:szCs w:val="26"/>
          <w:u w:val="none"/>
        </w:rPr>
      </w:pPr>
      <w:r w:rsidDel="00000000" w:rsidR="00000000" w:rsidRPr="00000000">
        <w:rPr>
          <w:b w:val="1"/>
          <w:bCs w:val="1"/>
          <w:sz w:val="26"/>
          <w:szCs w:val="26"/>
          <w:rtl w:val="0"/>
        </w:rPr>
        <w:t xml:space="preserve">Vygotsky, L.S. (1978) </w:t>
      </w:r>
      <w:r w:rsidDel="00000000" w:rsidR="00000000" w:rsidRPr="00000000">
        <w:rPr>
          <w:b w:val="1"/>
          <w:bCs w:val="1"/>
          <w:i w:val="1"/>
          <w:iCs w:val="1"/>
          <w:sz w:val="26"/>
          <w:szCs w:val="26"/>
          <w:rtl w:val="0"/>
        </w:rPr>
        <w:t xml:space="preserve">Mind in Society: The Development of Higher Psychological Processes.</w:t>
      </w:r>
      <w:r w:rsidDel="00000000" w:rsidR="00000000" w:rsidRPr="00000000">
        <w:rPr>
          <w:b w:val="1"/>
          <w:bCs w:val="1"/>
          <w:sz w:val="26"/>
          <w:szCs w:val="26"/>
          <w:rtl w:val="0"/>
        </w:rPr>
        <w:t xml:space="preserve"> Cambridge, MA: Harvard University Press.</w:t>
        <w:br w:type="textWrapping"/>
      </w:r>
    </w:p>
    <w:p w:rsidR="00000000" w:rsidDel="00000000" w:rsidP="00000000" w:rsidRDefault="00000000" w:rsidRPr="00000000" w14:paraId="00000067">
      <w:pPr>
        <w:numPr>
          <w:ilvl w:val="0"/>
          <w:numId w:val="2"/>
        </w:numPr>
        <w:spacing w:after="0" w:afterAutospacing="0"/>
        <w:ind w:left="720" w:hanging="360"/>
        <w:rPr>
          <w:b w:val="1"/>
          <w:bCs w:val="1"/>
          <w:sz w:val="26"/>
          <w:szCs w:val="26"/>
          <w:u w:val="none"/>
        </w:rPr>
      </w:pPr>
      <w:r w:rsidDel="00000000" w:rsidR="00000000" w:rsidRPr="00000000">
        <w:rPr>
          <w:b w:val="1"/>
          <w:bCs w:val="1"/>
          <w:sz w:val="26"/>
          <w:szCs w:val="26"/>
          <w:rtl w:val="0"/>
        </w:rPr>
        <w:t xml:space="preserve">Vygotsky, L.S. (1986) </w:t>
      </w:r>
      <w:r w:rsidDel="00000000" w:rsidR="00000000" w:rsidRPr="00000000">
        <w:rPr>
          <w:b w:val="1"/>
          <w:bCs w:val="1"/>
          <w:i w:val="1"/>
          <w:iCs w:val="1"/>
          <w:sz w:val="26"/>
          <w:szCs w:val="26"/>
          <w:rtl w:val="0"/>
        </w:rPr>
        <w:t xml:space="preserve">Thought and Language.</w:t>
      </w:r>
      <w:r w:rsidDel="00000000" w:rsidR="00000000" w:rsidRPr="00000000">
        <w:rPr>
          <w:b w:val="1"/>
          <w:bCs w:val="1"/>
          <w:sz w:val="26"/>
          <w:szCs w:val="26"/>
          <w:rtl w:val="0"/>
        </w:rPr>
        <w:t xml:space="preserve"> Cambridge, MA: MIT Press.</w:t>
      </w:r>
    </w:p>
    <w:p w:rsidR="00000000" w:rsidDel="00000000" w:rsidP="00000000" w:rsidRDefault="00000000" w:rsidRPr="00000000" w14:paraId="00000068">
      <w:pPr>
        <w:numPr>
          <w:ilvl w:val="0"/>
          <w:numId w:val="5"/>
        </w:numPr>
        <w:spacing w:after="0" w:afterAutospacing="0"/>
        <w:ind w:left="720" w:hanging="360"/>
        <w:rPr>
          <w:b w:val="1"/>
          <w:bCs w:val="1"/>
          <w:sz w:val="26"/>
          <w:szCs w:val="26"/>
          <w:u w:val="none"/>
        </w:rPr>
      </w:pPr>
      <w:r w:rsidDel="00000000" w:rsidR="00000000" w:rsidRPr="00000000">
        <w:rPr>
          <w:b w:val="1"/>
          <w:bCs w:val="1"/>
          <w:sz w:val="26"/>
          <w:szCs w:val="26"/>
          <w:rtl w:val="0"/>
        </w:rPr>
        <w:t xml:space="preserve">Daniels, H. (2001) </w:t>
      </w:r>
      <w:r w:rsidDel="00000000" w:rsidR="00000000" w:rsidRPr="00000000">
        <w:rPr>
          <w:b w:val="1"/>
          <w:bCs w:val="1"/>
          <w:i w:val="1"/>
          <w:iCs w:val="1"/>
          <w:sz w:val="26"/>
          <w:szCs w:val="26"/>
          <w:rtl w:val="0"/>
        </w:rPr>
        <w:t xml:space="preserve">Vygotsky and Pedagogy.</w:t>
      </w:r>
      <w:r w:rsidDel="00000000" w:rsidR="00000000" w:rsidRPr="00000000">
        <w:rPr>
          <w:b w:val="1"/>
          <w:bCs w:val="1"/>
          <w:sz w:val="26"/>
          <w:szCs w:val="26"/>
          <w:rtl w:val="0"/>
        </w:rPr>
        <w:t xml:space="preserve"> London: Routledge.</w:t>
        <w:br w:type="textWrapping"/>
      </w:r>
    </w:p>
    <w:p w:rsidR="00000000" w:rsidDel="00000000" w:rsidP="00000000" w:rsidRDefault="00000000" w:rsidRPr="00000000" w14:paraId="00000069">
      <w:pPr>
        <w:numPr>
          <w:ilvl w:val="0"/>
          <w:numId w:val="5"/>
        </w:numPr>
        <w:spacing w:after="0" w:afterAutospacing="0"/>
        <w:ind w:left="720" w:hanging="360"/>
        <w:rPr>
          <w:b w:val="1"/>
          <w:bCs w:val="1"/>
          <w:sz w:val="26"/>
          <w:szCs w:val="26"/>
          <w:u w:val="none"/>
        </w:rPr>
      </w:pPr>
      <w:r w:rsidDel="00000000" w:rsidR="00000000" w:rsidRPr="00000000">
        <w:rPr>
          <w:b w:val="1"/>
          <w:bCs w:val="1"/>
          <w:sz w:val="26"/>
          <w:szCs w:val="26"/>
          <w:rtl w:val="0"/>
        </w:rPr>
        <w:t xml:space="preserve">Wertsch, J.V. (1991) </w:t>
      </w:r>
      <w:r w:rsidDel="00000000" w:rsidR="00000000" w:rsidRPr="00000000">
        <w:rPr>
          <w:b w:val="1"/>
          <w:bCs w:val="1"/>
          <w:i w:val="1"/>
          <w:iCs w:val="1"/>
          <w:sz w:val="26"/>
          <w:szCs w:val="26"/>
          <w:rtl w:val="0"/>
        </w:rPr>
        <w:t xml:space="preserve">Voices of the Mind: A Sociocultural Approach to Mediated Action.</w:t>
      </w:r>
      <w:r w:rsidDel="00000000" w:rsidR="00000000" w:rsidRPr="00000000">
        <w:rPr>
          <w:b w:val="1"/>
          <w:bCs w:val="1"/>
          <w:sz w:val="26"/>
          <w:szCs w:val="26"/>
          <w:rtl w:val="0"/>
        </w:rPr>
        <w:t xml:space="preserve"> Cambridge, MA: Harvard University Press.</w:t>
      </w:r>
      <w:r w:rsidDel="00000000" w:rsidR="00000000" w:rsidRPr="00000000">
        <w:rPr>
          <w:rtl w:val="0"/>
        </w:rPr>
      </w:r>
    </w:p>
    <w:p w:rsidR="00000000" w:rsidDel="00000000" w:rsidP="00000000" w:rsidRDefault="00000000" w:rsidRPr="00000000" w14:paraId="0000006A">
      <w:pPr>
        <w:numPr>
          <w:ilvl w:val="0"/>
          <w:numId w:val="4"/>
        </w:numPr>
        <w:spacing w:after="0" w:afterAutospacing="0" w:before="0" w:beforeAutospacing="0" w:line="360" w:lineRule="auto"/>
        <w:ind w:left="720" w:hanging="360"/>
        <w:rPr>
          <w:rFonts w:ascii="Arial" w:cs="Arial" w:eastAsia="Arial" w:hAnsi="Arial"/>
          <w:b w:val="1"/>
          <w:bCs w:val="1"/>
          <w:sz w:val="28"/>
          <w:szCs w:val="28"/>
          <w:u w:val="none"/>
        </w:rPr>
      </w:pPr>
      <w:r w:rsidDel="00000000" w:rsidR="00000000" w:rsidRPr="00000000">
        <w:rPr>
          <w:rFonts w:ascii="Arial" w:cs="Arial" w:eastAsia="Arial" w:hAnsi="Arial"/>
          <w:b w:val="1"/>
          <w:bCs w:val="1"/>
          <w:sz w:val="28"/>
          <w:szCs w:val="28"/>
          <w:rtl w:val="0"/>
        </w:rPr>
        <w:t xml:space="preserve">Bowlby, J. (1988). </w:t>
      </w:r>
      <w:r w:rsidDel="00000000" w:rsidR="00000000" w:rsidRPr="00000000">
        <w:rPr>
          <w:rFonts w:ascii="Arial" w:cs="Arial" w:eastAsia="Arial" w:hAnsi="Arial"/>
          <w:b w:val="1"/>
          <w:bCs w:val="1"/>
          <w:i w:val="1"/>
          <w:iCs w:val="1"/>
          <w:sz w:val="28"/>
          <w:szCs w:val="28"/>
          <w:rtl w:val="0"/>
        </w:rPr>
        <w:t xml:space="preserve">A Secure Base: Parent-Child Attachment   and Healthy Human Development</w:t>
      </w:r>
      <w:r w:rsidDel="00000000" w:rsidR="00000000" w:rsidRPr="00000000">
        <w:rPr>
          <w:rFonts w:ascii="Arial" w:cs="Arial" w:eastAsia="Arial" w:hAnsi="Arial"/>
          <w:b w:val="1"/>
          <w:bCs w:val="1"/>
          <w:sz w:val="28"/>
          <w:szCs w:val="28"/>
          <w:rtl w:val="0"/>
        </w:rPr>
        <w:t xml:space="preserve">. Routledge. </w:t>
      </w:r>
    </w:p>
    <w:p w:rsidR="00000000" w:rsidDel="00000000" w:rsidP="00000000" w:rsidRDefault="00000000" w:rsidRPr="00000000" w14:paraId="0000006B">
      <w:pPr>
        <w:numPr>
          <w:ilvl w:val="0"/>
          <w:numId w:val="4"/>
        </w:numPr>
        <w:spacing w:after="0" w:afterAutospacing="0" w:before="0" w:beforeAutospacing="0" w:line="360" w:lineRule="auto"/>
        <w:ind w:left="720" w:hanging="360"/>
        <w:rPr>
          <w:rFonts w:ascii="Arial" w:cs="Arial" w:eastAsia="Arial" w:hAnsi="Arial"/>
          <w:b w:val="1"/>
          <w:bCs w:val="1"/>
          <w:sz w:val="28"/>
          <w:szCs w:val="28"/>
          <w:u w:val="none"/>
        </w:rPr>
      </w:pPr>
      <w:r w:rsidDel="00000000" w:rsidR="00000000" w:rsidRPr="00000000">
        <w:rPr>
          <w:rFonts w:ascii="Arial" w:cs="Arial" w:eastAsia="Arial" w:hAnsi="Arial"/>
          <w:b w:val="1"/>
          <w:bCs w:val="1"/>
          <w:sz w:val="28"/>
          <w:szCs w:val="28"/>
          <w:rtl w:val="0"/>
        </w:rPr>
        <w:t xml:space="preserve">Ingersoll-Dayton, B., &amp; Saengtienchai, C. (2019). Attachment in older adulthood. </w:t>
      </w:r>
      <w:r w:rsidDel="00000000" w:rsidR="00000000" w:rsidRPr="00000000">
        <w:rPr>
          <w:rFonts w:ascii="Arial" w:cs="Arial" w:eastAsia="Arial" w:hAnsi="Arial"/>
          <w:b w:val="1"/>
          <w:bCs w:val="1"/>
          <w:i w:val="1"/>
          <w:iCs w:val="1"/>
          <w:sz w:val="28"/>
          <w:szCs w:val="28"/>
          <w:rtl w:val="0"/>
        </w:rPr>
        <w:t xml:space="preserve">Gerontology</w:t>
      </w:r>
      <w:r w:rsidDel="00000000" w:rsidR="00000000" w:rsidRPr="00000000">
        <w:rPr>
          <w:rFonts w:ascii="Arial" w:cs="Arial" w:eastAsia="Arial" w:hAnsi="Arial"/>
          <w:b w:val="1"/>
          <w:bCs w:val="1"/>
          <w:sz w:val="28"/>
          <w:szCs w:val="28"/>
          <w:rtl w:val="0"/>
        </w:rPr>
        <w:t xml:space="preserve">, 65(6), 635–644. . Routledge. </w:t>
      </w:r>
    </w:p>
    <w:p w:rsidR="00000000" w:rsidDel="00000000" w:rsidP="00000000" w:rsidRDefault="00000000" w:rsidRPr="00000000" w14:paraId="0000006C">
      <w:pPr>
        <w:numPr>
          <w:ilvl w:val="0"/>
          <w:numId w:val="4"/>
        </w:numPr>
        <w:spacing w:after="240" w:before="0" w:beforeAutospacing="0" w:line="360" w:lineRule="auto"/>
        <w:ind w:left="720" w:hanging="360"/>
        <w:rPr>
          <w:rFonts w:ascii="Arial" w:cs="Arial" w:eastAsia="Arial" w:hAnsi="Arial"/>
          <w:b w:val="1"/>
          <w:bCs w:val="1"/>
          <w:sz w:val="28"/>
          <w:szCs w:val="28"/>
          <w:u w:val="none"/>
        </w:rPr>
      </w:pPr>
      <w:r w:rsidDel="00000000" w:rsidR="00000000" w:rsidRPr="00000000">
        <w:rPr>
          <w:rFonts w:ascii="Arial" w:cs="Arial" w:eastAsia="Arial" w:hAnsi="Arial"/>
          <w:b w:val="1"/>
          <w:bCs w:val="1"/>
          <w:sz w:val="28"/>
          <w:szCs w:val="28"/>
          <w:rtl w:val="0"/>
        </w:rPr>
        <w:t xml:space="preserve">Sabat, S. (2020). </w:t>
      </w:r>
      <w:r w:rsidDel="00000000" w:rsidR="00000000" w:rsidRPr="00000000">
        <w:rPr>
          <w:rFonts w:ascii="Arial" w:cs="Arial" w:eastAsia="Arial" w:hAnsi="Arial"/>
          <w:b w:val="1"/>
          <w:bCs w:val="1"/>
          <w:i w:val="1"/>
          <w:iCs w:val="1"/>
          <w:sz w:val="28"/>
          <w:szCs w:val="28"/>
          <w:rtl w:val="0"/>
        </w:rPr>
        <w:t xml:space="preserve">Alzheimer’s Disease and Dementia: A Practical Guide for Caregivers</w:t>
      </w:r>
      <w:r w:rsidDel="00000000" w:rsidR="00000000" w:rsidRPr="00000000">
        <w:rPr>
          <w:rFonts w:ascii="Arial" w:cs="Arial" w:eastAsia="Arial" w:hAnsi="Arial"/>
          <w:b w:val="1"/>
          <w:bCs w:val="1"/>
          <w:sz w:val="28"/>
          <w:szCs w:val="28"/>
          <w:rtl w:val="0"/>
        </w:rPr>
        <w:t xml:space="preserve">. Oxford University Press.</w:t>
      </w:r>
    </w:p>
    <w:p w:rsidR="00000000" w:rsidDel="00000000" w:rsidP="00000000" w:rsidRDefault="00000000" w:rsidRPr="00000000" w14:paraId="0000006D">
      <w:pPr>
        <w:spacing w:after="240" w:before="24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br w:type="textWrapping"/>
        <w:t xml:space="preserve"> </w:t>
      </w:r>
    </w:p>
    <w:p w:rsidR="00000000" w:rsidDel="00000000" w:rsidP="00000000" w:rsidRDefault="00000000" w:rsidRPr="00000000" w14:paraId="0000006E">
      <w:pPr>
        <w:spacing w:after="280" w:before="280" w:line="36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6F">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0">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1">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2">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3">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4">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5">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6">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7">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8">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9">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A">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B">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C">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D">
      <w:pPr>
        <w:spacing w:after="280" w:before="280" w:line="36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7E">
      <w:pPr>
        <w:spacing w:after="280" w:before="280" w:line="360" w:lineRule="auto"/>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07F">
      <w:pPr>
        <w:spacing w:after="280" w:before="280"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0">
      <w:pPr>
        <w:spacing w:after="0"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1">
      <w:pPr>
        <w:spacing w:after="0"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2">
      <w:pPr>
        <w:spacing w:after="0"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3">
      <w:pPr>
        <w:spacing w:after="0"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4">
      <w:pPr>
        <w:spacing w:after="0" w:line="360" w:lineRule="auto"/>
        <w:rPr>
          <w:rFonts w:ascii="Arial" w:cs="Arial" w:eastAsia="Arial" w:hAnsi="Arial"/>
          <w:color w:val="ee0000"/>
          <w:sz w:val="28"/>
          <w:szCs w:val="28"/>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spacing w:after="240" w:before="240" w:line="360" w:lineRule="auto"/>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