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A381D" w14:textId="31226402" w:rsidR="00545F9A" w:rsidRPr="002C415D" w:rsidRDefault="00545F9A" w:rsidP="005B1F3E">
      <w:pPr>
        <w:pStyle w:val="NoSpacing"/>
        <w:rPr>
          <w:sz w:val="24"/>
        </w:rPr>
      </w:pPr>
      <w:r w:rsidRPr="002C415D">
        <w:rPr>
          <w:sz w:val="24"/>
        </w:rPr>
        <w:t>Imagination and freedom: exploring the concept of confinement in nineteenth century literature</w:t>
      </w:r>
    </w:p>
    <w:p w14:paraId="2F1E5BD8" w14:textId="794E8D5A" w:rsidR="00BB3AFC" w:rsidRPr="002C415D" w:rsidRDefault="00BB3AFC" w:rsidP="00894864">
      <w:pPr>
        <w:pStyle w:val="NoSpacing"/>
        <w:rPr>
          <w:sz w:val="24"/>
        </w:rPr>
      </w:pPr>
    </w:p>
    <w:p w14:paraId="0F6552C0" w14:textId="77777777" w:rsidR="003643AE" w:rsidRPr="002C415D" w:rsidRDefault="003643AE" w:rsidP="003643AE">
      <w:pPr>
        <w:pStyle w:val="NoSpacing"/>
        <w:rPr>
          <w:sz w:val="24"/>
        </w:rPr>
      </w:pPr>
    </w:p>
    <w:p w14:paraId="2664AF4E" w14:textId="66D3252F" w:rsidR="003643AE" w:rsidRPr="002C415D" w:rsidRDefault="003643AE" w:rsidP="003643AE">
      <w:pPr>
        <w:pStyle w:val="NoSpacing"/>
        <w:rPr>
          <w:sz w:val="24"/>
        </w:rPr>
      </w:pPr>
      <w:r w:rsidRPr="002C415D">
        <w:rPr>
          <w:sz w:val="24"/>
        </w:rPr>
        <w:t xml:space="preserve">The nineteenth century played a significant role in the changing narrative and the types of literature that were presented. </w:t>
      </w:r>
      <w:r w:rsidR="00B85EFB" w:rsidRPr="002C415D">
        <w:rPr>
          <w:sz w:val="24"/>
        </w:rPr>
        <w:t>T</w:t>
      </w:r>
      <w:r w:rsidRPr="002C415D">
        <w:rPr>
          <w:sz w:val="24"/>
        </w:rPr>
        <w:t>he Romantic period occurred as a reaction to the rationalism seen in</w:t>
      </w:r>
      <w:r w:rsidR="00B85EFB" w:rsidRPr="002C415D">
        <w:rPr>
          <w:sz w:val="24"/>
        </w:rPr>
        <w:t xml:space="preserve"> eighteenth century</w:t>
      </w:r>
      <w:r w:rsidRPr="002C415D">
        <w:rPr>
          <w:sz w:val="24"/>
        </w:rPr>
        <w:t xml:space="preserve"> novels such as </w:t>
      </w:r>
      <w:r w:rsidRPr="002C415D">
        <w:rPr>
          <w:i/>
          <w:sz w:val="24"/>
        </w:rPr>
        <w:t>Pamela</w:t>
      </w:r>
      <w:r w:rsidRPr="002C415D">
        <w:rPr>
          <w:sz w:val="24"/>
        </w:rPr>
        <w:t xml:space="preserve"> and political texts like </w:t>
      </w:r>
      <w:r w:rsidRPr="002C415D">
        <w:rPr>
          <w:i/>
          <w:sz w:val="24"/>
        </w:rPr>
        <w:t>A Modest Proposal</w:t>
      </w:r>
      <w:r w:rsidRPr="002C415D">
        <w:rPr>
          <w:sz w:val="24"/>
        </w:rPr>
        <w:t xml:space="preserve">. The nineteenth century was a time of social change with </w:t>
      </w:r>
      <w:r w:rsidR="00000E10" w:rsidRPr="002C415D">
        <w:rPr>
          <w:sz w:val="24"/>
        </w:rPr>
        <w:t>an increased</w:t>
      </w:r>
      <w:r w:rsidRPr="002C415D">
        <w:rPr>
          <w:sz w:val="24"/>
        </w:rPr>
        <w:t xml:space="preserve"> awareness of restrictions in gender, race and class, with a particular focus on</w:t>
      </w:r>
      <w:r w:rsidR="00000E10" w:rsidRPr="002C415D">
        <w:rPr>
          <w:sz w:val="24"/>
        </w:rPr>
        <w:t xml:space="preserve"> the</w:t>
      </w:r>
      <w:r w:rsidRPr="002C415D">
        <w:rPr>
          <w:sz w:val="24"/>
        </w:rPr>
        <w:t xml:space="preserve"> abolitionist movement to end slavery. The growing influence of the British Empire had an impact on </w:t>
      </w:r>
      <w:r w:rsidR="00000E10" w:rsidRPr="002C415D">
        <w:rPr>
          <w:sz w:val="24"/>
        </w:rPr>
        <w:t>which</w:t>
      </w:r>
      <w:r w:rsidRPr="002C415D">
        <w:rPr>
          <w:sz w:val="24"/>
        </w:rPr>
        <w:t xml:space="preserve"> values were viewed as important and it created a desire for people to be seen as social perfection. In this essay I will be exploring these issues in context to </w:t>
      </w:r>
      <w:r w:rsidRPr="002C415D">
        <w:rPr>
          <w:i/>
          <w:sz w:val="24"/>
        </w:rPr>
        <w:t>Alice’s Adventures in Wonderland</w:t>
      </w:r>
      <w:r w:rsidRPr="002C415D">
        <w:rPr>
          <w:sz w:val="24"/>
        </w:rPr>
        <w:t xml:space="preserve"> and </w:t>
      </w:r>
      <w:r w:rsidRPr="002C415D">
        <w:rPr>
          <w:i/>
          <w:sz w:val="24"/>
        </w:rPr>
        <w:t>The Strange Case of D</w:t>
      </w:r>
      <w:r w:rsidR="00BF2C56">
        <w:rPr>
          <w:i/>
          <w:sz w:val="24"/>
        </w:rPr>
        <w:t>r</w:t>
      </w:r>
      <w:bookmarkStart w:id="0" w:name="_GoBack"/>
      <w:bookmarkEnd w:id="0"/>
      <w:r w:rsidRPr="002C415D">
        <w:rPr>
          <w:i/>
          <w:sz w:val="24"/>
        </w:rPr>
        <w:t xml:space="preserve"> Jekyll and Mr Hyde</w:t>
      </w:r>
      <w:r w:rsidRPr="002C415D">
        <w:rPr>
          <w:sz w:val="24"/>
        </w:rPr>
        <w:t xml:space="preserve">. </w:t>
      </w:r>
      <w:r w:rsidR="00C71462" w:rsidRPr="002C415D">
        <w:rPr>
          <w:sz w:val="24"/>
        </w:rPr>
        <w:t xml:space="preserve">My thesis is that social issues such as gender restrictions, violence and the importance of appearances had a confining impact on the mind and body, seen both in childhood and adulthood. This will be explored with the notion that to a certain extent these restrictions can be escaped through imagination and exploration of the self. </w:t>
      </w:r>
    </w:p>
    <w:p w14:paraId="171567B4" w14:textId="2B38352A" w:rsidR="007936C0" w:rsidRPr="002C415D" w:rsidRDefault="007936C0" w:rsidP="003643AE">
      <w:pPr>
        <w:pStyle w:val="NoSpacing"/>
        <w:rPr>
          <w:sz w:val="24"/>
        </w:rPr>
      </w:pPr>
    </w:p>
    <w:p w14:paraId="31687A21" w14:textId="47CE0D52" w:rsidR="009D390B" w:rsidRPr="002C415D" w:rsidRDefault="007936C0" w:rsidP="003643AE">
      <w:pPr>
        <w:pStyle w:val="NoSpacing"/>
        <w:rPr>
          <w:sz w:val="24"/>
        </w:rPr>
      </w:pPr>
      <w:r w:rsidRPr="002C415D">
        <w:rPr>
          <w:i/>
          <w:sz w:val="24"/>
        </w:rPr>
        <w:t>Alice’s Adventures in Wonderland</w:t>
      </w:r>
      <w:r w:rsidRPr="002C415D">
        <w:rPr>
          <w:sz w:val="24"/>
        </w:rPr>
        <w:t xml:space="preserve"> depicts female gender inequality </w:t>
      </w:r>
      <w:r w:rsidR="00950F5B" w:rsidRPr="002C415D">
        <w:rPr>
          <w:sz w:val="24"/>
        </w:rPr>
        <w:t xml:space="preserve">which is </w:t>
      </w:r>
      <w:r w:rsidRPr="002C415D">
        <w:rPr>
          <w:sz w:val="24"/>
        </w:rPr>
        <w:t xml:space="preserve">pressurised onto young children. </w:t>
      </w:r>
      <w:r w:rsidR="00962C2B" w:rsidRPr="002C415D">
        <w:rPr>
          <w:sz w:val="24"/>
        </w:rPr>
        <w:t xml:space="preserve">This restricts their </w:t>
      </w:r>
      <w:r w:rsidR="00127737" w:rsidRPr="002C415D">
        <w:rPr>
          <w:sz w:val="24"/>
        </w:rPr>
        <w:t>childhood freedom</w:t>
      </w:r>
      <w:r w:rsidR="00962C2B" w:rsidRPr="002C415D">
        <w:rPr>
          <w:sz w:val="24"/>
        </w:rPr>
        <w:t xml:space="preserve"> by</w:t>
      </w:r>
      <w:r w:rsidR="00127737" w:rsidRPr="002C415D">
        <w:rPr>
          <w:sz w:val="24"/>
        </w:rPr>
        <w:t xml:space="preserve"> controlling and</w:t>
      </w:r>
      <w:r w:rsidR="00962C2B" w:rsidRPr="002C415D">
        <w:rPr>
          <w:sz w:val="24"/>
        </w:rPr>
        <w:t xml:space="preserve"> moulding the child into a symbol of perfection in preparation for adulthood. </w:t>
      </w:r>
      <w:r w:rsidRPr="002C415D">
        <w:rPr>
          <w:sz w:val="24"/>
        </w:rPr>
        <w:t>Alice’s experience with her growing body and mind s</w:t>
      </w:r>
      <w:r w:rsidR="002D3670" w:rsidRPr="002C415D">
        <w:rPr>
          <w:sz w:val="24"/>
        </w:rPr>
        <w:t xml:space="preserve">hows the increasing awareness of </w:t>
      </w:r>
      <w:r w:rsidR="00962C2B" w:rsidRPr="002C415D">
        <w:rPr>
          <w:sz w:val="24"/>
        </w:rPr>
        <w:t>the importance of the child</w:t>
      </w:r>
      <w:r w:rsidR="002D3670" w:rsidRPr="002C415D">
        <w:rPr>
          <w:sz w:val="24"/>
        </w:rPr>
        <w:t xml:space="preserve"> in the nineteenth century. Carroll </w:t>
      </w:r>
      <w:r w:rsidRPr="002C415D">
        <w:rPr>
          <w:sz w:val="24"/>
        </w:rPr>
        <w:t>parallel</w:t>
      </w:r>
      <w:r w:rsidR="002D3670" w:rsidRPr="002C415D">
        <w:rPr>
          <w:sz w:val="24"/>
        </w:rPr>
        <w:t>s this change with</w:t>
      </w:r>
      <w:r w:rsidRPr="002C415D">
        <w:rPr>
          <w:sz w:val="24"/>
        </w:rPr>
        <w:t xml:space="preserve"> Alice’s journey through Wonderland</w:t>
      </w:r>
      <w:r w:rsidR="002D3670" w:rsidRPr="002C415D">
        <w:rPr>
          <w:sz w:val="24"/>
        </w:rPr>
        <w:t xml:space="preserve"> where she explores new perspectives</w:t>
      </w:r>
      <w:r w:rsidR="00473E79" w:rsidRPr="002C415D">
        <w:rPr>
          <w:sz w:val="24"/>
        </w:rPr>
        <w:t xml:space="preserve"> which are different </w:t>
      </w:r>
      <w:r w:rsidR="002D3670" w:rsidRPr="002C415D">
        <w:rPr>
          <w:sz w:val="24"/>
        </w:rPr>
        <w:t xml:space="preserve">to what she knows and has been taught. </w:t>
      </w:r>
      <w:r w:rsidR="009D390B" w:rsidRPr="002C415D">
        <w:rPr>
          <w:sz w:val="24"/>
        </w:rPr>
        <w:t>This echoes Rousseau’s perspective that “children are innately innocent, only becoming corrupted through experience of the world”</w:t>
      </w:r>
      <w:r w:rsidR="009D390B" w:rsidRPr="002C415D">
        <w:rPr>
          <w:rStyle w:val="FootnoteReference"/>
          <w:sz w:val="24"/>
        </w:rPr>
        <w:footnoteReference w:id="1"/>
      </w:r>
      <w:r w:rsidR="004F128D" w:rsidRPr="002C415D">
        <w:rPr>
          <w:sz w:val="24"/>
        </w:rPr>
        <w:t xml:space="preserve">. It was previously believed that children were born sinful because </w:t>
      </w:r>
      <w:r w:rsidR="000D2B0F" w:rsidRPr="002C415D">
        <w:rPr>
          <w:sz w:val="24"/>
        </w:rPr>
        <w:t xml:space="preserve">of the corruption of humanity derived from the ‘Fall’ in the Garden of Eden. </w:t>
      </w:r>
      <w:r w:rsidR="00C52344" w:rsidRPr="002C415D">
        <w:rPr>
          <w:sz w:val="24"/>
        </w:rPr>
        <w:t xml:space="preserve">This new way of thinking about childhood and associating it with innocence filters into Carroll’s characterisation of Alice. Like the forbidden fruit from Eden that contained knowledge, Alice’s journey into Wonderland </w:t>
      </w:r>
      <w:r w:rsidR="00962C2B" w:rsidRPr="002C415D">
        <w:rPr>
          <w:sz w:val="24"/>
        </w:rPr>
        <w:t>demonstrates</w:t>
      </w:r>
      <w:r w:rsidR="00C52344" w:rsidRPr="002C415D">
        <w:rPr>
          <w:sz w:val="24"/>
        </w:rPr>
        <w:t xml:space="preserve"> the same desire</w:t>
      </w:r>
      <w:r w:rsidR="00127737" w:rsidRPr="002C415D">
        <w:rPr>
          <w:sz w:val="24"/>
        </w:rPr>
        <w:t>;</w:t>
      </w:r>
      <w:r w:rsidR="00C52344" w:rsidRPr="002C415D">
        <w:rPr>
          <w:sz w:val="24"/>
        </w:rPr>
        <w:t xml:space="preserve"> </w:t>
      </w:r>
      <w:r w:rsidR="00127737" w:rsidRPr="002C415D">
        <w:rPr>
          <w:sz w:val="24"/>
        </w:rPr>
        <w:t>s</w:t>
      </w:r>
      <w:r w:rsidR="00C52344" w:rsidRPr="002C415D">
        <w:rPr>
          <w:sz w:val="24"/>
        </w:rPr>
        <w:t xml:space="preserve">he is challenging the ideas of </w:t>
      </w:r>
      <w:r w:rsidR="00962C2B" w:rsidRPr="002C415D">
        <w:rPr>
          <w:sz w:val="24"/>
        </w:rPr>
        <w:t>the female image</w:t>
      </w:r>
      <w:r w:rsidR="00C52344" w:rsidRPr="002C415D">
        <w:rPr>
          <w:sz w:val="24"/>
        </w:rPr>
        <w:t xml:space="preserve"> of passivity and purity by acting on her desires of curiosity and temptation. This is emphasised by the motif of eating and drinking </w:t>
      </w:r>
      <w:r w:rsidR="001846A3" w:rsidRPr="002C415D">
        <w:rPr>
          <w:sz w:val="24"/>
        </w:rPr>
        <w:t>as a mocking of appetite in the Victorian era being restricted to men because for women “eating, even little girls’ eating, is identified with the Fall”</w:t>
      </w:r>
      <w:r w:rsidR="001846A3" w:rsidRPr="002C415D">
        <w:rPr>
          <w:rStyle w:val="FootnoteReference"/>
          <w:sz w:val="24"/>
        </w:rPr>
        <w:footnoteReference w:id="2"/>
      </w:r>
      <w:r w:rsidR="00904AAB" w:rsidRPr="002C415D">
        <w:rPr>
          <w:sz w:val="24"/>
        </w:rPr>
        <w:t xml:space="preserve">. </w:t>
      </w:r>
      <w:r w:rsidR="00473E79" w:rsidRPr="002C415D">
        <w:rPr>
          <w:sz w:val="24"/>
        </w:rPr>
        <w:t xml:space="preserve">Like the Garden of Eden, Alice drinking the vial of liquid opens up a whole new world of discoveries, with alternative customs and rules. </w:t>
      </w:r>
    </w:p>
    <w:p w14:paraId="390633C7" w14:textId="55631505" w:rsidR="00473E79" w:rsidRPr="002C415D" w:rsidRDefault="00473E79" w:rsidP="003643AE">
      <w:pPr>
        <w:pStyle w:val="NoSpacing"/>
        <w:rPr>
          <w:sz w:val="24"/>
        </w:rPr>
      </w:pPr>
      <w:r w:rsidRPr="002C415D">
        <w:rPr>
          <w:sz w:val="24"/>
        </w:rPr>
        <w:tab/>
        <w:t>Much like poets Blake and Wordsworth, Carroll’s interpretation of Rousseau’s theory suggest</w:t>
      </w:r>
      <w:r w:rsidR="008166D5" w:rsidRPr="002C415D">
        <w:rPr>
          <w:sz w:val="24"/>
        </w:rPr>
        <w:t>s</w:t>
      </w:r>
      <w:r w:rsidRPr="002C415D">
        <w:rPr>
          <w:sz w:val="24"/>
        </w:rPr>
        <w:t xml:space="preserve"> that children should be free to explore the world around them through nature</w:t>
      </w:r>
      <w:r w:rsidR="00AC0CB3" w:rsidRPr="002C415D">
        <w:rPr>
          <w:sz w:val="24"/>
        </w:rPr>
        <w:t xml:space="preserve"> </w:t>
      </w:r>
      <w:r w:rsidR="008166D5" w:rsidRPr="002C415D">
        <w:rPr>
          <w:sz w:val="24"/>
        </w:rPr>
        <w:t>which</w:t>
      </w:r>
      <w:r w:rsidR="00AC0CB3" w:rsidRPr="002C415D">
        <w:rPr>
          <w:sz w:val="24"/>
        </w:rPr>
        <w:t xml:space="preserve"> is everchanging and evolving. Alice</w:t>
      </w:r>
      <w:r w:rsidR="008166D5" w:rsidRPr="002C415D">
        <w:rPr>
          <w:sz w:val="24"/>
        </w:rPr>
        <w:t>’s desire</w:t>
      </w:r>
      <w:r w:rsidR="00AC0CB3" w:rsidRPr="002C415D">
        <w:rPr>
          <w:sz w:val="24"/>
        </w:rPr>
        <w:t xml:space="preserve"> “to get out of that dark hall, and wander about among those beds of bright flowers and those cool fountains</w:t>
      </w:r>
      <w:r w:rsidR="004A6D02" w:rsidRPr="002C415D">
        <w:rPr>
          <w:sz w:val="24"/>
        </w:rPr>
        <w:t>”</w:t>
      </w:r>
      <w:r w:rsidR="008E03B1" w:rsidRPr="002C415D">
        <w:rPr>
          <w:rStyle w:val="FootnoteReference"/>
          <w:sz w:val="24"/>
        </w:rPr>
        <w:footnoteReference w:id="3"/>
      </w:r>
      <w:r w:rsidR="004A6D02" w:rsidRPr="002C415D">
        <w:rPr>
          <w:sz w:val="24"/>
        </w:rPr>
        <w:t xml:space="preserve"> </w:t>
      </w:r>
      <w:r w:rsidR="00AC0CB3" w:rsidRPr="002C415D">
        <w:rPr>
          <w:sz w:val="24"/>
        </w:rPr>
        <w:t>show</w:t>
      </w:r>
      <w:r w:rsidR="008166D5" w:rsidRPr="002C415D">
        <w:rPr>
          <w:sz w:val="24"/>
        </w:rPr>
        <w:t xml:space="preserve">s that she is more effective at learning through exploration rather than being trapped </w:t>
      </w:r>
      <w:r w:rsidR="00AC0CB3" w:rsidRPr="002C415D">
        <w:rPr>
          <w:sz w:val="24"/>
        </w:rPr>
        <w:t xml:space="preserve">indoors. This </w:t>
      </w:r>
      <w:r w:rsidR="008166D5" w:rsidRPr="002C415D">
        <w:rPr>
          <w:sz w:val="24"/>
        </w:rPr>
        <w:lastRenderedPageBreak/>
        <w:t>implies</w:t>
      </w:r>
      <w:r w:rsidR="00AC0CB3" w:rsidRPr="002C415D">
        <w:rPr>
          <w:sz w:val="24"/>
        </w:rPr>
        <w:t xml:space="preserve"> that t</w:t>
      </w:r>
      <w:r w:rsidR="008166D5" w:rsidRPr="002C415D">
        <w:rPr>
          <w:sz w:val="24"/>
        </w:rPr>
        <w:t>here are lessons in nature that cannot be learnt in the classroom.</w:t>
      </w:r>
      <w:r w:rsidR="00AC0CB3" w:rsidRPr="002C415D">
        <w:rPr>
          <w:sz w:val="24"/>
        </w:rPr>
        <w:t xml:space="preserve"> </w:t>
      </w:r>
      <w:r w:rsidR="00FC070D" w:rsidRPr="002C415D">
        <w:rPr>
          <w:sz w:val="24"/>
        </w:rPr>
        <w:t xml:space="preserve">The inadequacy of education is developed further in the voice of the </w:t>
      </w:r>
      <w:r w:rsidR="004A6D02" w:rsidRPr="002C415D">
        <w:rPr>
          <w:sz w:val="24"/>
        </w:rPr>
        <w:t>M</w:t>
      </w:r>
      <w:r w:rsidR="00FC070D" w:rsidRPr="002C415D">
        <w:rPr>
          <w:sz w:val="24"/>
        </w:rPr>
        <w:t xml:space="preserve">ock </w:t>
      </w:r>
      <w:r w:rsidR="004A6D02" w:rsidRPr="002C415D">
        <w:rPr>
          <w:sz w:val="24"/>
        </w:rPr>
        <w:t>T</w:t>
      </w:r>
      <w:r w:rsidR="00FC070D" w:rsidRPr="002C415D">
        <w:rPr>
          <w:sz w:val="24"/>
        </w:rPr>
        <w:t xml:space="preserve">urtle. </w:t>
      </w:r>
      <w:r w:rsidR="004A6D02" w:rsidRPr="002C415D">
        <w:rPr>
          <w:sz w:val="24"/>
        </w:rPr>
        <w:t>The parodied lessons create a misunderstanding between Alice and the Mock Turtle because neither one can understand each other’s definition of school. This highlights the changing views of the child and education by compartmentalising the groups of the nineteenth century</w:t>
      </w:r>
      <w:r w:rsidR="00E5646E" w:rsidRPr="002C415D">
        <w:rPr>
          <w:sz w:val="24"/>
        </w:rPr>
        <w:t xml:space="preserve">. The relationship between Alice and the Mock Turtle demonstrates the conflicting ideas of what childhood is about. </w:t>
      </w:r>
    </w:p>
    <w:p w14:paraId="3EB33984" w14:textId="041124CA" w:rsidR="00894864" w:rsidRPr="002C415D" w:rsidRDefault="004C7229" w:rsidP="00894864">
      <w:pPr>
        <w:pStyle w:val="NoSpacing"/>
        <w:rPr>
          <w:sz w:val="24"/>
        </w:rPr>
      </w:pPr>
      <w:r w:rsidRPr="002C415D">
        <w:rPr>
          <w:sz w:val="24"/>
        </w:rPr>
        <w:tab/>
      </w:r>
      <w:r w:rsidR="004F63E6" w:rsidRPr="002C415D">
        <w:rPr>
          <w:sz w:val="24"/>
        </w:rPr>
        <w:t xml:space="preserve">Alice’s journey through Wonderland shows the restrictions that linear based teaching has impressed </w:t>
      </w:r>
      <w:r w:rsidR="00127737" w:rsidRPr="002C415D">
        <w:rPr>
          <w:sz w:val="24"/>
        </w:rPr>
        <w:t>onto</w:t>
      </w:r>
      <w:r w:rsidR="004F63E6" w:rsidRPr="002C415D">
        <w:rPr>
          <w:sz w:val="24"/>
        </w:rPr>
        <w:t xml:space="preserve"> how she thinks. This is developed in the scene with the footman: “</w:t>
      </w:r>
      <w:r w:rsidR="00127737" w:rsidRPr="002C415D">
        <w:rPr>
          <w:sz w:val="24"/>
        </w:rPr>
        <w:t>’</w:t>
      </w:r>
      <w:r w:rsidR="004F63E6" w:rsidRPr="002C415D">
        <w:rPr>
          <w:sz w:val="24"/>
        </w:rPr>
        <w:t>There might be some sense in your knocking,</w:t>
      </w:r>
      <w:r w:rsidR="00127737" w:rsidRPr="002C415D">
        <w:rPr>
          <w:sz w:val="24"/>
        </w:rPr>
        <w:t>’</w:t>
      </w:r>
      <w:r w:rsidR="004F63E6" w:rsidRPr="002C415D">
        <w:rPr>
          <w:sz w:val="24"/>
        </w:rPr>
        <w:t xml:space="preserve"> the Footman went on, without attending to her, </w:t>
      </w:r>
      <w:r w:rsidR="00127737" w:rsidRPr="002C415D">
        <w:rPr>
          <w:sz w:val="24"/>
        </w:rPr>
        <w:t>‘</w:t>
      </w:r>
      <w:r w:rsidR="004F63E6" w:rsidRPr="002C415D">
        <w:rPr>
          <w:sz w:val="24"/>
        </w:rPr>
        <w:t>if we had the door between us. For instance, if you were </w:t>
      </w:r>
      <w:r w:rsidR="004F63E6" w:rsidRPr="002C415D">
        <w:rPr>
          <w:i/>
          <w:iCs/>
          <w:sz w:val="24"/>
        </w:rPr>
        <w:t>inside</w:t>
      </w:r>
      <w:r w:rsidR="004F63E6" w:rsidRPr="002C415D">
        <w:rPr>
          <w:sz w:val="24"/>
        </w:rPr>
        <w:t>, you might knock, and I could let you out, you know.</w:t>
      </w:r>
      <w:r w:rsidR="00127737" w:rsidRPr="002C415D">
        <w:rPr>
          <w:sz w:val="24"/>
        </w:rPr>
        <w:t>’</w:t>
      </w:r>
      <w:r w:rsidR="004F63E6" w:rsidRPr="002C415D">
        <w:rPr>
          <w:sz w:val="24"/>
        </w:rPr>
        <w:t>”</w:t>
      </w:r>
      <w:r w:rsidR="008E03B1" w:rsidRPr="002C415D">
        <w:rPr>
          <w:rStyle w:val="FootnoteReference"/>
          <w:sz w:val="24"/>
        </w:rPr>
        <w:footnoteReference w:id="4"/>
      </w:r>
      <w:r w:rsidR="004F63E6" w:rsidRPr="002C415D">
        <w:rPr>
          <w:sz w:val="24"/>
        </w:rPr>
        <w:t xml:space="preserve"> Alice’s desire to go through the door is countered by the footman’s logic that she is already outside of the door.</w:t>
      </w:r>
      <w:r w:rsidR="004C15D5" w:rsidRPr="002C415D">
        <w:rPr>
          <w:sz w:val="24"/>
        </w:rPr>
        <w:t xml:space="preserve"> This highlights that</w:t>
      </w:r>
      <w:r w:rsidR="004F63E6" w:rsidRPr="002C415D">
        <w:rPr>
          <w:sz w:val="24"/>
        </w:rPr>
        <w:t xml:space="preserve"> Alice has difficulty accepting that everywhere could be </w:t>
      </w:r>
      <w:r w:rsidR="004C15D5" w:rsidRPr="002C415D">
        <w:rPr>
          <w:sz w:val="24"/>
        </w:rPr>
        <w:t>‘</w:t>
      </w:r>
      <w:r w:rsidR="004F63E6" w:rsidRPr="002C415D">
        <w:rPr>
          <w:sz w:val="24"/>
        </w:rPr>
        <w:t>somewhere</w:t>
      </w:r>
      <w:r w:rsidR="004C15D5" w:rsidRPr="002C415D">
        <w:rPr>
          <w:sz w:val="24"/>
        </w:rPr>
        <w:t>’</w:t>
      </w:r>
      <w:r w:rsidR="004F63E6" w:rsidRPr="002C415D">
        <w:rPr>
          <w:sz w:val="24"/>
        </w:rPr>
        <w:t xml:space="preserve"> because she has</w:t>
      </w:r>
      <w:r w:rsidR="004C15D5" w:rsidRPr="002C415D">
        <w:rPr>
          <w:sz w:val="24"/>
        </w:rPr>
        <w:t xml:space="preserve">n’t been allowed </w:t>
      </w:r>
      <w:r w:rsidR="004F63E6" w:rsidRPr="002C415D">
        <w:rPr>
          <w:sz w:val="24"/>
        </w:rPr>
        <w:t xml:space="preserve">the freedom to explore </w:t>
      </w:r>
      <w:r w:rsidR="004C15D5" w:rsidRPr="002C415D">
        <w:rPr>
          <w:sz w:val="24"/>
        </w:rPr>
        <w:t xml:space="preserve">different perspectives </w:t>
      </w:r>
      <w:r w:rsidR="004F63E6" w:rsidRPr="002C415D">
        <w:rPr>
          <w:sz w:val="24"/>
        </w:rPr>
        <w:t>to discover who she is.</w:t>
      </w:r>
      <w:r w:rsidR="004C15D5" w:rsidRPr="002C415D">
        <w:rPr>
          <w:sz w:val="24"/>
        </w:rPr>
        <w:t xml:space="preserve"> Wonderland challenges the assertion of singular perspectives by offering Alice, and therefore the reader, different alternatives, “Then it doesn’t matter which way you go.”</w:t>
      </w:r>
      <w:r w:rsidR="008E03B1" w:rsidRPr="002C415D">
        <w:rPr>
          <w:rStyle w:val="FootnoteReference"/>
          <w:sz w:val="24"/>
        </w:rPr>
        <w:footnoteReference w:id="5"/>
      </w:r>
      <w:r w:rsidR="00FC012E" w:rsidRPr="002C415D">
        <w:rPr>
          <w:sz w:val="24"/>
        </w:rPr>
        <w:t xml:space="preserve"> There is a sense that a world of fantasy offers the reader an escape route from the society they are inhabiting. This shows the importance of imagination in offering a freedom, “an alternative language for coping with the conditions of a world at once”</w:t>
      </w:r>
      <w:r w:rsidR="00FC012E" w:rsidRPr="002C415D">
        <w:rPr>
          <w:rStyle w:val="FootnoteReference"/>
          <w:sz w:val="24"/>
        </w:rPr>
        <w:footnoteReference w:id="6"/>
      </w:r>
      <w:r w:rsidR="00FC012E" w:rsidRPr="002C415D">
        <w:rPr>
          <w:sz w:val="24"/>
        </w:rPr>
        <w:t xml:space="preserve">. Before </w:t>
      </w:r>
      <w:r w:rsidR="00FC012E" w:rsidRPr="002C415D">
        <w:rPr>
          <w:i/>
          <w:sz w:val="24"/>
        </w:rPr>
        <w:t>Alice’s Adventures in Wonderland</w:t>
      </w:r>
      <w:r w:rsidR="00FC012E" w:rsidRPr="002C415D">
        <w:rPr>
          <w:sz w:val="24"/>
        </w:rPr>
        <w:t xml:space="preserve"> was released,</w:t>
      </w:r>
      <w:r w:rsidR="00127737" w:rsidRPr="002C415D">
        <w:rPr>
          <w:sz w:val="24"/>
        </w:rPr>
        <w:t xml:space="preserve"> the</w:t>
      </w:r>
      <w:r w:rsidR="00FC012E" w:rsidRPr="002C415D">
        <w:rPr>
          <w:sz w:val="24"/>
        </w:rPr>
        <w:t xml:space="preserve"> literature </w:t>
      </w:r>
      <w:r w:rsidR="00127737" w:rsidRPr="002C415D">
        <w:rPr>
          <w:sz w:val="24"/>
        </w:rPr>
        <w:t xml:space="preserve">that </w:t>
      </w:r>
      <w:r w:rsidR="00FC012E" w:rsidRPr="002C415D">
        <w:rPr>
          <w:sz w:val="24"/>
        </w:rPr>
        <w:t xml:space="preserve">children would read </w:t>
      </w:r>
      <w:r w:rsidR="00127737" w:rsidRPr="002C415D">
        <w:rPr>
          <w:sz w:val="24"/>
        </w:rPr>
        <w:t>consisted</w:t>
      </w:r>
      <w:r w:rsidR="00FC012E" w:rsidRPr="002C415D">
        <w:rPr>
          <w:sz w:val="24"/>
        </w:rPr>
        <w:t xml:space="preserve"> of works </w:t>
      </w:r>
      <w:r w:rsidR="00127737" w:rsidRPr="002C415D">
        <w:rPr>
          <w:sz w:val="24"/>
        </w:rPr>
        <w:t>such as</w:t>
      </w:r>
      <w:r w:rsidR="00FC012E" w:rsidRPr="002C415D">
        <w:rPr>
          <w:sz w:val="24"/>
        </w:rPr>
        <w:t xml:space="preserve"> </w:t>
      </w:r>
      <w:r w:rsidR="00FC012E" w:rsidRPr="002C415D">
        <w:rPr>
          <w:i/>
          <w:sz w:val="24"/>
        </w:rPr>
        <w:t>Gulliver’s Travels</w:t>
      </w:r>
      <w:r w:rsidR="00FC012E" w:rsidRPr="002C415D">
        <w:rPr>
          <w:sz w:val="24"/>
        </w:rPr>
        <w:t xml:space="preserve"> and </w:t>
      </w:r>
      <w:r w:rsidR="00FC012E" w:rsidRPr="002C415D">
        <w:rPr>
          <w:i/>
          <w:sz w:val="24"/>
        </w:rPr>
        <w:t>Robinson Crusoe</w:t>
      </w:r>
      <w:r w:rsidR="00FC012E" w:rsidRPr="002C415D">
        <w:rPr>
          <w:sz w:val="24"/>
        </w:rPr>
        <w:t xml:space="preserve">, </w:t>
      </w:r>
      <w:r w:rsidR="00127737" w:rsidRPr="002C415D">
        <w:rPr>
          <w:sz w:val="24"/>
        </w:rPr>
        <w:t xml:space="preserve">which </w:t>
      </w:r>
      <w:r w:rsidR="00EC1A10" w:rsidRPr="002C415D">
        <w:rPr>
          <w:sz w:val="24"/>
        </w:rPr>
        <w:t>started the</w:t>
      </w:r>
      <w:r w:rsidR="00FC012E" w:rsidRPr="002C415D">
        <w:rPr>
          <w:sz w:val="24"/>
        </w:rPr>
        <w:t xml:space="preserve"> fascination with alternative worlds. </w:t>
      </w:r>
      <w:r w:rsidR="00AE71B7" w:rsidRPr="002C415D">
        <w:rPr>
          <w:sz w:val="24"/>
        </w:rPr>
        <w:t xml:space="preserve">Language is significant in understanding Wonderland as shown with the miscommunication of the </w:t>
      </w:r>
      <w:r w:rsidR="00450C6E" w:rsidRPr="002C415D">
        <w:rPr>
          <w:sz w:val="24"/>
        </w:rPr>
        <w:t>homophone’s</w:t>
      </w:r>
      <w:r w:rsidR="00AE71B7" w:rsidRPr="002C415D">
        <w:rPr>
          <w:sz w:val="24"/>
        </w:rPr>
        <w:t xml:space="preserve"> </w:t>
      </w:r>
      <w:r w:rsidR="008E03B1" w:rsidRPr="002C415D">
        <w:rPr>
          <w:sz w:val="24"/>
        </w:rPr>
        <w:t>‘</w:t>
      </w:r>
      <w:r w:rsidR="00AE71B7" w:rsidRPr="002C415D">
        <w:rPr>
          <w:sz w:val="24"/>
        </w:rPr>
        <w:t>tale</w:t>
      </w:r>
      <w:r w:rsidR="008E03B1" w:rsidRPr="002C415D">
        <w:rPr>
          <w:sz w:val="24"/>
        </w:rPr>
        <w:t>’</w:t>
      </w:r>
      <w:r w:rsidR="00AE71B7" w:rsidRPr="002C415D">
        <w:rPr>
          <w:sz w:val="24"/>
        </w:rPr>
        <w:t xml:space="preserve"> and </w:t>
      </w:r>
      <w:r w:rsidR="008E03B1" w:rsidRPr="002C415D">
        <w:rPr>
          <w:sz w:val="24"/>
        </w:rPr>
        <w:t>‘</w:t>
      </w:r>
      <w:r w:rsidR="00AE71B7" w:rsidRPr="002C415D">
        <w:rPr>
          <w:sz w:val="24"/>
        </w:rPr>
        <w:t>tail</w:t>
      </w:r>
      <w:r w:rsidR="008E03B1" w:rsidRPr="002C415D">
        <w:rPr>
          <w:sz w:val="24"/>
        </w:rPr>
        <w:t>’</w:t>
      </w:r>
      <w:r w:rsidR="00AE71B7" w:rsidRPr="002C415D">
        <w:rPr>
          <w:sz w:val="24"/>
        </w:rPr>
        <w:t xml:space="preserve">, </w:t>
      </w:r>
      <w:r w:rsidR="008E03B1" w:rsidRPr="002C415D">
        <w:rPr>
          <w:sz w:val="24"/>
        </w:rPr>
        <w:t>‘</w:t>
      </w:r>
      <w:r w:rsidR="00AE71B7" w:rsidRPr="002C415D">
        <w:rPr>
          <w:sz w:val="24"/>
        </w:rPr>
        <w:t>not</w:t>
      </w:r>
      <w:r w:rsidR="008E03B1" w:rsidRPr="002C415D">
        <w:rPr>
          <w:sz w:val="24"/>
        </w:rPr>
        <w:t>’</w:t>
      </w:r>
      <w:r w:rsidR="00AE71B7" w:rsidRPr="002C415D">
        <w:rPr>
          <w:sz w:val="24"/>
        </w:rPr>
        <w:t xml:space="preserve"> and </w:t>
      </w:r>
      <w:r w:rsidR="008E03B1" w:rsidRPr="002C415D">
        <w:rPr>
          <w:sz w:val="24"/>
        </w:rPr>
        <w:t>‘</w:t>
      </w:r>
      <w:r w:rsidR="00AE71B7" w:rsidRPr="002C415D">
        <w:rPr>
          <w:sz w:val="24"/>
        </w:rPr>
        <w:t>knot</w:t>
      </w:r>
      <w:r w:rsidR="008E03B1" w:rsidRPr="002C415D">
        <w:rPr>
          <w:sz w:val="24"/>
        </w:rPr>
        <w:t>’</w:t>
      </w:r>
      <w:r w:rsidR="00AE71B7" w:rsidRPr="002C415D">
        <w:rPr>
          <w:sz w:val="24"/>
        </w:rPr>
        <w:t>. For a child</w:t>
      </w:r>
      <w:r w:rsidR="00EC1A10" w:rsidRPr="002C415D">
        <w:rPr>
          <w:sz w:val="24"/>
        </w:rPr>
        <w:t>,</w:t>
      </w:r>
      <w:r w:rsidR="00AE71B7" w:rsidRPr="002C415D">
        <w:rPr>
          <w:sz w:val="24"/>
        </w:rPr>
        <w:t xml:space="preserve"> language is a game to played with, thus showing that a lack of awareness of meaning can be limiting. </w:t>
      </w:r>
      <w:r w:rsidR="00FC012E" w:rsidRPr="002C415D">
        <w:rPr>
          <w:sz w:val="24"/>
        </w:rPr>
        <w:t xml:space="preserve">However, Carroll </w:t>
      </w:r>
      <w:r w:rsidR="00EC1A10" w:rsidRPr="002C415D">
        <w:rPr>
          <w:sz w:val="24"/>
        </w:rPr>
        <w:t>plays</w:t>
      </w:r>
      <w:r w:rsidR="00FC012E" w:rsidRPr="002C415D">
        <w:rPr>
          <w:sz w:val="24"/>
        </w:rPr>
        <w:t xml:space="preserve"> with the idea that confinement is sometimes important in offering protection: “</w:t>
      </w:r>
      <w:r w:rsidR="00EC1A10" w:rsidRPr="002C415D">
        <w:rPr>
          <w:sz w:val="24"/>
        </w:rPr>
        <w:t>’</w:t>
      </w:r>
      <w:r w:rsidR="00FC012E" w:rsidRPr="002C415D">
        <w:rPr>
          <w:sz w:val="24"/>
        </w:rPr>
        <w:t>You shan't be beheaded!</w:t>
      </w:r>
      <w:r w:rsidR="00EC1A10" w:rsidRPr="002C415D">
        <w:rPr>
          <w:sz w:val="24"/>
        </w:rPr>
        <w:t>’</w:t>
      </w:r>
      <w:r w:rsidR="00FC012E" w:rsidRPr="002C415D">
        <w:rPr>
          <w:sz w:val="24"/>
        </w:rPr>
        <w:t xml:space="preserve"> said Alice, and she put them into a large flower-pot that stood near.”</w:t>
      </w:r>
      <w:r w:rsidR="008E03B1" w:rsidRPr="002C415D">
        <w:rPr>
          <w:rStyle w:val="FootnoteReference"/>
          <w:sz w:val="24"/>
        </w:rPr>
        <w:footnoteReference w:id="7"/>
      </w:r>
      <w:r w:rsidR="00FC012E" w:rsidRPr="002C415D">
        <w:rPr>
          <w:sz w:val="24"/>
        </w:rPr>
        <w:t xml:space="preserve"> This reveals Alice’s feelings of being trapped as she grows older</w:t>
      </w:r>
      <w:r w:rsidR="00EC1A10" w:rsidRPr="002C415D">
        <w:rPr>
          <w:sz w:val="24"/>
        </w:rPr>
        <w:t>;</w:t>
      </w:r>
      <w:r w:rsidR="00FC012E" w:rsidRPr="002C415D">
        <w:rPr>
          <w:sz w:val="24"/>
        </w:rPr>
        <w:t xml:space="preserve"> “In Wonderland and Looking-Glass, Carroll ultimately suggests that both adults and children want power as well as comfort”</w:t>
      </w:r>
      <w:r w:rsidR="00FC012E" w:rsidRPr="002C415D">
        <w:rPr>
          <w:rStyle w:val="FootnoteReference"/>
          <w:sz w:val="24"/>
        </w:rPr>
        <w:footnoteReference w:id="8"/>
      </w:r>
      <w:r w:rsidR="00FC012E" w:rsidRPr="002C415D">
        <w:rPr>
          <w:sz w:val="24"/>
        </w:rPr>
        <w:t xml:space="preserve">. This opposition within the text suggests </w:t>
      </w:r>
      <w:r w:rsidR="00FC012E" w:rsidRPr="002C415D">
        <w:rPr>
          <w:i/>
          <w:sz w:val="24"/>
        </w:rPr>
        <w:t>Alice’s Adventures in Wonderland</w:t>
      </w:r>
      <w:r w:rsidR="00FC012E" w:rsidRPr="002C415D">
        <w:rPr>
          <w:sz w:val="24"/>
        </w:rPr>
        <w:t xml:space="preserve"> offers interpretation </w:t>
      </w:r>
      <w:r w:rsidR="00EC1A10" w:rsidRPr="002C415D">
        <w:rPr>
          <w:sz w:val="24"/>
        </w:rPr>
        <w:t>allowing</w:t>
      </w:r>
      <w:r w:rsidR="00FC012E" w:rsidRPr="002C415D">
        <w:rPr>
          <w:sz w:val="24"/>
        </w:rPr>
        <w:t xml:space="preserve"> its reader to develop their thinking</w:t>
      </w:r>
      <w:r w:rsidR="00A907B1" w:rsidRPr="002C415D">
        <w:rPr>
          <w:sz w:val="24"/>
        </w:rPr>
        <w:t xml:space="preserve"> about the boundaries of confinement.</w:t>
      </w:r>
    </w:p>
    <w:p w14:paraId="7E5D6DD6" w14:textId="134812C8" w:rsidR="00AA6CD6" w:rsidRPr="002C415D" w:rsidRDefault="00AA6CD6" w:rsidP="00894864">
      <w:pPr>
        <w:pStyle w:val="NoSpacing"/>
        <w:rPr>
          <w:sz w:val="24"/>
        </w:rPr>
      </w:pPr>
      <w:r w:rsidRPr="002C415D">
        <w:rPr>
          <w:sz w:val="24"/>
        </w:rPr>
        <w:tab/>
        <w:t>Another aspect of</w:t>
      </w:r>
      <w:r w:rsidR="002E00D4" w:rsidRPr="002C415D">
        <w:rPr>
          <w:sz w:val="24"/>
        </w:rPr>
        <w:t xml:space="preserve"> confinement and freedom expressed in Wonderland is violence. As Alice grows bigger, she gets more violent, smaller she is more passive</w:t>
      </w:r>
      <w:r w:rsidR="001D2BA4" w:rsidRPr="002C415D">
        <w:rPr>
          <w:sz w:val="24"/>
        </w:rPr>
        <w:t>, “she had grown so large in the last few minutes that she wasn’t a bit afraid of interrupting him”</w:t>
      </w:r>
      <w:r w:rsidR="008E03B1" w:rsidRPr="002C415D">
        <w:rPr>
          <w:rStyle w:val="FootnoteReference"/>
          <w:sz w:val="24"/>
        </w:rPr>
        <w:footnoteReference w:id="9"/>
      </w:r>
      <w:r w:rsidR="001D2BA4" w:rsidRPr="002C415D">
        <w:rPr>
          <w:sz w:val="24"/>
        </w:rPr>
        <w:t xml:space="preserve">. </w:t>
      </w:r>
      <w:r w:rsidR="002E00D4" w:rsidRPr="002C415D">
        <w:rPr>
          <w:sz w:val="24"/>
        </w:rPr>
        <w:t xml:space="preserve">It is important to consider how size affects Alice’s freedom and confinement. The question is whether she is freer when she is big or when she is small, as they both have positive and negative attributions. When Alice is big, she has more authority over the other characters </w:t>
      </w:r>
      <w:r w:rsidR="001D2BA4" w:rsidRPr="002C415D">
        <w:rPr>
          <w:sz w:val="24"/>
        </w:rPr>
        <w:t xml:space="preserve">“‘Who cares for you?’ said Alice, (she had grown to her full size by this time.) ‘You’re nothing but a </w:t>
      </w:r>
      <w:r w:rsidR="001D2BA4" w:rsidRPr="002C415D">
        <w:rPr>
          <w:sz w:val="24"/>
        </w:rPr>
        <w:lastRenderedPageBreak/>
        <w:t>pack of cards!’”</w:t>
      </w:r>
      <w:r w:rsidR="008E03B1" w:rsidRPr="002C415D">
        <w:rPr>
          <w:rStyle w:val="FootnoteReference"/>
          <w:sz w:val="24"/>
        </w:rPr>
        <w:footnoteReference w:id="10"/>
      </w:r>
      <w:r w:rsidR="001D2BA4" w:rsidRPr="002C415D">
        <w:rPr>
          <w:sz w:val="24"/>
        </w:rPr>
        <w:t>.</w:t>
      </w:r>
      <w:r w:rsidR="002E00D4" w:rsidRPr="002C415D">
        <w:rPr>
          <w:sz w:val="24"/>
        </w:rPr>
        <w:t xml:space="preserve"> She gains the freedom to express her thoughts without being called </w:t>
      </w:r>
      <w:r w:rsidR="00C56A78" w:rsidRPr="002C415D">
        <w:rPr>
          <w:sz w:val="24"/>
        </w:rPr>
        <w:t xml:space="preserve">a </w:t>
      </w:r>
      <w:r w:rsidR="002E00D4" w:rsidRPr="002C415D">
        <w:rPr>
          <w:sz w:val="24"/>
        </w:rPr>
        <w:t>“simpleton”</w:t>
      </w:r>
      <w:r w:rsidR="008E03B1" w:rsidRPr="002C415D">
        <w:rPr>
          <w:rStyle w:val="FootnoteReference"/>
          <w:sz w:val="24"/>
        </w:rPr>
        <w:footnoteReference w:id="11"/>
      </w:r>
      <w:r w:rsidR="002E00D4" w:rsidRPr="002C415D">
        <w:rPr>
          <w:sz w:val="24"/>
        </w:rPr>
        <w:t xml:space="preserve"> and has a sense of power. However, physically she is more confined as she cannot fit into the size requirements of Wonderland: “still it was very uncomfortable, and, as there seemed to be no sort of chance of her ever getting out of the room again, no wonder she felt unhappy.”</w:t>
      </w:r>
      <w:r w:rsidR="008E03B1" w:rsidRPr="002C415D">
        <w:rPr>
          <w:rStyle w:val="FootnoteReference"/>
          <w:sz w:val="24"/>
        </w:rPr>
        <w:footnoteReference w:id="12"/>
      </w:r>
      <w:r w:rsidR="002E00D4" w:rsidRPr="002C415D">
        <w:rPr>
          <w:sz w:val="24"/>
        </w:rPr>
        <w:t xml:space="preserve"> This implies that adults lose an aspect of their freedom as they grow older, becoming trapped by their lack of imagination. When she is small, Alice has the freedom to explore Wonderland, engage with the other characters and learn about their rules in comparison to her own, but she is less regarded as a thinking individual because of her size. </w:t>
      </w:r>
      <w:r w:rsidR="004062E6" w:rsidRPr="002C415D">
        <w:rPr>
          <w:sz w:val="24"/>
        </w:rPr>
        <w:t>Therefore, Carroll is suggesting that there needs to be a balance between these two factors.</w:t>
      </w:r>
    </w:p>
    <w:p w14:paraId="7169B1CE" w14:textId="3E09A816" w:rsidR="00FC47C3" w:rsidRPr="002C415D" w:rsidRDefault="00FC47C3" w:rsidP="00894864">
      <w:pPr>
        <w:pStyle w:val="NoSpacing"/>
        <w:rPr>
          <w:sz w:val="24"/>
        </w:rPr>
      </w:pPr>
      <w:r w:rsidRPr="002C415D">
        <w:rPr>
          <w:sz w:val="24"/>
        </w:rPr>
        <w:tab/>
      </w:r>
      <w:r w:rsidR="00EA2BDB" w:rsidRPr="002C415D">
        <w:rPr>
          <w:sz w:val="24"/>
        </w:rPr>
        <w:t>The motif of death running throughout the novel indicates that we are all confined by mortality. Alice knows about death but lacks understanding over the meanings, “‘I quite forgot you didn’t like cats’”</w:t>
      </w:r>
      <w:r w:rsidR="008E03B1" w:rsidRPr="002C415D">
        <w:rPr>
          <w:rStyle w:val="FootnoteReference"/>
          <w:sz w:val="24"/>
        </w:rPr>
        <w:footnoteReference w:id="13"/>
      </w:r>
      <w:r w:rsidR="00EA2BDB" w:rsidRPr="002C415D">
        <w:rPr>
          <w:sz w:val="24"/>
        </w:rPr>
        <w:t xml:space="preserve">. This provides an insight about </w:t>
      </w:r>
      <w:r w:rsidR="00CB5D69" w:rsidRPr="002C415D">
        <w:rPr>
          <w:sz w:val="24"/>
        </w:rPr>
        <w:t xml:space="preserve">the blur between knowing and understanding. It is important for children to be aware of the dangers but they still need the freedom to explore the world for themselves. Alice’s situation shows that she is trapped in her childhood but fears growing up. Her desire to escape from the world that is growing smaller around her is parodied by the act of the dormouse being stuffed into a teapot. This symbolises a cage </w:t>
      </w:r>
      <w:r w:rsidR="00BA0753" w:rsidRPr="002C415D">
        <w:rPr>
          <w:sz w:val="24"/>
        </w:rPr>
        <w:t xml:space="preserve">which </w:t>
      </w:r>
      <w:r w:rsidR="00CB5D69" w:rsidRPr="002C415D">
        <w:rPr>
          <w:sz w:val="24"/>
        </w:rPr>
        <w:t>Alice identifies her body with.</w:t>
      </w:r>
    </w:p>
    <w:p w14:paraId="4F7B549E" w14:textId="65E079CA" w:rsidR="004F63E6" w:rsidRPr="002C415D" w:rsidRDefault="00DD18B3" w:rsidP="00894864">
      <w:pPr>
        <w:pStyle w:val="NoSpacing"/>
        <w:rPr>
          <w:sz w:val="24"/>
        </w:rPr>
      </w:pPr>
      <w:r w:rsidRPr="002C415D">
        <w:rPr>
          <w:sz w:val="24"/>
        </w:rPr>
        <w:tab/>
        <w:t xml:space="preserve">In addition to this, the </w:t>
      </w:r>
      <w:r w:rsidR="00C242E0" w:rsidRPr="002C415D">
        <w:rPr>
          <w:sz w:val="24"/>
        </w:rPr>
        <w:t>concept</w:t>
      </w:r>
      <w:r w:rsidRPr="002C415D">
        <w:rPr>
          <w:sz w:val="24"/>
        </w:rPr>
        <w:t xml:space="preserve"> of appearances is explored within the text. </w:t>
      </w:r>
      <w:r w:rsidR="00C242E0" w:rsidRPr="002C415D">
        <w:rPr>
          <w:sz w:val="24"/>
        </w:rPr>
        <w:t>An important aspect of this is identity and different interpretations of reality. In the scene with the pigeon Alice is called a “serpent”</w:t>
      </w:r>
      <w:r w:rsidR="008E03B1" w:rsidRPr="002C415D">
        <w:rPr>
          <w:rStyle w:val="FootnoteReference"/>
          <w:sz w:val="24"/>
        </w:rPr>
        <w:footnoteReference w:id="14"/>
      </w:r>
      <w:r w:rsidR="00C242E0" w:rsidRPr="002C415D">
        <w:rPr>
          <w:sz w:val="24"/>
        </w:rPr>
        <w:t xml:space="preserve"> indicating that fear concentrates all outcomes into one meaning of the word. This shows that emotions are important when defining appearances as the novel is mocking our understanding of ourselves because individuals will perceive experiences differently. </w:t>
      </w:r>
      <w:r w:rsidR="007F1C35" w:rsidRPr="002C415D">
        <w:rPr>
          <w:sz w:val="24"/>
        </w:rPr>
        <w:t>This is further explored through the use of the body growing up and growing down. The different states of the self</w:t>
      </w:r>
      <w:r w:rsidR="00AE71B7" w:rsidRPr="002C415D">
        <w:rPr>
          <w:sz w:val="24"/>
        </w:rPr>
        <w:t xml:space="preserve"> show</w:t>
      </w:r>
      <w:r w:rsidR="007F1C35" w:rsidRPr="002C415D">
        <w:rPr>
          <w:sz w:val="24"/>
        </w:rPr>
        <w:t xml:space="preserve"> a limitation of what we are capable of </w:t>
      </w:r>
      <w:r w:rsidR="00AE71B7" w:rsidRPr="002C415D">
        <w:rPr>
          <w:sz w:val="24"/>
        </w:rPr>
        <w:t>depending on our size and surroundings. Alice’s experience being stuck in the rabbit’s house exemplifies this: “</w:t>
      </w:r>
      <w:r w:rsidR="004F7ED3" w:rsidRPr="002C415D">
        <w:rPr>
          <w:sz w:val="24"/>
        </w:rPr>
        <w:t>’</w:t>
      </w:r>
      <w:r w:rsidR="00AE71B7" w:rsidRPr="002C415D">
        <w:rPr>
          <w:sz w:val="24"/>
        </w:rPr>
        <w:t>Come, my head's free at last!</w:t>
      </w:r>
      <w:r w:rsidR="004F7ED3" w:rsidRPr="002C415D">
        <w:rPr>
          <w:sz w:val="24"/>
        </w:rPr>
        <w:t>’</w:t>
      </w:r>
      <w:r w:rsidR="00AE71B7" w:rsidRPr="002C415D">
        <w:rPr>
          <w:sz w:val="24"/>
        </w:rPr>
        <w:t xml:space="preserve"> said Alice in a tone of delight, which changed into alarm in another moment, when she found that her shoulders were nowhere to be found”</w:t>
      </w:r>
      <w:r w:rsidR="008E03B1" w:rsidRPr="002C415D">
        <w:rPr>
          <w:rStyle w:val="FootnoteReference"/>
          <w:sz w:val="24"/>
        </w:rPr>
        <w:footnoteReference w:id="15"/>
      </w:r>
      <w:r w:rsidR="00AE71B7" w:rsidRPr="002C415D">
        <w:rPr>
          <w:sz w:val="24"/>
        </w:rPr>
        <w:t xml:space="preserve">. In this scene she is both free and confined as her head is literally in the clouds but she has lost connection with the rest of her body. This shows that Alice is unable to accept herself changing in both mind and body, which is heightened by her growing older into adulthood. </w:t>
      </w:r>
    </w:p>
    <w:p w14:paraId="04189684" w14:textId="77777777" w:rsidR="004F63E6" w:rsidRPr="002C415D" w:rsidRDefault="004F63E6" w:rsidP="00894864">
      <w:pPr>
        <w:pStyle w:val="NoSpacing"/>
        <w:rPr>
          <w:sz w:val="24"/>
        </w:rPr>
      </w:pPr>
    </w:p>
    <w:p w14:paraId="507B1A27" w14:textId="41789321" w:rsidR="00BC65D8" w:rsidRPr="002C415D" w:rsidRDefault="00CD2C83" w:rsidP="00894864">
      <w:pPr>
        <w:pStyle w:val="NoSpacing"/>
        <w:rPr>
          <w:sz w:val="24"/>
        </w:rPr>
      </w:pPr>
      <w:r w:rsidRPr="002C415D">
        <w:rPr>
          <w:i/>
          <w:sz w:val="24"/>
        </w:rPr>
        <w:t>The Strange Case of D</w:t>
      </w:r>
      <w:r w:rsidR="002610D9" w:rsidRPr="002C415D">
        <w:rPr>
          <w:i/>
          <w:sz w:val="24"/>
        </w:rPr>
        <w:t>r</w:t>
      </w:r>
      <w:r w:rsidRPr="002C415D">
        <w:rPr>
          <w:i/>
          <w:sz w:val="24"/>
        </w:rPr>
        <w:t xml:space="preserve"> Jekyll and Mr Hyde</w:t>
      </w:r>
      <w:r w:rsidRPr="002C415D">
        <w:rPr>
          <w:sz w:val="24"/>
        </w:rPr>
        <w:t xml:space="preserve"> is more overt in its depiction of social and political issues, but deeper reading into the text allows exploration of the hidden freedoms and confinements. As with Alice challenging the female stereotypes, the women that are presented in this novel are the opposite. The maid for example is shown as passive and weak: “At the horror of these sights and sounds, the maid fainted”</w:t>
      </w:r>
      <w:r w:rsidR="002610D9" w:rsidRPr="002C415D">
        <w:rPr>
          <w:rStyle w:val="FootnoteReference"/>
          <w:sz w:val="24"/>
        </w:rPr>
        <w:footnoteReference w:id="16"/>
      </w:r>
      <w:r w:rsidRPr="002C415D">
        <w:rPr>
          <w:sz w:val="24"/>
        </w:rPr>
        <w:t xml:space="preserve">. The absence of a strong feminine character in this short story centred around men may be Stevenson’s </w:t>
      </w:r>
      <w:r w:rsidRPr="002C415D">
        <w:rPr>
          <w:sz w:val="24"/>
        </w:rPr>
        <w:lastRenderedPageBreak/>
        <w:t xml:space="preserve">narrative technique to avoid unnecessary complication. Women in Victorian novels generally had the role of the moral function, to provide a rational </w:t>
      </w:r>
      <w:r w:rsidR="003D338E" w:rsidRPr="002C415D">
        <w:rPr>
          <w:sz w:val="24"/>
        </w:rPr>
        <w:t>perspective. However, Stevenson focuses on the idea of a male degenerate to “show that Victorian people and society are imperfect and have dualities that Victorian values deny, ultimately leading to the destruction of the repressed person or society”</w:t>
      </w:r>
      <w:r w:rsidR="003D338E" w:rsidRPr="002C415D">
        <w:rPr>
          <w:rStyle w:val="FootnoteReference"/>
          <w:sz w:val="24"/>
        </w:rPr>
        <w:footnoteReference w:id="17"/>
      </w:r>
      <w:r w:rsidR="003D338E" w:rsidRPr="002C415D">
        <w:rPr>
          <w:sz w:val="24"/>
        </w:rPr>
        <w:t xml:space="preserve">. Hyde’s social status as an </w:t>
      </w:r>
      <w:r w:rsidR="005D2965" w:rsidRPr="002C415D">
        <w:rPr>
          <w:sz w:val="24"/>
        </w:rPr>
        <w:t>outcast infiltrates</w:t>
      </w:r>
      <w:r w:rsidR="003D338E" w:rsidRPr="002C415D">
        <w:rPr>
          <w:sz w:val="24"/>
        </w:rPr>
        <w:t xml:space="preserve"> into Jekyll’s personality as he gradually loses control to Hyde’s actions. </w:t>
      </w:r>
    </w:p>
    <w:p w14:paraId="25D72AC3" w14:textId="1D82463F" w:rsidR="00110CF6" w:rsidRPr="002C415D" w:rsidRDefault="005D2965" w:rsidP="00894864">
      <w:pPr>
        <w:pStyle w:val="NoSpacing"/>
        <w:rPr>
          <w:sz w:val="24"/>
        </w:rPr>
      </w:pPr>
      <w:r w:rsidRPr="002C415D">
        <w:rPr>
          <w:sz w:val="24"/>
        </w:rPr>
        <w:tab/>
        <w:t xml:space="preserve">Violence in this text has a different outcome to that in Wonderland. </w:t>
      </w:r>
      <w:r w:rsidR="00BF0756" w:rsidRPr="002C415D">
        <w:rPr>
          <w:sz w:val="24"/>
        </w:rPr>
        <w:t>Stevenson offers a perspective of violence as an act of freedom: “With a transport of glee, I mauled the unresisting body, tasting delight from every blow”</w:t>
      </w:r>
      <w:r w:rsidR="002610D9" w:rsidRPr="002C415D">
        <w:rPr>
          <w:rStyle w:val="FootnoteReference"/>
          <w:sz w:val="24"/>
        </w:rPr>
        <w:footnoteReference w:id="18"/>
      </w:r>
      <w:r w:rsidR="00BF0756" w:rsidRPr="002C415D">
        <w:rPr>
          <w:sz w:val="24"/>
        </w:rPr>
        <w:t xml:space="preserve">, because Jekyll can escape the restrictions of Victorian society through Hyde. However, the sense of pleasure in having no remorse about violent acts suggests that Jekyll is </w:t>
      </w:r>
      <w:r w:rsidR="009A278F" w:rsidRPr="002C415D">
        <w:rPr>
          <w:sz w:val="24"/>
        </w:rPr>
        <w:t>confined</w:t>
      </w:r>
      <w:r w:rsidR="00BF0756" w:rsidRPr="002C415D">
        <w:rPr>
          <w:sz w:val="24"/>
        </w:rPr>
        <w:t xml:space="preserve"> by his frustration of his reputation. This shows the limitations of freedom in violence because of the boundary on keeping up appearances. Furthermore, this is heightened by the unpleasant experience of the transformation itself. The change is described as “The most racking pangs succeeded: a grinding in the bones, deadly nausea, and a horror of the spirit that cannot be exceeded at the hour of birth or death</w:t>
      </w:r>
      <w:r w:rsidR="009A278F" w:rsidRPr="002C415D">
        <w:rPr>
          <w:sz w:val="24"/>
        </w:rPr>
        <w:t>.</w:t>
      </w:r>
      <w:r w:rsidR="00BF0756" w:rsidRPr="002C415D">
        <w:rPr>
          <w:sz w:val="24"/>
        </w:rPr>
        <w:t>”</w:t>
      </w:r>
      <w:r w:rsidR="002610D9" w:rsidRPr="002C415D">
        <w:rPr>
          <w:rStyle w:val="FootnoteReference"/>
          <w:sz w:val="24"/>
        </w:rPr>
        <w:footnoteReference w:id="19"/>
      </w:r>
      <w:r w:rsidR="00BF0756" w:rsidRPr="002C415D">
        <w:rPr>
          <w:sz w:val="24"/>
        </w:rPr>
        <w:t xml:space="preserve"> </w:t>
      </w:r>
      <w:r w:rsidR="009A278F" w:rsidRPr="002C415D">
        <w:rPr>
          <w:sz w:val="24"/>
        </w:rPr>
        <w:t xml:space="preserve">This indicates a restriction of the body in how much violence the soul can withstand. It gives the impression that neither Jekyll </w:t>
      </w:r>
      <w:r w:rsidR="003833C6" w:rsidRPr="002C415D">
        <w:rPr>
          <w:sz w:val="24"/>
        </w:rPr>
        <w:t>n</w:t>
      </w:r>
      <w:r w:rsidR="009A278F" w:rsidRPr="002C415D">
        <w:rPr>
          <w:sz w:val="24"/>
        </w:rPr>
        <w:t>or Hyde can be categorised as good and evil because they are split personalities of the same person’s inner thoughts.</w:t>
      </w:r>
    </w:p>
    <w:p w14:paraId="5CFB32CE" w14:textId="60B1AA15" w:rsidR="0035727C" w:rsidRPr="002C415D" w:rsidRDefault="0035727C" w:rsidP="00894864">
      <w:pPr>
        <w:pStyle w:val="NoSpacing"/>
        <w:rPr>
          <w:sz w:val="24"/>
        </w:rPr>
      </w:pPr>
      <w:r w:rsidRPr="002C415D">
        <w:rPr>
          <w:sz w:val="24"/>
        </w:rPr>
        <w:tab/>
        <w:t xml:space="preserve">To a certain extent, the most significant aspect of confinement in </w:t>
      </w:r>
      <w:r w:rsidRPr="002C415D">
        <w:rPr>
          <w:i/>
          <w:sz w:val="24"/>
        </w:rPr>
        <w:t>Jekyll and Hyde</w:t>
      </w:r>
      <w:r w:rsidRPr="002C415D">
        <w:rPr>
          <w:sz w:val="24"/>
        </w:rPr>
        <w:t xml:space="preserve"> is appearances. Jekyll splits his personality to create Hyde so that he can maintain his standards but have the additional freedom to act on his appetites when </w:t>
      </w:r>
      <w:r w:rsidR="009E43B5" w:rsidRPr="002C415D">
        <w:rPr>
          <w:sz w:val="24"/>
        </w:rPr>
        <w:t xml:space="preserve">he </w:t>
      </w:r>
      <w:r w:rsidRPr="002C415D">
        <w:rPr>
          <w:sz w:val="24"/>
        </w:rPr>
        <w:t>transform</w:t>
      </w:r>
      <w:r w:rsidR="009E43B5" w:rsidRPr="002C415D">
        <w:rPr>
          <w:sz w:val="24"/>
        </w:rPr>
        <w:t>s</w:t>
      </w:r>
      <w:r w:rsidRPr="002C415D">
        <w:rPr>
          <w:sz w:val="24"/>
        </w:rPr>
        <w:t xml:space="preserve"> into Hyde. However, his internal struggles, battling between these two versions of himself becomes a restriction of the self: “Between these two, I now felt I had to choose”</w:t>
      </w:r>
      <w:r w:rsidR="002610D9" w:rsidRPr="002C415D">
        <w:rPr>
          <w:rStyle w:val="FootnoteReference"/>
          <w:sz w:val="24"/>
        </w:rPr>
        <w:footnoteReference w:id="20"/>
      </w:r>
      <w:r w:rsidRPr="002C415D">
        <w:rPr>
          <w:sz w:val="24"/>
        </w:rPr>
        <w:t xml:space="preserve">. This suggests that he has a desire for control but the violent Hyde becomes more powerful, thus resulting in a lack of control and no progression in his </w:t>
      </w:r>
      <w:r w:rsidR="00E22D0D" w:rsidRPr="002C415D">
        <w:rPr>
          <w:sz w:val="24"/>
        </w:rPr>
        <w:t>separation</w:t>
      </w:r>
      <w:r w:rsidRPr="002C415D">
        <w:rPr>
          <w:sz w:val="24"/>
        </w:rPr>
        <w:t>. Jekyll’s concern shows he has confined himself rather than becoming free: “Both sides of me were in dead earnest; I was no more myself when I laid aside restraint and plunged in shame, than when I laboured, in the eye of day, at the furtherance of knowledge or the relief of sorrow and suffering”</w:t>
      </w:r>
      <w:r w:rsidR="002610D9" w:rsidRPr="002C415D">
        <w:rPr>
          <w:rStyle w:val="FootnoteReference"/>
          <w:sz w:val="24"/>
        </w:rPr>
        <w:footnoteReference w:id="21"/>
      </w:r>
      <w:r w:rsidRPr="002C415D">
        <w:rPr>
          <w:sz w:val="24"/>
        </w:rPr>
        <w:t xml:space="preserve">. It is clear that he cannot balance both sides of good and evil in the same vessel but they </w:t>
      </w:r>
      <w:r w:rsidR="00E22D0D" w:rsidRPr="002C415D">
        <w:rPr>
          <w:sz w:val="24"/>
        </w:rPr>
        <w:t xml:space="preserve">also </w:t>
      </w:r>
      <w:r w:rsidRPr="002C415D">
        <w:rPr>
          <w:sz w:val="24"/>
        </w:rPr>
        <w:t xml:space="preserve">cannot exist alongside one another. </w:t>
      </w:r>
    </w:p>
    <w:p w14:paraId="090FDF2E" w14:textId="7A7A8B7F" w:rsidR="0035727C" w:rsidRPr="002C415D" w:rsidRDefault="0035727C" w:rsidP="00894864">
      <w:pPr>
        <w:pStyle w:val="NoSpacing"/>
        <w:rPr>
          <w:sz w:val="24"/>
        </w:rPr>
      </w:pPr>
      <w:r w:rsidRPr="002C415D">
        <w:rPr>
          <w:sz w:val="24"/>
        </w:rPr>
        <w:tab/>
        <w:t xml:space="preserve">In order to understand why Jekyll chooses to create Hyde, we must consider the appearance he is portraying and why Hyde would interfere with it. </w:t>
      </w:r>
      <w:r w:rsidR="00E22D0D" w:rsidRPr="002C415D">
        <w:rPr>
          <w:sz w:val="24"/>
        </w:rPr>
        <w:t>In the Victorian society Stevenson portrays, Jekyll is a respected doctor, but appears to be unsatisfied with his life. His desire to act on his urges along with his need to maintain his standards illustrates the pressures he faced from society. At the time of writing this, the British Empire was emerging and with it brought great pride in nationalism. Victorian London was pictured as a prosperous area of commerce and wealth, however, “Even London itself has a dual nature, with its respectable streets existing side-by-side with areas notorious for their squalor and violence”</w:t>
      </w:r>
      <w:r w:rsidR="00E22D0D" w:rsidRPr="002C415D">
        <w:rPr>
          <w:rStyle w:val="FootnoteReference"/>
          <w:sz w:val="24"/>
        </w:rPr>
        <w:footnoteReference w:id="22"/>
      </w:r>
      <w:r w:rsidR="00E22D0D" w:rsidRPr="002C415D">
        <w:rPr>
          <w:sz w:val="24"/>
        </w:rPr>
        <w:t>.</w:t>
      </w:r>
      <w:r w:rsidR="00F62E1E" w:rsidRPr="002C415D">
        <w:rPr>
          <w:sz w:val="24"/>
        </w:rPr>
        <w:t xml:space="preserve"> </w:t>
      </w:r>
      <w:r w:rsidR="00C15FE2" w:rsidRPr="002C415D">
        <w:rPr>
          <w:sz w:val="24"/>
        </w:rPr>
        <w:t>Stevenson</w:t>
      </w:r>
      <w:r w:rsidR="00F62E1E" w:rsidRPr="002C415D">
        <w:rPr>
          <w:sz w:val="24"/>
        </w:rPr>
        <w:t xml:space="preserve"> depicts Jekyll’s social situation</w:t>
      </w:r>
      <w:r w:rsidR="00C15FE2" w:rsidRPr="002C415D">
        <w:rPr>
          <w:sz w:val="24"/>
        </w:rPr>
        <w:t xml:space="preserve"> by paralleling it with the nature of </w:t>
      </w:r>
      <w:r w:rsidR="00C15FE2" w:rsidRPr="002C415D">
        <w:rPr>
          <w:sz w:val="24"/>
        </w:rPr>
        <w:lastRenderedPageBreak/>
        <w:t>society in general.</w:t>
      </w:r>
      <w:r w:rsidR="002E79C3" w:rsidRPr="002C415D">
        <w:rPr>
          <w:sz w:val="24"/>
        </w:rPr>
        <w:t xml:space="preserve"> By separating the two sides of his personality, Jekyll becomes free of </w:t>
      </w:r>
      <w:r w:rsidR="002E79C3" w:rsidRPr="002C415D">
        <w:rPr>
          <w:sz w:val="24"/>
        </w:rPr>
        <w:t>“the bonds of obligation”</w:t>
      </w:r>
      <w:r w:rsidR="002610D9" w:rsidRPr="002C415D">
        <w:rPr>
          <w:rStyle w:val="FootnoteReference"/>
          <w:sz w:val="24"/>
        </w:rPr>
        <w:footnoteReference w:id="23"/>
      </w:r>
      <w:r w:rsidR="002E79C3" w:rsidRPr="002C415D">
        <w:rPr>
          <w:sz w:val="24"/>
        </w:rPr>
        <w:t xml:space="preserve">, but it leaves the question as to whether he has weakened himself in the process. Thus, providing a potential explanation as to why Hyde becomes so powerful over Jekyll, and is able to take over both the body and the mind. </w:t>
      </w:r>
    </w:p>
    <w:p w14:paraId="4349DA56" w14:textId="6478DED1" w:rsidR="002E79C3" w:rsidRPr="002C415D" w:rsidRDefault="002E79C3" w:rsidP="00894864">
      <w:pPr>
        <w:pStyle w:val="NoSpacing"/>
        <w:rPr>
          <w:sz w:val="24"/>
        </w:rPr>
      </w:pPr>
      <w:r w:rsidRPr="002C415D">
        <w:rPr>
          <w:sz w:val="24"/>
        </w:rPr>
        <w:tab/>
      </w:r>
      <w:r w:rsidR="001B1DFD" w:rsidRPr="002C415D">
        <w:rPr>
          <w:sz w:val="24"/>
        </w:rPr>
        <w:t xml:space="preserve">Jekyll says that he has </w:t>
      </w:r>
      <w:r w:rsidR="001B1DFD" w:rsidRPr="002C415D">
        <w:rPr>
          <w:sz w:val="24"/>
        </w:rPr>
        <w:t>“two characters as well as two appearances, one was wholly evil, and the other was still the old Henry Jekyll, that incongruous compound of whose reformation and improvement I had already learned to despair. The movement was thus wholly toward the worse”</w:t>
      </w:r>
      <w:r w:rsidR="002610D9" w:rsidRPr="002C415D">
        <w:rPr>
          <w:rStyle w:val="FootnoteReference"/>
          <w:sz w:val="24"/>
        </w:rPr>
        <w:footnoteReference w:id="24"/>
      </w:r>
      <w:r w:rsidR="001B1DFD" w:rsidRPr="002C415D">
        <w:rPr>
          <w:sz w:val="24"/>
        </w:rPr>
        <w:t xml:space="preserve">. This suggests that the categorisation of good and evil is blurred because the transformation between the two has warped Jekyll’s mind. It is interesting to consider their names in context to the definitions of good and evil. Jekyll’s character as </w:t>
      </w:r>
      <w:r w:rsidR="005E0671" w:rsidRPr="002C415D">
        <w:rPr>
          <w:sz w:val="24"/>
        </w:rPr>
        <w:t xml:space="preserve">representing good doesn’t fit with his name that </w:t>
      </w:r>
      <w:r w:rsidR="00FF5461" w:rsidRPr="002C415D">
        <w:rPr>
          <w:sz w:val="24"/>
        </w:rPr>
        <w:t xml:space="preserve">translates </w:t>
      </w:r>
      <w:r w:rsidR="005E0671" w:rsidRPr="002C415D">
        <w:rPr>
          <w:sz w:val="24"/>
        </w:rPr>
        <w:t xml:space="preserve">‘Je’ in French </w:t>
      </w:r>
      <w:r w:rsidR="00FF5461" w:rsidRPr="002C415D">
        <w:rPr>
          <w:sz w:val="24"/>
        </w:rPr>
        <w:t xml:space="preserve">to </w:t>
      </w:r>
      <w:r w:rsidR="005E0671" w:rsidRPr="002C415D">
        <w:rPr>
          <w:sz w:val="24"/>
        </w:rPr>
        <w:t>‘I’ and a</w:t>
      </w:r>
      <w:r w:rsidR="00FF5461" w:rsidRPr="002C415D">
        <w:rPr>
          <w:sz w:val="24"/>
        </w:rPr>
        <w:t>n</w:t>
      </w:r>
      <w:r w:rsidR="005E0671" w:rsidRPr="002C415D">
        <w:rPr>
          <w:sz w:val="24"/>
        </w:rPr>
        <w:t xml:space="preserve"> </w:t>
      </w:r>
      <w:r w:rsidR="00004787" w:rsidRPr="002C415D">
        <w:rPr>
          <w:sz w:val="24"/>
        </w:rPr>
        <w:t>alter</w:t>
      </w:r>
      <w:r w:rsidR="002547A8" w:rsidRPr="002C415D">
        <w:rPr>
          <w:sz w:val="24"/>
        </w:rPr>
        <w:t>ation</w:t>
      </w:r>
      <w:r w:rsidR="00004787" w:rsidRPr="002C415D">
        <w:rPr>
          <w:sz w:val="24"/>
        </w:rPr>
        <w:t xml:space="preserve"> of ‘kill’. </w:t>
      </w:r>
      <w:r w:rsidR="00FF5461" w:rsidRPr="002C415D">
        <w:rPr>
          <w:sz w:val="24"/>
        </w:rPr>
        <w:t xml:space="preserve">Overtly, he kills a couple of characters within the story (as Hyde), but </w:t>
      </w:r>
      <w:r w:rsidR="009930C2" w:rsidRPr="002C415D">
        <w:rPr>
          <w:sz w:val="24"/>
        </w:rPr>
        <w:t xml:space="preserve">Stevenson may have considered that the transformation has killed a part of Jekyll himself. </w:t>
      </w:r>
      <w:r w:rsidR="002547A8" w:rsidRPr="002C415D">
        <w:rPr>
          <w:sz w:val="24"/>
        </w:rPr>
        <w:t xml:space="preserve">Meanwhile, Hyde evidently represents ‘hide’, the part of Jekyll that has remained hidden from society for so long. This interpretation of names indicates the confinement Jekyll cannot escape from: </w:t>
      </w:r>
      <w:r w:rsidR="002547A8" w:rsidRPr="002C415D">
        <w:rPr>
          <w:sz w:val="24"/>
        </w:rPr>
        <w:t>“Jekyll was now my city of refuge; let but Hyde peep out an instant, and the hands of all men would be raised to take and slay him”</w:t>
      </w:r>
      <w:r w:rsidR="002610D9" w:rsidRPr="002C415D">
        <w:rPr>
          <w:rStyle w:val="FootnoteReference"/>
          <w:sz w:val="24"/>
        </w:rPr>
        <w:footnoteReference w:id="25"/>
      </w:r>
      <w:r w:rsidR="002547A8" w:rsidRPr="002C415D">
        <w:rPr>
          <w:sz w:val="24"/>
        </w:rPr>
        <w:t>.</w:t>
      </w:r>
    </w:p>
    <w:p w14:paraId="6FE5DEE3" w14:textId="60A4AD37" w:rsidR="00D53BB2" w:rsidRPr="002C415D" w:rsidRDefault="00D53BB2" w:rsidP="00894864">
      <w:pPr>
        <w:pStyle w:val="NoSpacing"/>
        <w:rPr>
          <w:sz w:val="24"/>
        </w:rPr>
      </w:pPr>
    </w:p>
    <w:p w14:paraId="4BA6A941" w14:textId="6D58F995" w:rsidR="002C415D" w:rsidRDefault="00D53BB2" w:rsidP="00CD0423">
      <w:pPr>
        <w:pStyle w:val="NoSpacing"/>
        <w:rPr>
          <w:sz w:val="24"/>
        </w:rPr>
      </w:pPr>
      <w:r w:rsidRPr="002C415D">
        <w:rPr>
          <w:sz w:val="24"/>
        </w:rPr>
        <w:t xml:space="preserve">In conclusion, both of the novels I’ve explored have shown two sides of the self that reflect on the concept of confinement and freedom. Alice’s adventure depicts the internal struggle of feeling trapped through age as shown with the motif of growing. Jekyll and Hyde illustrate the restrictions of good and evil, how they overlap and obscure each other. Both texts appear to mock the morals the Victorian era </w:t>
      </w:r>
      <w:r w:rsidR="00CD0423" w:rsidRPr="002C415D">
        <w:rPr>
          <w:sz w:val="24"/>
        </w:rPr>
        <w:t xml:space="preserve">by showing the limitations this society presented. The Gryphon and Mock Turtle in Wonderland challenges the idea of categorising to create an idealised version of reality. Likewise, Stevenson’s depiction of categorising good and evil in Jekyll and Hyde implies that there is a blurred boundary between them. Therefore, by rejecting </w:t>
      </w:r>
      <w:r w:rsidR="00CD0423" w:rsidRPr="002C415D">
        <w:rPr>
          <w:sz w:val="24"/>
        </w:rPr>
        <w:t>“the model of socially responsible realism for a strangely logical fantasy”</w:t>
      </w:r>
      <w:r w:rsidR="00CD0423" w:rsidRPr="002C415D">
        <w:rPr>
          <w:rStyle w:val="FootnoteReference"/>
          <w:sz w:val="24"/>
        </w:rPr>
        <w:footnoteReference w:id="26"/>
      </w:r>
      <w:r w:rsidR="00CD0423" w:rsidRPr="002C415D">
        <w:rPr>
          <w:sz w:val="24"/>
        </w:rPr>
        <w:t xml:space="preserve"> the texts show that there is both a freedom and a confinement within the mind and body depending on how the situation is perceived. </w:t>
      </w:r>
    </w:p>
    <w:p w14:paraId="096BC943" w14:textId="77777777" w:rsidR="002C415D" w:rsidRDefault="002C415D">
      <w:pPr>
        <w:rPr>
          <w:sz w:val="24"/>
        </w:rPr>
      </w:pPr>
      <w:r>
        <w:rPr>
          <w:sz w:val="24"/>
        </w:rPr>
        <w:br w:type="page"/>
      </w:r>
    </w:p>
    <w:p w14:paraId="23D2E99D" w14:textId="15DA244D" w:rsidR="00C83B81" w:rsidRDefault="00E963DD" w:rsidP="00CD0423">
      <w:pPr>
        <w:pStyle w:val="NoSpacing"/>
        <w:rPr>
          <w:sz w:val="24"/>
          <w:u w:val="single"/>
        </w:rPr>
      </w:pPr>
      <w:r w:rsidRPr="00E963DD">
        <w:rPr>
          <w:sz w:val="24"/>
          <w:u w:val="single"/>
        </w:rPr>
        <w:lastRenderedPageBreak/>
        <w:t>Bibliography</w:t>
      </w:r>
    </w:p>
    <w:p w14:paraId="6CAF69B9" w14:textId="2077D08D" w:rsidR="00E963DD" w:rsidRDefault="00E963DD" w:rsidP="00CD0423">
      <w:pPr>
        <w:pStyle w:val="NoSpacing"/>
        <w:rPr>
          <w:sz w:val="24"/>
          <w:u w:val="single"/>
        </w:rPr>
      </w:pPr>
    </w:p>
    <w:p w14:paraId="6B6740B1" w14:textId="5E9F2B3F" w:rsidR="00E963DD" w:rsidRDefault="00E963DD" w:rsidP="00CD0423">
      <w:pPr>
        <w:pStyle w:val="NoSpacing"/>
        <w:rPr>
          <w:sz w:val="24"/>
        </w:rPr>
      </w:pPr>
      <w:proofErr w:type="spellStart"/>
      <w:r w:rsidRPr="00E963DD">
        <w:rPr>
          <w:sz w:val="24"/>
        </w:rPr>
        <w:t>Buzwell</w:t>
      </w:r>
      <w:proofErr w:type="spellEnd"/>
      <w:r w:rsidRPr="00E963DD">
        <w:rPr>
          <w:sz w:val="24"/>
        </w:rPr>
        <w:t>,</w:t>
      </w:r>
      <w:r>
        <w:rPr>
          <w:sz w:val="24"/>
        </w:rPr>
        <w:t xml:space="preserve"> Greg,</w:t>
      </w:r>
      <w:r w:rsidRPr="00E963DD">
        <w:rPr>
          <w:sz w:val="24"/>
        </w:rPr>
        <w:t xml:space="preserve"> “‘Man Is Not Truly One, But Truly Two’: Duality in Robert Louis Stevenson’s Strange Case of Dr Jekyll And Mr Hyde”, </w:t>
      </w:r>
      <w:r w:rsidRPr="00E963DD">
        <w:rPr>
          <w:i/>
          <w:iCs/>
          <w:sz w:val="24"/>
        </w:rPr>
        <w:t>Discovering Literature: Romantics &amp; Victorians</w:t>
      </w:r>
      <w:r w:rsidRPr="00E963DD">
        <w:rPr>
          <w:sz w:val="24"/>
        </w:rPr>
        <w:t>, 2014 &lt;https://www.bl.uk/romantics-and-victorians/articles/duality-in-robert-louis-stevensons-strange-case-of-dr-jekyll-and-mr-hyde&gt; [Accessed 30 January 2019].</w:t>
      </w:r>
    </w:p>
    <w:p w14:paraId="1B4B0899" w14:textId="77777777" w:rsidR="00E963DD" w:rsidRDefault="00E963DD" w:rsidP="00CD0423">
      <w:pPr>
        <w:pStyle w:val="NoSpacing"/>
        <w:rPr>
          <w:sz w:val="24"/>
        </w:rPr>
      </w:pPr>
    </w:p>
    <w:p w14:paraId="7329BABD" w14:textId="7E6595E8" w:rsidR="00E963DD" w:rsidRDefault="00E963DD" w:rsidP="00E963DD">
      <w:pPr>
        <w:pStyle w:val="NoSpacing"/>
        <w:rPr>
          <w:sz w:val="24"/>
        </w:rPr>
      </w:pPr>
      <w:r w:rsidRPr="00E963DD">
        <w:rPr>
          <w:sz w:val="24"/>
        </w:rPr>
        <w:t>Carroll,</w:t>
      </w:r>
      <w:r>
        <w:rPr>
          <w:sz w:val="24"/>
        </w:rPr>
        <w:t xml:space="preserve"> Lewis,</w:t>
      </w:r>
      <w:r w:rsidRPr="00E963DD">
        <w:rPr>
          <w:sz w:val="24"/>
        </w:rPr>
        <w:t> </w:t>
      </w:r>
      <w:r w:rsidRPr="00E963DD">
        <w:rPr>
          <w:i/>
          <w:iCs/>
          <w:sz w:val="24"/>
        </w:rPr>
        <w:t>Alice's Adventures in Wonderland</w:t>
      </w:r>
      <w:r w:rsidRPr="00E963DD">
        <w:rPr>
          <w:sz w:val="24"/>
        </w:rPr>
        <w:t>, (Adelaide: The University of Adelaide Library, 1865) &lt;https://ebooks.adelaide.edu.au/c/carroll/lewis/alice/index.html&gt; [Accessed 1 February 2019].</w:t>
      </w:r>
    </w:p>
    <w:p w14:paraId="0F4CCCDF" w14:textId="77777777" w:rsidR="00E963DD" w:rsidRPr="00E963DD" w:rsidRDefault="00E963DD" w:rsidP="00E963DD">
      <w:pPr>
        <w:pStyle w:val="NoSpacing"/>
        <w:rPr>
          <w:sz w:val="24"/>
        </w:rPr>
      </w:pPr>
    </w:p>
    <w:p w14:paraId="22EDC8FE" w14:textId="105C2FC7" w:rsidR="00E963DD" w:rsidRDefault="00E963DD" w:rsidP="00CD0423">
      <w:pPr>
        <w:pStyle w:val="NoSpacing"/>
        <w:rPr>
          <w:sz w:val="24"/>
        </w:rPr>
      </w:pPr>
      <w:r w:rsidRPr="00E963DD">
        <w:rPr>
          <w:sz w:val="24"/>
        </w:rPr>
        <w:t>Geer,</w:t>
      </w:r>
      <w:r>
        <w:rPr>
          <w:sz w:val="24"/>
        </w:rPr>
        <w:t xml:space="preserve"> Jennifer,</w:t>
      </w:r>
      <w:r w:rsidRPr="00E963DD">
        <w:rPr>
          <w:sz w:val="24"/>
        </w:rPr>
        <w:t xml:space="preserve"> “‘All Sorts of Pitfalls and Surprises’: Competing Views of Idealized Girlhood in Lewis Carroll's Alice Books”, </w:t>
      </w:r>
      <w:r w:rsidRPr="00E963DD">
        <w:rPr>
          <w:i/>
          <w:iCs/>
          <w:sz w:val="24"/>
        </w:rPr>
        <w:t>Children's Literature</w:t>
      </w:r>
      <w:r w:rsidRPr="00E963DD">
        <w:rPr>
          <w:sz w:val="24"/>
        </w:rPr>
        <w:t xml:space="preserve">, 31 (2003), </w:t>
      </w:r>
      <w:r>
        <w:rPr>
          <w:sz w:val="24"/>
        </w:rPr>
        <w:t xml:space="preserve">pp. </w:t>
      </w:r>
      <w:r w:rsidRPr="00E963DD">
        <w:rPr>
          <w:sz w:val="24"/>
        </w:rPr>
        <w:t>1-24 &lt;https://doi.org/https://doi.org/10.1353/chl.2003.0008&gt;.</w:t>
      </w:r>
    </w:p>
    <w:p w14:paraId="3BA19194" w14:textId="77777777" w:rsidR="00E963DD" w:rsidRDefault="00E963DD" w:rsidP="00CD0423">
      <w:pPr>
        <w:pStyle w:val="NoSpacing"/>
        <w:rPr>
          <w:sz w:val="24"/>
        </w:rPr>
      </w:pPr>
    </w:p>
    <w:p w14:paraId="17447425" w14:textId="405A9BA7" w:rsidR="00E963DD" w:rsidRDefault="00E963DD" w:rsidP="00E963DD">
      <w:pPr>
        <w:pStyle w:val="NoSpacing"/>
        <w:rPr>
          <w:sz w:val="24"/>
        </w:rPr>
      </w:pPr>
      <w:r w:rsidRPr="00E963DD">
        <w:rPr>
          <w:sz w:val="24"/>
        </w:rPr>
        <w:t xml:space="preserve">Mack, </w:t>
      </w:r>
      <w:r>
        <w:rPr>
          <w:sz w:val="24"/>
        </w:rPr>
        <w:t xml:space="preserve">Valerie, </w:t>
      </w:r>
      <w:r w:rsidRPr="00E963DD">
        <w:rPr>
          <w:sz w:val="24"/>
        </w:rPr>
        <w:t xml:space="preserve">“Reputation and Social Perfection: The Social Creation of Mr. Hyde” (2012), </w:t>
      </w:r>
      <w:r w:rsidRPr="00E963DD">
        <w:rPr>
          <w:i/>
          <w:sz w:val="24"/>
        </w:rPr>
        <w:t>Outstanding Gateway Papers</w:t>
      </w:r>
      <w:r w:rsidRPr="00E963DD">
        <w:rPr>
          <w:sz w:val="24"/>
        </w:rPr>
        <w:t xml:space="preserve">, Paper 2. &lt;http://digitalcommons.iwu.edu/gateway/2&gt; </w:t>
      </w:r>
    </w:p>
    <w:p w14:paraId="6F123B0B" w14:textId="77777777" w:rsidR="00E963DD" w:rsidRPr="00E963DD" w:rsidRDefault="00E963DD" w:rsidP="00E963DD">
      <w:pPr>
        <w:pStyle w:val="NoSpacing"/>
        <w:rPr>
          <w:sz w:val="24"/>
        </w:rPr>
      </w:pPr>
    </w:p>
    <w:p w14:paraId="382867F0" w14:textId="1117F7ED" w:rsidR="00E963DD" w:rsidRDefault="00E963DD" w:rsidP="00E963DD">
      <w:pPr>
        <w:pStyle w:val="NoSpacing"/>
        <w:rPr>
          <w:sz w:val="24"/>
        </w:rPr>
      </w:pPr>
      <w:proofErr w:type="spellStart"/>
      <w:r w:rsidRPr="00E963DD">
        <w:rPr>
          <w:sz w:val="24"/>
        </w:rPr>
        <w:t>Michie</w:t>
      </w:r>
      <w:proofErr w:type="spellEnd"/>
      <w:r w:rsidRPr="00E963DD">
        <w:rPr>
          <w:sz w:val="24"/>
        </w:rPr>
        <w:t>,</w:t>
      </w:r>
      <w:r>
        <w:rPr>
          <w:sz w:val="24"/>
        </w:rPr>
        <w:t xml:space="preserve"> Helena,</w:t>
      </w:r>
      <w:r w:rsidRPr="00E963DD">
        <w:rPr>
          <w:sz w:val="24"/>
        </w:rPr>
        <w:t xml:space="preserve"> </w:t>
      </w:r>
      <w:r w:rsidRPr="00E963DD">
        <w:rPr>
          <w:i/>
          <w:sz w:val="24"/>
        </w:rPr>
        <w:t>The Flesh Made Word: Female Figures and Women’s Bodies,</w:t>
      </w:r>
      <w:r w:rsidRPr="00E963DD">
        <w:rPr>
          <w:sz w:val="24"/>
        </w:rPr>
        <w:t xml:space="preserve"> (Oxford: Oxford University Press, 1990)</w:t>
      </w:r>
      <w:r w:rsidR="007E4388">
        <w:rPr>
          <w:sz w:val="24"/>
        </w:rPr>
        <w:t>.</w:t>
      </w:r>
    </w:p>
    <w:p w14:paraId="4A88871B" w14:textId="77777777" w:rsidR="00E963DD" w:rsidRDefault="00E963DD" w:rsidP="00E963DD">
      <w:pPr>
        <w:pStyle w:val="NoSpacing"/>
        <w:rPr>
          <w:sz w:val="24"/>
        </w:rPr>
      </w:pPr>
    </w:p>
    <w:p w14:paraId="01283A62" w14:textId="72B3F85D" w:rsidR="00E963DD" w:rsidRDefault="00E963DD" w:rsidP="00CD0423">
      <w:pPr>
        <w:pStyle w:val="NoSpacing"/>
        <w:rPr>
          <w:sz w:val="24"/>
        </w:rPr>
      </w:pPr>
      <w:r w:rsidRPr="00E963DD">
        <w:rPr>
          <w:sz w:val="24"/>
        </w:rPr>
        <w:t xml:space="preserve">Prickett, </w:t>
      </w:r>
      <w:r>
        <w:rPr>
          <w:sz w:val="24"/>
        </w:rPr>
        <w:t xml:space="preserve">Stephen, </w:t>
      </w:r>
      <w:r w:rsidRPr="00E963DD">
        <w:rPr>
          <w:i/>
          <w:sz w:val="24"/>
        </w:rPr>
        <w:t>Victorian Fantasy</w:t>
      </w:r>
      <w:r w:rsidRPr="00E963DD">
        <w:rPr>
          <w:sz w:val="24"/>
        </w:rPr>
        <w:t>, (Sussex: Harvester, 1979)</w:t>
      </w:r>
    </w:p>
    <w:p w14:paraId="7D4BF4A7" w14:textId="77777777" w:rsidR="00E963DD" w:rsidRDefault="00E963DD" w:rsidP="00CD0423">
      <w:pPr>
        <w:pStyle w:val="NoSpacing"/>
        <w:rPr>
          <w:sz w:val="24"/>
        </w:rPr>
      </w:pPr>
    </w:p>
    <w:p w14:paraId="7F546D0E" w14:textId="65F5A805" w:rsidR="00E963DD" w:rsidRDefault="00E963DD" w:rsidP="00E963DD">
      <w:pPr>
        <w:pStyle w:val="NoSpacing"/>
        <w:rPr>
          <w:sz w:val="24"/>
        </w:rPr>
      </w:pPr>
      <w:r w:rsidRPr="00E963DD">
        <w:rPr>
          <w:sz w:val="24"/>
        </w:rPr>
        <w:t xml:space="preserve">Reynolds, </w:t>
      </w:r>
      <w:r>
        <w:rPr>
          <w:sz w:val="24"/>
        </w:rPr>
        <w:t xml:space="preserve">Kimberley, </w:t>
      </w:r>
      <w:r w:rsidRPr="00E963DD">
        <w:rPr>
          <w:sz w:val="24"/>
        </w:rPr>
        <w:t>“Perceptions of Childhood”, </w:t>
      </w:r>
      <w:r w:rsidRPr="00E963DD">
        <w:rPr>
          <w:i/>
          <w:iCs/>
          <w:sz w:val="24"/>
        </w:rPr>
        <w:t>Romanticism, Childhood and Children's Literature</w:t>
      </w:r>
      <w:r w:rsidRPr="00E963DD">
        <w:rPr>
          <w:sz w:val="24"/>
        </w:rPr>
        <w:t>, 2014 &lt;https://www.bl.uk/romantics-and-victorians/articles/perceptions-of-childhood&gt; [Accessed 1 February 2019].</w:t>
      </w:r>
    </w:p>
    <w:p w14:paraId="1C3BC3AD" w14:textId="77777777" w:rsidR="00E963DD" w:rsidRDefault="00E963DD" w:rsidP="00E963DD">
      <w:pPr>
        <w:pStyle w:val="NoSpacing"/>
        <w:rPr>
          <w:sz w:val="24"/>
        </w:rPr>
      </w:pPr>
    </w:p>
    <w:p w14:paraId="64E8BFC6" w14:textId="3BCE80FD" w:rsidR="00E963DD" w:rsidRDefault="00E963DD" w:rsidP="00CD0423">
      <w:pPr>
        <w:pStyle w:val="NoSpacing"/>
        <w:rPr>
          <w:sz w:val="24"/>
        </w:rPr>
      </w:pPr>
      <w:r w:rsidRPr="00E963DD">
        <w:rPr>
          <w:sz w:val="24"/>
        </w:rPr>
        <w:t xml:space="preserve">Spivak, </w:t>
      </w:r>
      <w:r>
        <w:rPr>
          <w:sz w:val="24"/>
        </w:rPr>
        <w:t xml:space="preserve">Gayatri C., </w:t>
      </w:r>
      <w:r w:rsidRPr="00E963DD">
        <w:rPr>
          <w:sz w:val="24"/>
        </w:rPr>
        <w:t xml:space="preserve">‘Three Women’s Texts and a Critique of Imperialism’, </w:t>
      </w:r>
      <w:r w:rsidRPr="00E963DD">
        <w:rPr>
          <w:i/>
          <w:sz w:val="24"/>
        </w:rPr>
        <w:t>Critical Inquiry</w:t>
      </w:r>
      <w:r w:rsidRPr="00E963DD">
        <w:rPr>
          <w:sz w:val="24"/>
        </w:rPr>
        <w:t>, Vol. 12, No. 1, (Chicago: The University of Chicago Press, 1985) &lt;http://www.jstor.org/stable/1343469&gt; [Accessed 30 January 2019].</w:t>
      </w:r>
    </w:p>
    <w:p w14:paraId="7C374C23" w14:textId="77777777" w:rsidR="00E963DD" w:rsidRDefault="00E963DD" w:rsidP="00CD0423">
      <w:pPr>
        <w:pStyle w:val="NoSpacing"/>
        <w:rPr>
          <w:sz w:val="24"/>
        </w:rPr>
      </w:pPr>
    </w:p>
    <w:p w14:paraId="501206E4" w14:textId="77777777" w:rsidR="00E963DD" w:rsidRDefault="00E963DD" w:rsidP="00CD0423">
      <w:pPr>
        <w:pStyle w:val="NoSpacing"/>
        <w:rPr>
          <w:sz w:val="24"/>
        </w:rPr>
      </w:pPr>
      <w:r w:rsidRPr="00E963DD">
        <w:rPr>
          <w:sz w:val="24"/>
        </w:rPr>
        <w:t>Stevenson, </w:t>
      </w:r>
      <w:r>
        <w:rPr>
          <w:sz w:val="24"/>
        </w:rPr>
        <w:t xml:space="preserve">Robert Louis, </w:t>
      </w:r>
      <w:r w:rsidRPr="00E963DD">
        <w:rPr>
          <w:i/>
          <w:iCs/>
          <w:sz w:val="24"/>
        </w:rPr>
        <w:t>The Strange Case of Dr Jekyll and Mr Hyde,</w:t>
      </w:r>
      <w:r w:rsidRPr="00E963DD">
        <w:rPr>
          <w:sz w:val="24"/>
        </w:rPr>
        <w:t xml:space="preserve"> (Adelaide: The University of Adelaide Library, 1886) &lt;https://ebooks.adelaide.edu.au/s/stevenson/robert_louis/s848dj/index.html&gt; [Accessed 30 January 2019].</w:t>
      </w:r>
    </w:p>
    <w:sectPr w:rsidR="00E963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F1B6F" w14:textId="77777777" w:rsidR="00D8202E" w:rsidRDefault="00D8202E" w:rsidP="009D390B">
      <w:pPr>
        <w:spacing w:after="0" w:line="240" w:lineRule="auto"/>
      </w:pPr>
      <w:r>
        <w:separator/>
      </w:r>
    </w:p>
  </w:endnote>
  <w:endnote w:type="continuationSeparator" w:id="0">
    <w:p w14:paraId="15F7BA62" w14:textId="77777777" w:rsidR="00D8202E" w:rsidRDefault="00D8202E" w:rsidP="009D3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E0E0D" w14:textId="77777777" w:rsidR="00D8202E" w:rsidRDefault="00D8202E" w:rsidP="009D390B">
      <w:pPr>
        <w:spacing w:after="0" w:line="240" w:lineRule="auto"/>
      </w:pPr>
      <w:r>
        <w:separator/>
      </w:r>
    </w:p>
  </w:footnote>
  <w:footnote w:type="continuationSeparator" w:id="0">
    <w:p w14:paraId="37118843" w14:textId="77777777" w:rsidR="00D8202E" w:rsidRDefault="00D8202E" w:rsidP="009D390B">
      <w:pPr>
        <w:spacing w:after="0" w:line="240" w:lineRule="auto"/>
      </w:pPr>
      <w:r>
        <w:continuationSeparator/>
      </w:r>
    </w:p>
  </w:footnote>
  <w:footnote w:id="1">
    <w:p w14:paraId="4D985F64" w14:textId="7D2B31CE" w:rsidR="00F62E1E" w:rsidRPr="00904AAB" w:rsidRDefault="00F62E1E">
      <w:pPr>
        <w:pStyle w:val="FootnoteText"/>
      </w:pPr>
      <w:r w:rsidRPr="00904AAB">
        <w:rPr>
          <w:rStyle w:val="FootnoteReference"/>
        </w:rPr>
        <w:footnoteRef/>
      </w:r>
      <w:r w:rsidRPr="00904AAB">
        <w:t xml:space="preserve"> Kimberley Reynolds, </w:t>
      </w:r>
      <w:r w:rsidR="00B26C32">
        <w:t>“</w:t>
      </w:r>
      <w:r w:rsidRPr="00904AAB">
        <w:t>Perceptions of Childhood</w:t>
      </w:r>
      <w:r w:rsidR="00B26C32">
        <w:t>”</w:t>
      </w:r>
      <w:r w:rsidRPr="00904AAB">
        <w:t>, </w:t>
      </w:r>
      <w:r w:rsidRPr="00904AAB">
        <w:rPr>
          <w:i/>
          <w:iCs/>
        </w:rPr>
        <w:t>Romanticism, Childhood and Children's Literature</w:t>
      </w:r>
      <w:r w:rsidRPr="00904AAB">
        <w:t>, 2014 &lt;https://www.bl.uk/romantics-and-victorians/articles/perceptions-of-childhood&gt; [Accessed 1 February 2019].</w:t>
      </w:r>
    </w:p>
  </w:footnote>
  <w:footnote w:id="2">
    <w:p w14:paraId="55C8DC5C" w14:textId="287B02B7" w:rsidR="00F62E1E" w:rsidRDefault="00F62E1E">
      <w:pPr>
        <w:pStyle w:val="FootnoteText"/>
      </w:pPr>
      <w:r w:rsidRPr="00904AAB">
        <w:rPr>
          <w:rStyle w:val="FootnoteReference"/>
        </w:rPr>
        <w:footnoteRef/>
      </w:r>
      <w:r w:rsidRPr="00904AAB">
        <w:t xml:space="preserve"> Helena </w:t>
      </w:r>
      <w:proofErr w:type="spellStart"/>
      <w:r w:rsidRPr="00904AAB">
        <w:t>Michie</w:t>
      </w:r>
      <w:proofErr w:type="spellEnd"/>
      <w:r w:rsidRPr="00904AAB">
        <w:t xml:space="preserve">, </w:t>
      </w:r>
      <w:r w:rsidRPr="00904AAB">
        <w:rPr>
          <w:i/>
        </w:rPr>
        <w:t>The Flesh Made Word: Female Figures and Women’s Bodies,</w:t>
      </w:r>
      <w:r w:rsidRPr="00904AAB">
        <w:t xml:space="preserve"> (Oxford: Oxford University Press, 1990), pp. 27-28.</w:t>
      </w:r>
    </w:p>
  </w:footnote>
  <w:footnote w:id="3">
    <w:p w14:paraId="4A5C9EB0" w14:textId="04BA6A0B" w:rsidR="008E03B1" w:rsidRDefault="008E03B1">
      <w:pPr>
        <w:pStyle w:val="FootnoteText"/>
      </w:pPr>
      <w:r>
        <w:rPr>
          <w:rStyle w:val="FootnoteReference"/>
        </w:rPr>
        <w:footnoteRef/>
      </w:r>
      <w:r>
        <w:t xml:space="preserve"> </w:t>
      </w:r>
      <w:r w:rsidRPr="008E03B1">
        <w:t xml:space="preserve">Lewis </w:t>
      </w:r>
      <w:bookmarkStart w:id="1" w:name="_Hlk93971"/>
      <w:r w:rsidRPr="008E03B1">
        <w:t>Carroll</w:t>
      </w:r>
      <w:bookmarkEnd w:id="1"/>
      <w:r w:rsidRPr="008E03B1">
        <w:t>, </w:t>
      </w:r>
      <w:r w:rsidRPr="008E03B1">
        <w:rPr>
          <w:i/>
          <w:iCs/>
        </w:rPr>
        <w:t xml:space="preserve">Alice's Adventures </w:t>
      </w:r>
      <w:r>
        <w:rPr>
          <w:i/>
          <w:iCs/>
        </w:rPr>
        <w:t>i</w:t>
      </w:r>
      <w:r w:rsidRPr="008E03B1">
        <w:rPr>
          <w:i/>
          <w:iCs/>
        </w:rPr>
        <w:t>n Wonderland</w:t>
      </w:r>
      <w:r w:rsidR="00450C6E">
        <w:t xml:space="preserve">, Chapter 1, </w:t>
      </w:r>
      <w:r w:rsidRPr="008E03B1">
        <w:t>(Adelaide: The University of Adelaide Library, 1865) &lt;https://ebooks.adelaide.edu.au/c/carroll/lewis/alice/index.html&gt; [Accessed 1 February 2019].</w:t>
      </w:r>
    </w:p>
  </w:footnote>
  <w:footnote w:id="4">
    <w:p w14:paraId="178225D5" w14:textId="4C17FC61" w:rsidR="008E03B1" w:rsidRDefault="008E03B1">
      <w:pPr>
        <w:pStyle w:val="FootnoteText"/>
      </w:pPr>
      <w:r>
        <w:rPr>
          <w:rStyle w:val="FootnoteReference"/>
        </w:rPr>
        <w:footnoteRef/>
      </w:r>
      <w:r>
        <w:t xml:space="preserve"> </w:t>
      </w:r>
      <w:r w:rsidRPr="008E03B1">
        <w:t>Carroll</w:t>
      </w:r>
      <w:r>
        <w:t xml:space="preserve">, </w:t>
      </w:r>
      <w:r w:rsidR="00C56A78">
        <w:t>Chapter 6.</w:t>
      </w:r>
    </w:p>
  </w:footnote>
  <w:footnote w:id="5">
    <w:p w14:paraId="2AC8F08E" w14:textId="2617D8F4" w:rsidR="008E03B1" w:rsidRDefault="008E03B1">
      <w:pPr>
        <w:pStyle w:val="FootnoteText"/>
      </w:pPr>
      <w:r>
        <w:rPr>
          <w:rStyle w:val="FootnoteReference"/>
        </w:rPr>
        <w:footnoteRef/>
      </w:r>
      <w:r>
        <w:t xml:space="preserve"> </w:t>
      </w:r>
      <w:r w:rsidRPr="008E03B1">
        <w:t>Carroll</w:t>
      </w:r>
      <w:r>
        <w:t>,</w:t>
      </w:r>
      <w:r w:rsidR="00C56A78">
        <w:t xml:space="preserve"> Chapter 6. </w:t>
      </w:r>
    </w:p>
  </w:footnote>
  <w:footnote w:id="6">
    <w:p w14:paraId="4B1111C3" w14:textId="04F78B7A" w:rsidR="00F62E1E" w:rsidRDefault="00F62E1E">
      <w:pPr>
        <w:pStyle w:val="FootnoteText"/>
      </w:pPr>
      <w:r>
        <w:rPr>
          <w:rStyle w:val="FootnoteReference"/>
        </w:rPr>
        <w:footnoteRef/>
      </w:r>
      <w:r>
        <w:t xml:space="preserve"> </w:t>
      </w:r>
      <w:bookmarkStart w:id="2" w:name="_Hlk96080"/>
      <w:r>
        <w:t xml:space="preserve">Stephen Prickett, </w:t>
      </w:r>
      <w:r>
        <w:rPr>
          <w:i/>
        </w:rPr>
        <w:t>Victorian Fantasy</w:t>
      </w:r>
      <w:r>
        <w:t>, (Sussex: Harvester, 1979)</w:t>
      </w:r>
      <w:bookmarkEnd w:id="2"/>
    </w:p>
  </w:footnote>
  <w:footnote w:id="7">
    <w:p w14:paraId="422DF78C" w14:textId="7DCECCD8" w:rsidR="008E03B1" w:rsidRDefault="008E03B1">
      <w:pPr>
        <w:pStyle w:val="FootnoteText"/>
      </w:pPr>
      <w:r>
        <w:rPr>
          <w:rStyle w:val="FootnoteReference"/>
        </w:rPr>
        <w:footnoteRef/>
      </w:r>
      <w:r>
        <w:t xml:space="preserve"> </w:t>
      </w:r>
      <w:r w:rsidRPr="008E03B1">
        <w:t>Carroll</w:t>
      </w:r>
      <w:r>
        <w:t>,</w:t>
      </w:r>
      <w:r w:rsidR="00C56A78">
        <w:t xml:space="preserve"> Chapter 8.</w:t>
      </w:r>
    </w:p>
  </w:footnote>
  <w:footnote w:id="8">
    <w:p w14:paraId="06A057E0" w14:textId="56927CAC" w:rsidR="00F62E1E" w:rsidRDefault="00F62E1E">
      <w:pPr>
        <w:pStyle w:val="FootnoteText"/>
      </w:pPr>
      <w:r>
        <w:rPr>
          <w:rStyle w:val="FootnoteReference"/>
        </w:rPr>
        <w:footnoteRef/>
      </w:r>
      <w:r>
        <w:t xml:space="preserve"> J</w:t>
      </w:r>
      <w:bookmarkStart w:id="3" w:name="_Hlk96046"/>
      <w:r w:rsidRPr="00473F4D">
        <w:t xml:space="preserve">ennifer Geer, </w:t>
      </w:r>
      <w:r w:rsidR="00B26C32">
        <w:t>“‘A</w:t>
      </w:r>
      <w:r w:rsidRPr="00473F4D">
        <w:t xml:space="preserve">ll Sorts </w:t>
      </w:r>
      <w:r>
        <w:t>o</w:t>
      </w:r>
      <w:r w:rsidRPr="00473F4D">
        <w:t xml:space="preserve">f Pitfalls </w:t>
      </w:r>
      <w:r>
        <w:t>a</w:t>
      </w:r>
      <w:r w:rsidRPr="00473F4D">
        <w:t>nd Surprises</w:t>
      </w:r>
      <w:r w:rsidR="00B26C32">
        <w:t>’</w:t>
      </w:r>
      <w:r w:rsidRPr="00473F4D">
        <w:t xml:space="preserve">: Competing Views </w:t>
      </w:r>
      <w:r>
        <w:t>o</w:t>
      </w:r>
      <w:r w:rsidRPr="00473F4D">
        <w:t xml:space="preserve">f Idealized Girlhood </w:t>
      </w:r>
      <w:r>
        <w:t>i</w:t>
      </w:r>
      <w:r w:rsidRPr="00473F4D">
        <w:t>n Lewis Carroll's Alice Books</w:t>
      </w:r>
      <w:r w:rsidR="00B26C32">
        <w:t>”</w:t>
      </w:r>
      <w:r w:rsidRPr="00473F4D">
        <w:t>, </w:t>
      </w:r>
      <w:r w:rsidRPr="00473F4D">
        <w:rPr>
          <w:i/>
          <w:iCs/>
        </w:rPr>
        <w:t>Children's Literature</w:t>
      </w:r>
      <w:r w:rsidRPr="00473F4D">
        <w:t xml:space="preserve">, 31 (2003), </w:t>
      </w:r>
      <w:r w:rsidR="00E963DD">
        <w:t xml:space="preserve">pp. </w:t>
      </w:r>
      <w:r w:rsidRPr="00473F4D">
        <w:t>1-24 &lt;https://doi.org/https://doi.org/10.1353/chl.2003.0008&gt;.</w:t>
      </w:r>
      <w:bookmarkEnd w:id="3"/>
    </w:p>
  </w:footnote>
  <w:footnote w:id="9">
    <w:p w14:paraId="51B00CF2" w14:textId="724715B9" w:rsidR="008E03B1" w:rsidRDefault="008E03B1">
      <w:pPr>
        <w:pStyle w:val="FootnoteText"/>
      </w:pPr>
      <w:r>
        <w:rPr>
          <w:rStyle w:val="FootnoteReference"/>
        </w:rPr>
        <w:footnoteRef/>
      </w:r>
      <w:r>
        <w:t xml:space="preserve"> </w:t>
      </w:r>
      <w:r w:rsidRPr="008E03B1">
        <w:t>Carroll</w:t>
      </w:r>
      <w:r>
        <w:t>,</w:t>
      </w:r>
      <w:r w:rsidR="00C56A78">
        <w:t xml:space="preserve"> Chapter 12. </w:t>
      </w:r>
    </w:p>
  </w:footnote>
  <w:footnote w:id="10">
    <w:p w14:paraId="600DAD18" w14:textId="59AA51B9" w:rsidR="008E03B1" w:rsidRDefault="008E03B1">
      <w:pPr>
        <w:pStyle w:val="FootnoteText"/>
      </w:pPr>
      <w:r>
        <w:rPr>
          <w:rStyle w:val="FootnoteReference"/>
        </w:rPr>
        <w:footnoteRef/>
      </w:r>
      <w:r>
        <w:t xml:space="preserve"> </w:t>
      </w:r>
      <w:r w:rsidRPr="008E03B1">
        <w:t>Carroll</w:t>
      </w:r>
      <w:r>
        <w:t>,</w:t>
      </w:r>
      <w:r w:rsidR="00C56A78">
        <w:t xml:space="preserve"> Chapter 12.</w:t>
      </w:r>
    </w:p>
  </w:footnote>
  <w:footnote w:id="11">
    <w:p w14:paraId="65F9EB7E" w14:textId="62DD0DB0" w:rsidR="008E03B1" w:rsidRDefault="008E03B1">
      <w:pPr>
        <w:pStyle w:val="FootnoteText"/>
      </w:pPr>
      <w:r>
        <w:rPr>
          <w:rStyle w:val="FootnoteReference"/>
        </w:rPr>
        <w:footnoteRef/>
      </w:r>
      <w:r>
        <w:t xml:space="preserve"> </w:t>
      </w:r>
      <w:r w:rsidRPr="008E03B1">
        <w:t>Carroll</w:t>
      </w:r>
      <w:r>
        <w:t>,</w:t>
      </w:r>
      <w:r w:rsidR="00C56A78">
        <w:t xml:space="preserve"> Chapter 9 </w:t>
      </w:r>
    </w:p>
  </w:footnote>
  <w:footnote w:id="12">
    <w:p w14:paraId="371359EE" w14:textId="69B10908" w:rsidR="008E03B1" w:rsidRDefault="008E03B1">
      <w:pPr>
        <w:pStyle w:val="FootnoteText"/>
      </w:pPr>
      <w:r>
        <w:rPr>
          <w:rStyle w:val="FootnoteReference"/>
        </w:rPr>
        <w:footnoteRef/>
      </w:r>
      <w:r>
        <w:t xml:space="preserve"> </w:t>
      </w:r>
      <w:r w:rsidRPr="008E03B1">
        <w:t>Carroll</w:t>
      </w:r>
      <w:r>
        <w:t>,</w:t>
      </w:r>
      <w:r w:rsidR="00C56A78">
        <w:t xml:space="preserve"> Chapter 4. </w:t>
      </w:r>
    </w:p>
  </w:footnote>
  <w:footnote w:id="13">
    <w:p w14:paraId="1382248B" w14:textId="06BA4607" w:rsidR="008E03B1" w:rsidRDefault="008E03B1">
      <w:pPr>
        <w:pStyle w:val="FootnoteText"/>
      </w:pPr>
      <w:r>
        <w:rPr>
          <w:rStyle w:val="FootnoteReference"/>
        </w:rPr>
        <w:footnoteRef/>
      </w:r>
      <w:r>
        <w:t xml:space="preserve"> </w:t>
      </w:r>
      <w:r w:rsidRPr="008E03B1">
        <w:t>Carroll</w:t>
      </w:r>
      <w:r>
        <w:t>,</w:t>
      </w:r>
      <w:r w:rsidR="00C56A78">
        <w:t xml:space="preserve"> Chapter 2.</w:t>
      </w:r>
    </w:p>
  </w:footnote>
  <w:footnote w:id="14">
    <w:p w14:paraId="6FAD2F91" w14:textId="37A8047D" w:rsidR="008E03B1" w:rsidRDefault="008E03B1">
      <w:pPr>
        <w:pStyle w:val="FootnoteText"/>
      </w:pPr>
      <w:r>
        <w:rPr>
          <w:rStyle w:val="FootnoteReference"/>
        </w:rPr>
        <w:footnoteRef/>
      </w:r>
      <w:r>
        <w:t xml:space="preserve"> </w:t>
      </w:r>
      <w:r w:rsidRPr="008E03B1">
        <w:t>Carroll</w:t>
      </w:r>
      <w:r>
        <w:t>,</w:t>
      </w:r>
      <w:r w:rsidR="00C56A78">
        <w:t xml:space="preserve"> Chapter 5.</w:t>
      </w:r>
    </w:p>
  </w:footnote>
  <w:footnote w:id="15">
    <w:p w14:paraId="402F16AA" w14:textId="41FECB76" w:rsidR="008E03B1" w:rsidRDefault="008E03B1">
      <w:pPr>
        <w:pStyle w:val="FootnoteText"/>
      </w:pPr>
      <w:r>
        <w:rPr>
          <w:rStyle w:val="FootnoteReference"/>
        </w:rPr>
        <w:footnoteRef/>
      </w:r>
      <w:r>
        <w:t xml:space="preserve"> </w:t>
      </w:r>
      <w:r w:rsidRPr="008E03B1">
        <w:t>Carroll</w:t>
      </w:r>
      <w:r>
        <w:t>,</w:t>
      </w:r>
      <w:r w:rsidR="00AC7FF3">
        <w:t xml:space="preserve"> Chapter 5.</w:t>
      </w:r>
    </w:p>
  </w:footnote>
  <w:footnote w:id="16">
    <w:p w14:paraId="49B13407" w14:textId="1AF0F0A5" w:rsidR="002610D9" w:rsidRDefault="002610D9">
      <w:pPr>
        <w:pStyle w:val="FootnoteText"/>
      </w:pPr>
      <w:r>
        <w:rPr>
          <w:rStyle w:val="FootnoteReference"/>
        </w:rPr>
        <w:footnoteRef/>
      </w:r>
      <w:r>
        <w:t xml:space="preserve"> </w:t>
      </w:r>
      <w:bookmarkStart w:id="4" w:name="_Hlk95447"/>
      <w:r w:rsidRPr="002610D9">
        <w:t>Robert Louis Stevenson</w:t>
      </w:r>
      <w:bookmarkEnd w:id="4"/>
      <w:r w:rsidRPr="002610D9">
        <w:t>, </w:t>
      </w:r>
      <w:r w:rsidRPr="002610D9">
        <w:rPr>
          <w:i/>
          <w:iCs/>
        </w:rPr>
        <w:t xml:space="preserve">The Strange Case </w:t>
      </w:r>
      <w:r w:rsidR="002D33F9">
        <w:rPr>
          <w:i/>
          <w:iCs/>
        </w:rPr>
        <w:t>o</w:t>
      </w:r>
      <w:r w:rsidRPr="002610D9">
        <w:rPr>
          <w:i/>
          <w:iCs/>
        </w:rPr>
        <w:t>f Dr Jekyll</w:t>
      </w:r>
      <w:r w:rsidR="002D33F9">
        <w:rPr>
          <w:i/>
          <w:iCs/>
        </w:rPr>
        <w:t xml:space="preserve"> a</w:t>
      </w:r>
      <w:r w:rsidRPr="002610D9">
        <w:rPr>
          <w:i/>
          <w:iCs/>
        </w:rPr>
        <w:t>nd Mr Hyde</w:t>
      </w:r>
      <w:r w:rsidR="002D33F9">
        <w:rPr>
          <w:i/>
          <w:iCs/>
        </w:rPr>
        <w:t>,</w:t>
      </w:r>
      <w:r w:rsidRPr="002610D9">
        <w:t> </w:t>
      </w:r>
      <w:r w:rsidR="002D33F9">
        <w:t xml:space="preserve">Chapter 4, </w:t>
      </w:r>
      <w:r w:rsidRPr="002610D9">
        <w:t>(Adelaide: The University of Adelaide Library, 1886) &lt;https://ebooks.adelaide.edu.au/s/stevenson/robert_louis/s848dj/index.html&gt; [Accessed 30 January 2019].</w:t>
      </w:r>
    </w:p>
  </w:footnote>
  <w:footnote w:id="17">
    <w:p w14:paraId="13B30E2D" w14:textId="672EF4F2" w:rsidR="00F62E1E" w:rsidRDefault="00F62E1E">
      <w:pPr>
        <w:pStyle w:val="FootnoteText"/>
      </w:pPr>
      <w:r>
        <w:rPr>
          <w:rStyle w:val="FootnoteReference"/>
        </w:rPr>
        <w:footnoteRef/>
      </w:r>
      <w:r>
        <w:t xml:space="preserve"> Valerie Mack, </w:t>
      </w:r>
      <w:r w:rsidR="00B26C32">
        <w:t>“</w:t>
      </w:r>
      <w:r w:rsidRPr="00C83B81">
        <w:t>Reputation and Social Perfection: The Social Creation of Mr. Hyde</w:t>
      </w:r>
      <w:r w:rsidR="00B26C32">
        <w:t>”</w:t>
      </w:r>
      <w:r w:rsidRPr="00C83B81">
        <w:t xml:space="preserve"> (2012)</w:t>
      </w:r>
      <w:r>
        <w:t>,</w:t>
      </w:r>
      <w:r w:rsidRPr="00C83B81">
        <w:t xml:space="preserve"> </w:t>
      </w:r>
      <w:r w:rsidRPr="007B42B6">
        <w:rPr>
          <w:i/>
        </w:rPr>
        <w:t>Outstanding Gateway Papers</w:t>
      </w:r>
      <w:r>
        <w:t>,</w:t>
      </w:r>
      <w:r w:rsidRPr="00C83B81">
        <w:t xml:space="preserve"> Paper 2. </w:t>
      </w:r>
      <w:r w:rsidR="00B26C32">
        <w:t>&lt;</w:t>
      </w:r>
      <w:r w:rsidRPr="00C83B81">
        <w:t>http://digitalcommons.iwu.edu/gateway/2</w:t>
      </w:r>
      <w:r w:rsidR="00B26C32">
        <w:t xml:space="preserve">&gt; </w:t>
      </w:r>
    </w:p>
  </w:footnote>
  <w:footnote w:id="18">
    <w:p w14:paraId="378BA8BB" w14:textId="190529EE" w:rsidR="002610D9" w:rsidRDefault="002610D9">
      <w:pPr>
        <w:pStyle w:val="FootnoteText"/>
      </w:pPr>
      <w:r>
        <w:rPr>
          <w:rStyle w:val="FootnoteReference"/>
        </w:rPr>
        <w:footnoteRef/>
      </w:r>
      <w:r>
        <w:t xml:space="preserve"> </w:t>
      </w:r>
      <w:bookmarkStart w:id="5" w:name="_Hlk95500"/>
      <w:r w:rsidRPr="002610D9">
        <w:t>Stevenson</w:t>
      </w:r>
      <w:r>
        <w:t xml:space="preserve">, Chapter </w:t>
      </w:r>
      <w:bookmarkEnd w:id="5"/>
      <w:r w:rsidR="002D33F9">
        <w:t>10.</w:t>
      </w:r>
    </w:p>
  </w:footnote>
  <w:footnote w:id="19">
    <w:p w14:paraId="29CDB01C" w14:textId="4A2AD786" w:rsidR="002610D9" w:rsidRDefault="002610D9">
      <w:pPr>
        <w:pStyle w:val="FootnoteText"/>
      </w:pPr>
      <w:r>
        <w:rPr>
          <w:rStyle w:val="FootnoteReference"/>
        </w:rPr>
        <w:footnoteRef/>
      </w:r>
      <w:r>
        <w:t xml:space="preserve"> </w:t>
      </w:r>
      <w:r w:rsidRPr="002610D9">
        <w:t>Stevenson, Chapter</w:t>
      </w:r>
      <w:r w:rsidR="002D33F9">
        <w:t xml:space="preserve"> 10.</w:t>
      </w:r>
    </w:p>
  </w:footnote>
  <w:footnote w:id="20">
    <w:p w14:paraId="3B974A8A" w14:textId="3A563600" w:rsidR="002610D9" w:rsidRDefault="002610D9">
      <w:pPr>
        <w:pStyle w:val="FootnoteText"/>
      </w:pPr>
      <w:r>
        <w:rPr>
          <w:rStyle w:val="FootnoteReference"/>
        </w:rPr>
        <w:footnoteRef/>
      </w:r>
      <w:r>
        <w:t xml:space="preserve"> </w:t>
      </w:r>
      <w:r w:rsidRPr="002610D9">
        <w:t>Stevenson, Chapter</w:t>
      </w:r>
      <w:r w:rsidR="002D33F9">
        <w:t xml:space="preserve"> 10.</w:t>
      </w:r>
    </w:p>
  </w:footnote>
  <w:footnote w:id="21">
    <w:p w14:paraId="1AD6D63A" w14:textId="4E049DBF" w:rsidR="002610D9" w:rsidRDefault="002610D9">
      <w:pPr>
        <w:pStyle w:val="FootnoteText"/>
      </w:pPr>
      <w:r>
        <w:rPr>
          <w:rStyle w:val="FootnoteReference"/>
        </w:rPr>
        <w:footnoteRef/>
      </w:r>
      <w:r>
        <w:t xml:space="preserve"> </w:t>
      </w:r>
      <w:bookmarkStart w:id="6" w:name="_Hlk95551"/>
      <w:r w:rsidRPr="002610D9">
        <w:t>Stevenson, Chapter</w:t>
      </w:r>
      <w:bookmarkEnd w:id="6"/>
      <w:r w:rsidR="002C415D">
        <w:t xml:space="preserve"> 10.</w:t>
      </w:r>
    </w:p>
  </w:footnote>
  <w:footnote w:id="22">
    <w:p w14:paraId="6AC3A3E5" w14:textId="1B81BEAB" w:rsidR="00F62E1E" w:rsidRDefault="00F62E1E">
      <w:pPr>
        <w:pStyle w:val="FootnoteText"/>
      </w:pPr>
      <w:r>
        <w:rPr>
          <w:rStyle w:val="FootnoteReference"/>
        </w:rPr>
        <w:footnoteRef/>
      </w:r>
      <w:r>
        <w:t xml:space="preserve"> Greg </w:t>
      </w:r>
      <w:proofErr w:type="spellStart"/>
      <w:r>
        <w:t>Buzwell</w:t>
      </w:r>
      <w:proofErr w:type="spellEnd"/>
      <w:r>
        <w:t>,</w:t>
      </w:r>
      <w:r w:rsidRPr="00E22D0D">
        <w:t xml:space="preserve"> </w:t>
      </w:r>
      <w:r w:rsidR="00B26C32">
        <w:t>“</w:t>
      </w:r>
      <w:r w:rsidRPr="00402DF7">
        <w:t xml:space="preserve">‘Man Is Not Truly One, But Truly Two’: Duality </w:t>
      </w:r>
      <w:r>
        <w:t>i</w:t>
      </w:r>
      <w:r w:rsidRPr="00402DF7">
        <w:t>n Robert Louis Stevenson’</w:t>
      </w:r>
      <w:r>
        <w:t>s</w:t>
      </w:r>
      <w:r w:rsidRPr="00402DF7">
        <w:t xml:space="preserve"> Strange Case </w:t>
      </w:r>
      <w:r w:rsidR="00B26C32">
        <w:t>o</w:t>
      </w:r>
      <w:r w:rsidRPr="00402DF7">
        <w:t>f Dr Jekyll And Mr Hyde</w:t>
      </w:r>
      <w:r w:rsidR="00B26C32">
        <w:t>”</w:t>
      </w:r>
      <w:r w:rsidRPr="00402DF7">
        <w:t>, </w:t>
      </w:r>
      <w:r w:rsidRPr="00402DF7">
        <w:rPr>
          <w:i/>
          <w:iCs/>
        </w:rPr>
        <w:t>Discovering Literature: Romantics &amp; Victorians</w:t>
      </w:r>
      <w:r w:rsidRPr="00402DF7">
        <w:t>, 2014 &lt;https://www.bl.uk/romantics-and</w:t>
      </w:r>
      <w:r w:rsidR="007E4388">
        <w:t>-</w:t>
      </w:r>
      <w:r w:rsidRPr="00402DF7">
        <w:t>victorians/articles/duality-in-robert-louis-stevensons-strange-case-of-dr-jekyll-and-mr-hyde&gt; [Accessed 30 January 2019].</w:t>
      </w:r>
    </w:p>
  </w:footnote>
  <w:footnote w:id="23">
    <w:p w14:paraId="4A467DAC" w14:textId="0A8A2647" w:rsidR="002610D9" w:rsidRDefault="002610D9">
      <w:pPr>
        <w:pStyle w:val="FootnoteText"/>
      </w:pPr>
      <w:r>
        <w:rPr>
          <w:rStyle w:val="FootnoteReference"/>
        </w:rPr>
        <w:footnoteRef/>
      </w:r>
      <w:r>
        <w:t xml:space="preserve"> </w:t>
      </w:r>
      <w:r w:rsidRPr="002610D9">
        <w:t>Stevenson, Chapter</w:t>
      </w:r>
      <w:r w:rsidR="002C415D">
        <w:t xml:space="preserve"> 10.</w:t>
      </w:r>
    </w:p>
  </w:footnote>
  <w:footnote w:id="24">
    <w:p w14:paraId="6A37A1A1" w14:textId="7E344A00" w:rsidR="002610D9" w:rsidRDefault="002610D9">
      <w:pPr>
        <w:pStyle w:val="FootnoteText"/>
      </w:pPr>
      <w:r>
        <w:rPr>
          <w:rStyle w:val="FootnoteReference"/>
        </w:rPr>
        <w:footnoteRef/>
      </w:r>
      <w:r>
        <w:t xml:space="preserve"> </w:t>
      </w:r>
      <w:r w:rsidRPr="002610D9">
        <w:t>Stevenson, Chapter</w:t>
      </w:r>
      <w:r w:rsidR="002C415D">
        <w:t xml:space="preserve"> 10.</w:t>
      </w:r>
    </w:p>
  </w:footnote>
  <w:footnote w:id="25">
    <w:p w14:paraId="0C08DFC8" w14:textId="556A182C" w:rsidR="002610D9" w:rsidRDefault="002610D9">
      <w:pPr>
        <w:pStyle w:val="FootnoteText"/>
      </w:pPr>
      <w:r>
        <w:rPr>
          <w:rStyle w:val="FootnoteReference"/>
        </w:rPr>
        <w:footnoteRef/>
      </w:r>
      <w:r>
        <w:t xml:space="preserve"> </w:t>
      </w:r>
      <w:r w:rsidRPr="002610D9">
        <w:t>Stevenson, Chapter</w:t>
      </w:r>
      <w:r w:rsidR="002C415D">
        <w:t xml:space="preserve"> 10.</w:t>
      </w:r>
    </w:p>
  </w:footnote>
  <w:footnote w:id="26">
    <w:p w14:paraId="4AECF656" w14:textId="4D638C38" w:rsidR="00CD0423" w:rsidRDefault="00CD0423">
      <w:pPr>
        <w:pStyle w:val="FootnoteText"/>
      </w:pPr>
      <w:r>
        <w:rPr>
          <w:rStyle w:val="FootnoteReference"/>
        </w:rPr>
        <w:footnoteRef/>
      </w:r>
      <w:r>
        <w:t xml:space="preserve"> </w:t>
      </w:r>
      <w:bookmarkStart w:id="7" w:name="_Hlk95965"/>
      <w:r>
        <w:t>Gayatri C. Spivak, ‘Three Women’s Texts and a Critique of Imperialism’</w:t>
      </w:r>
      <w:r w:rsidR="00B26C32">
        <w:t xml:space="preserve">, </w:t>
      </w:r>
      <w:r w:rsidR="00B26C32" w:rsidRPr="00B26C32">
        <w:rPr>
          <w:i/>
        </w:rPr>
        <w:t>Critical Inquiry</w:t>
      </w:r>
      <w:r w:rsidR="00B26C32">
        <w:t>, Vol. 12, No. 1, (Chicago: The University of Chicago Press, 1985) &lt;</w:t>
      </w:r>
      <w:r w:rsidR="00B26C32" w:rsidRPr="00B26C32">
        <w:t>http://www.jstor.org/stable/1343469</w:t>
      </w:r>
      <w:r w:rsidR="00B26C32">
        <w:t>&gt; [Accessed 30 January 2019].</w:t>
      </w:r>
      <w:bookmarkEnd w:id="7"/>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854C3"/>
    <w:multiLevelType w:val="hybridMultilevel"/>
    <w:tmpl w:val="4574DE76"/>
    <w:lvl w:ilvl="0" w:tplc="20C6AD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85D02"/>
    <w:multiLevelType w:val="hybridMultilevel"/>
    <w:tmpl w:val="8FF05CC0"/>
    <w:lvl w:ilvl="0" w:tplc="D7F8F65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0371C"/>
    <w:multiLevelType w:val="hybridMultilevel"/>
    <w:tmpl w:val="0C7AFDFA"/>
    <w:lvl w:ilvl="0" w:tplc="2C94965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D2B20"/>
    <w:multiLevelType w:val="hybridMultilevel"/>
    <w:tmpl w:val="898AFE76"/>
    <w:lvl w:ilvl="0" w:tplc="6D9A195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1451A2"/>
    <w:multiLevelType w:val="hybridMultilevel"/>
    <w:tmpl w:val="247046DE"/>
    <w:lvl w:ilvl="0" w:tplc="83D87C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662"/>
    <w:rsid w:val="00000E10"/>
    <w:rsid w:val="00004787"/>
    <w:rsid w:val="000319ED"/>
    <w:rsid w:val="000552C8"/>
    <w:rsid w:val="000622D5"/>
    <w:rsid w:val="00080AB1"/>
    <w:rsid w:val="000B2B96"/>
    <w:rsid w:val="000D2B0F"/>
    <w:rsid w:val="000D4AFA"/>
    <w:rsid w:val="000E17D6"/>
    <w:rsid w:val="000F240B"/>
    <w:rsid w:val="00110CF6"/>
    <w:rsid w:val="00127737"/>
    <w:rsid w:val="00136F2A"/>
    <w:rsid w:val="00165DDF"/>
    <w:rsid w:val="001846A3"/>
    <w:rsid w:val="00186F76"/>
    <w:rsid w:val="001B0318"/>
    <w:rsid w:val="001B1DFD"/>
    <w:rsid w:val="001D1115"/>
    <w:rsid w:val="001D2BA4"/>
    <w:rsid w:val="001F6BC0"/>
    <w:rsid w:val="00220017"/>
    <w:rsid w:val="0025400A"/>
    <w:rsid w:val="002547A8"/>
    <w:rsid w:val="002610D9"/>
    <w:rsid w:val="0029082F"/>
    <w:rsid w:val="002A03A2"/>
    <w:rsid w:val="002C415D"/>
    <w:rsid w:val="002D33F9"/>
    <w:rsid w:val="002D3670"/>
    <w:rsid w:val="002E00D4"/>
    <w:rsid w:val="002E79C3"/>
    <w:rsid w:val="002F7721"/>
    <w:rsid w:val="00315905"/>
    <w:rsid w:val="003174A2"/>
    <w:rsid w:val="003202ED"/>
    <w:rsid w:val="00321B33"/>
    <w:rsid w:val="0035727C"/>
    <w:rsid w:val="003643AE"/>
    <w:rsid w:val="003833C6"/>
    <w:rsid w:val="003C1D8F"/>
    <w:rsid w:val="003D338E"/>
    <w:rsid w:val="00402DF7"/>
    <w:rsid w:val="004062E6"/>
    <w:rsid w:val="004372BE"/>
    <w:rsid w:val="00450C6E"/>
    <w:rsid w:val="00473E79"/>
    <w:rsid w:val="00473F4D"/>
    <w:rsid w:val="004A6D02"/>
    <w:rsid w:val="004C15D5"/>
    <w:rsid w:val="004C7229"/>
    <w:rsid w:val="004E7ABF"/>
    <w:rsid w:val="004E7DDA"/>
    <w:rsid w:val="004F128D"/>
    <w:rsid w:val="004F63E6"/>
    <w:rsid w:val="004F7ED3"/>
    <w:rsid w:val="00504DF8"/>
    <w:rsid w:val="005125D7"/>
    <w:rsid w:val="00527EA3"/>
    <w:rsid w:val="005403E0"/>
    <w:rsid w:val="00545F9A"/>
    <w:rsid w:val="00593A70"/>
    <w:rsid w:val="005B1F3E"/>
    <w:rsid w:val="005D2965"/>
    <w:rsid w:val="005E0671"/>
    <w:rsid w:val="005F172E"/>
    <w:rsid w:val="005F6187"/>
    <w:rsid w:val="00716445"/>
    <w:rsid w:val="0072706A"/>
    <w:rsid w:val="0079265F"/>
    <w:rsid w:val="007936C0"/>
    <w:rsid w:val="007B42B6"/>
    <w:rsid w:val="007C0AF1"/>
    <w:rsid w:val="007E4388"/>
    <w:rsid w:val="007F1C35"/>
    <w:rsid w:val="008166D5"/>
    <w:rsid w:val="00824EED"/>
    <w:rsid w:val="00894864"/>
    <w:rsid w:val="008A7FEC"/>
    <w:rsid w:val="008E03B1"/>
    <w:rsid w:val="008E4746"/>
    <w:rsid w:val="00904AAB"/>
    <w:rsid w:val="009114B0"/>
    <w:rsid w:val="009239F6"/>
    <w:rsid w:val="009360F3"/>
    <w:rsid w:val="00950F5B"/>
    <w:rsid w:val="00962C2B"/>
    <w:rsid w:val="009759F5"/>
    <w:rsid w:val="009930C2"/>
    <w:rsid w:val="009A278F"/>
    <w:rsid w:val="009A2C52"/>
    <w:rsid w:val="009D390B"/>
    <w:rsid w:val="009E43B5"/>
    <w:rsid w:val="009F67FC"/>
    <w:rsid w:val="00A022C1"/>
    <w:rsid w:val="00A07EAC"/>
    <w:rsid w:val="00A54934"/>
    <w:rsid w:val="00A66CDC"/>
    <w:rsid w:val="00A86585"/>
    <w:rsid w:val="00A907B1"/>
    <w:rsid w:val="00AA6CD6"/>
    <w:rsid w:val="00AB45F8"/>
    <w:rsid w:val="00AB6381"/>
    <w:rsid w:val="00AC0CB3"/>
    <w:rsid w:val="00AC7FF3"/>
    <w:rsid w:val="00AE71B7"/>
    <w:rsid w:val="00AE7CC0"/>
    <w:rsid w:val="00B0126C"/>
    <w:rsid w:val="00B06CFC"/>
    <w:rsid w:val="00B07B7C"/>
    <w:rsid w:val="00B2202F"/>
    <w:rsid w:val="00B26C32"/>
    <w:rsid w:val="00B33BA1"/>
    <w:rsid w:val="00B461FD"/>
    <w:rsid w:val="00B85EFB"/>
    <w:rsid w:val="00B873C6"/>
    <w:rsid w:val="00BA0753"/>
    <w:rsid w:val="00BB3AFC"/>
    <w:rsid w:val="00BC65D8"/>
    <w:rsid w:val="00BD7FC7"/>
    <w:rsid w:val="00BF0756"/>
    <w:rsid w:val="00BF2C56"/>
    <w:rsid w:val="00C15FE2"/>
    <w:rsid w:val="00C242E0"/>
    <w:rsid w:val="00C51C90"/>
    <w:rsid w:val="00C52344"/>
    <w:rsid w:val="00C56A78"/>
    <w:rsid w:val="00C71462"/>
    <w:rsid w:val="00C83B81"/>
    <w:rsid w:val="00CA3137"/>
    <w:rsid w:val="00CB5D69"/>
    <w:rsid w:val="00CD0423"/>
    <w:rsid w:val="00CD2C83"/>
    <w:rsid w:val="00CD6E64"/>
    <w:rsid w:val="00D06084"/>
    <w:rsid w:val="00D07A27"/>
    <w:rsid w:val="00D14F94"/>
    <w:rsid w:val="00D27ADD"/>
    <w:rsid w:val="00D304EA"/>
    <w:rsid w:val="00D401FF"/>
    <w:rsid w:val="00D53BB2"/>
    <w:rsid w:val="00D8192B"/>
    <w:rsid w:val="00D8202E"/>
    <w:rsid w:val="00DD18B3"/>
    <w:rsid w:val="00E138F3"/>
    <w:rsid w:val="00E20A27"/>
    <w:rsid w:val="00E22D0D"/>
    <w:rsid w:val="00E44448"/>
    <w:rsid w:val="00E5646E"/>
    <w:rsid w:val="00E81D75"/>
    <w:rsid w:val="00E963DD"/>
    <w:rsid w:val="00EA21AF"/>
    <w:rsid w:val="00EA2BDB"/>
    <w:rsid w:val="00EC1A10"/>
    <w:rsid w:val="00EC3299"/>
    <w:rsid w:val="00F0458B"/>
    <w:rsid w:val="00F14662"/>
    <w:rsid w:val="00F238C6"/>
    <w:rsid w:val="00F5326A"/>
    <w:rsid w:val="00F62E1E"/>
    <w:rsid w:val="00F64471"/>
    <w:rsid w:val="00F737F9"/>
    <w:rsid w:val="00F94908"/>
    <w:rsid w:val="00FB7F2D"/>
    <w:rsid w:val="00FC012E"/>
    <w:rsid w:val="00FC070D"/>
    <w:rsid w:val="00FC47C3"/>
    <w:rsid w:val="00FF5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00F65A"/>
  <w15:chartTrackingRefBased/>
  <w15:docId w15:val="{22451AD4-722A-4754-A4C8-C39E763D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662"/>
    <w:pPr>
      <w:ind w:left="720"/>
      <w:contextualSpacing/>
    </w:pPr>
  </w:style>
  <w:style w:type="paragraph" w:styleId="NoSpacing">
    <w:name w:val="No Spacing"/>
    <w:uiPriority w:val="1"/>
    <w:qFormat/>
    <w:rsid w:val="00894864"/>
    <w:pPr>
      <w:spacing w:after="0" w:line="240" w:lineRule="auto"/>
    </w:pPr>
  </w:style>
  <w:style w:type="paragraph" w:styleId="FootnoteText">
    <w:name w:val="footnote text"/>
    <w:basedOn w:val="Normal"/>
    <w:link w:val="FootnoteTextChar"/>
    <w:uiPriority w:val="99"/>
    <w:semiHidden/>
    <w:unhideWhenUsed/>
    <w:rsid w:val="009D39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390B"/>
    <w:rPr>
      <w:sz w:val="20"/>
      <w:szCs w:val="20"/>
    </w:rPr>
  </w:style>
  <w:style w:type="character" w:styleId="FootnoteReference">
    <w:name w:val="footnote reference"/>
    <w:basedOn w:val="DefaultParagraphFont"/>
    <w:uiPriority w:val="99"/>
    <w:semiHidden/>
    <w:unhideWhenUsed/>
    <w:rsid w:val="009D39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2D287-7E56-44DC-A387-499C13DCF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7390</TotalTime>
  <Pages>6</Pages>
  <Words>2891</Words>
  <Characters>14543</Characters>
  <Application>Microsoft Office Word</Application>
  <DocSecurity>0</DocSecurity>
  <Lines>259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114</cp:revision>
  <dcterms:created xsi:type="dcterms:W3CDTF">2019-01-27T16:29:00Z</dcterms:created>
  <dcterms:modified xsi:type="dcterms:W3CDTF">2019-02-03T14:31:00Z</dcterms:modified>
</cp:coreProperties>
</file>