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87D5" w14:textId="77777777" w:rsidR="005567DC" w:rsidRDefault="005567DC" w:rsidP="00AA02F3">
      <w:pPr>
        <w:rPr>
          <w:rFonts w:ascii="Times New Roman" w:hAnsi="Times New Roman" w:cs="Times New Roman"/>
          <w:b/>
          <w:bCs/>
        </w:rPr>
      </w:pPr>
    </w:p>
    <w:p w14:paraId="6016FB33" w14:textId="77777777" w:rsidR="005567DC" w:rsidRDefault="005567DC" w:rsidP="00AA02F3">
      <w:pPr>
        <w:rPr>
          <w:rFonts w:ascii="Times New Roman" w:hAnsi="Times New Roman" w:cs="Times New Roman"/>
          <w:b/>
          <w:bCs/>
        </w:rPr>
      </w:pPr>
    </w:p>
    <w:p w14:paraId="2E63753D" w14:textId="77777777" w:rsidR="005567DC" w:rsidRDefault="005567DC" w:rsidP="005567DC">
      <w:pPr>
        <w:jc w:val="center"/>
        <w:rPr>
          <w:rFonts w:ascii="Times New Roman" w:hAnsi="Times New Roman" w:cs="Times New Roman"/>
          <w:b/>
          <w:bCs/>
        </w:rPr>
      </w:pPr>
    </w:p>
    <w:p w14:paraId="3A43EF0B" w14:textId="77777777" w:rsidR="00AA02F3" w:rsidRDefault="00AA02F3" w:rsidP="00AA02F3">
      <w:r>
        <w:rPr>
          <w:noProof/>
        </w:rPr>
        <w:drawing>
          <wp:anchor distT="0" distB="0" distL="114300" distR="114300" simplePos="0" relativeHeight="251659264" behindDoc="1" locked="0" layoutInCell="1" allowOverlap="1" wp14:anchorId="28E50430" wp14:editId="62835D24">
            <wp:simplePos x="0" y="0"/>
            <wp:positionH relativeFrom="margin">
              <wp:align>center</wp:align>
            </wp:positionH>
            <wp:positionV relativeFrom="paragraph">
              <wp:posOffset>7620</wp:posOffset>
            </wp:positionV>
            <wp:extent cx="3543300" cy="1577340"/>
            <wp:effectExtent l="0" t="0" r="0" b="3810"/>
            <wp:wrapTight wrapText="bothSides">
              <wp:wrapPolygon edited="0">
                <wp:start x="0" y="0"/>
                <wp:lineTo x="0" y="21391"/>
                <wp:lineTo x="21484" y="21391"/>
                <wp:lineTo x="21484" y="0"/>
                <wp:lineTo x="0" y="0"/>
              </wp:wrapPolygon>
            </wp:wrapTight>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43300" cy="1577340"/>
                    </a:xfrm>
                    <a:prstGeom prst="rect">
                      <a:avLst/>
                    </a:prstGeom>
                  </pic:spPr>
                </pic:pic>
              </a:graphicData>
            </a:graphic>
            <wp14:sizeRelH relativeFrom="margin">
              <wp14:pctWidth>0</wp14:pctWidth>
            </wp14:sizeRelH>
            <wp14:sizeRelV relativeFrom="margin">
              <wp14:pctHeight>0</wp14:pctHeight>
            </wp14:sizeRelV>
          </wp:anchor>
        </w:drawing>
      </w:r>
    </w:p>
    <w:p w14:paraId="5B3639F5" w14:textId="77777777" w:rsidR="00AA02F3" w:rsidRDefault="00AA02F3" w:rsidP="00AA02F3"/>
    <w:p w14:paraId="4A5A585A" w14:textId="77777777" w:rsidR="00AA02F3" w:rsidRDefault="00AA02F3" w:rsidP="00AA02F3"/>
    <w:p w14:paraId="06FC4133" w14:textId="77777777" w:rsidR="00AA02F3" w:rsidRDefault="00AA02F3" w:rsidP="00AA02F3"/>
    <w:p w14:paraId="165E0677" w14:textId="77777777" w:rsidR="00AA02F3" w:rsidRDefault="00AA02F3" w:rsidP="00AA02F3"/>
    <w:p w14:paraId="302ABAE7" w14:textId="77777777" w:rsidR="00AA02F3" w:rsidRDefault="00AA02F3" w:rsidP="00AA02F3"/>
    <w:p w14:paraId="7251082E" w14:textId="77777777" w:rsidR="00AA02F3" w:rsidRDefault="00AA02F3" w:rsidP="00AA02F3"/>
    <w:p w14:paraId="29B3CBDE" w14:textId="77777777" w:rsidR="00AA02F3" w:rsidRDefault="00AA02F3" w:rsidP="00AA02F3"/>
    <w:p w14:paraId="71A0C090" w14:textId="77777777" w:rsidR="00AA02F3" w:rsidRDefault="00AA02F3" w:rsidP="00AA02F3"/>
    <w:p w14:paraId="3F084801" w14:textId="77777777" w:rsidR="00AA02F3" w:rsidRDefault="00AA02F3" w:rsidP="00AA02F3">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3BBF1339" w14:textId="77777777" w:rsidR="00AA02F3" w:rsidRDefault="00AA02F3" w:rsidP="00AA02F3">
      <w:pPr>
        <w:jc w:val="center"/>
        <w:rPr>
          <w:rFonts w:ascii="Arial Nova" w:eastAsia="Arial Nova" w:hAnsi="Arial Nova" w:cs="Arial Nova"/>
          <w:sz w:val="72"/>
          <w:szCs w:val="72"/>
        </w:rPr>
      </w:pPr>
    </w:p>
    <w:tbl>
      <w:tblPr>
        <w:tblStyle w:val="TableGrid"/>
        <w:tblW w:w="0" w:type="auto"/>
        <w:tblLook w:val="04A0" w:firstRow="1" w:lastRow="0" w:firstColumn="1" w:lastColumn="0" w:noHBand="0" w:noVBand="1"/>
      </w:tblPr>
      <w:tblGrid>
        <w:gridCol w:w="4675"/>
        <w:gridCol w:w="4675"/>
      </w:tblGrid>
      <w:tr w:rsidR="00AA02F3" w14:paraId="4FB5EBD7" w14:textId="77777777" w:rsidTr="00902ED4">
        <w:tc>
          <w:tcPr>
            <w:tcW w:w="4675" w:type="dxa"/>
          </w:tcPr>
          <w:p w14:paraId="2C5148C6"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4561B051"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tc>
      </w:tr>
      <w:tr w:rsidR="00AA02F3" w14:paraId="067A0A14" w14:textId="77777777" w:rsidTr="00902ED4">
        <w:tc>
          <w:tcPr>
            <w:tcW w:w="4675" w:type="dxa"/>
          </w:tcPr>
          <w:p w14:paraId="11257DD6"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66592F57"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2323101</w:t>
            </w:r>
          </w:p>
        </w:tc>
      </w:tr>
      <w:tr w:rsidR="00AA02F3" w14:paraId="172830F4" w14:textId="77777777" w:rsidTr="00902ED4">
        <w:tc>
          <w:tcPr>
            <w:tcW w:w="4675" w:type="dxa"/>
          </w:tcPr>
          <w:p w14:paraId="12E1633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6BA795BC"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tc>
      </w:tr>
      <w:tr w:rsidR="00AA02F3" w14:paraId="1AFC35C8" w14:textId="77777777" w:rsidTr="00902ED4">
        <w:tc>
          <w:tcPr>
            <w:tcW w:w="4675" w:type="dxa"/>
          </w:tcPr>
          <w:p w14:paraId="7BEACA97"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796B0DC5" w14:textId="7BE14167" w:rsidR="00AA02F3" w:rsidRDefault="00EA22EA" w:rsidP="00902ED4">
            <w:pPr>
              <w:jc w:val="center"/>
              <w:rPr>
                <w:rFonts w:ascii="Arial Nova" w:eastAsia="Arial Nova" w:hAnsi="Arial Nova" w:cs="Arial Nova"/>
                <w:sz w:val="28"/>
                <w:szCs w:val="28"/>
              </w:rPr>
            </w:pPr>
            <w:r>
              <w:rPr>
                <w:rFonts w:ascii="Arial Nova" w:eastAsia="Arial Nova" w:hAnsi="Arial Nova" w:cs="Arial Nova"/>
                <w:sz w:val="28"/>
                <w:szCs w:val="28"/>
              </w:rPr>
              <w:t>INTRODUCTION TO INDEPENDENT RESEARCH SKILLS</w:t>
            </w:r>
          </w:p>
        </w:tc>
      </w:tr>
      <w:tr w:rsidR="00AA02F3" w14:paraId="49042F02" w14:textId="77777777" w:rsidTr="00902ED4">
        <w:tc>
          <w:tcPr>
            <w:tcW w:w="4675" w:type="dxa"/>
          </w:tcPr>
          <w:p w14:paraId="58A7ECD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3D35838B" w14:textId="4C907DA5" w:rsidR="00AA02F3" w:rsidRDefault="00AA02F3" w:rsidP="00902ED4">
            <w:pPr>
              <w:rPr>
                <w:rFonts w:ascii="Arial Nova" w:eastAsia="Arial Nova" w:hAnsi="Arial Nova" w:cs="Arial Nova"/>
                <w:sz w:val="28"/>
                <w:szCs w:val="28"/>
              </w:rPr>
            </w:pPr>
            <w:r>
              <w:rPr>
                <w:rFonts w:ascii="Arial Nova" w:eastAsia="Arial Nova" w:hAnsi="Arial Nova" w:cs="Arial Nova"/>
                <w:sz w:val="28"/>
                <w:szCs w:val="28"/>
              </w:rPr>
              <w:t xml:space="preserve">                    BMH</w:t>
            </w:r>
            <w:r w:rsidR="00EA22EA">
              <w:rPr>
                <w:rFonts w:ascii="Arial Nova" w:eastAsia="Arial Nova" w:hAnsi="Arial Nova" w:cs="Arial Nova"/>
                <w:sz w:val="28"/>
                <w:szCs w:val="28"/>
              </w:rPr>
              <w:t>P5019</w:t>
            </w:r>
          </w:p>
        </w:tc>
      </w:tr>
      <w:tr w:rsidR="00AA02F3" w14:paraId="707A69DA" w14:textId="77777777" w:rsidTr="00902ED4">
        <w:tc>
          <w:tcPr>
            <w:tcW w:w="4675" w:type="dxa"/>
          </w:tcPr>
          <w:p w14:paraId="408C2C74"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5C9237FA" w14:textId="69AE358D"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 xml:space="preserve"> </w:t>
            </w:r>
            <w:r w:rsidR="00EA22EA">
              <w:rPr>
                <w:rFonts w:ascii="Arial Nova" w:eastAsia="Arial Nova" w:hAnsi="Arial Nova" w:cs="Arial Nova"/>
                <w:sz w:val="28"/>
                <w:szCs w:val="28"/>
              </w:rPr>
              <w:t>RIZWAN NADIM</w:t>
            </w:r>
          </w:p>
        </w:tc>
      </w:tr>
      <w:tr w:rsidR="00AA02F3" w14:paraId="0D1CDF7D" w14:textId="77777777" w:rsidTr="00902ED4">
        <w:tc>
          <w:tcPr>
            <w:tcW w:w="4675" w:type="dxa"/>
          </w:tcPr>
          <w:p w14:paraId="233BCFF3"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48A56B94" w14:textId="0A9ED4D4" w:rsidR="00AA02F3" w:rsidRPr="00EA22EA" w:rsidRDefault="00EA22EA" w:rsidP="00EA22EA">
            <w:pPr>
              <w:jc w:val="center"/>
              <w:rPr>
                <w:rFonts w:ascii="Arial Nova" w:eastAsia="Arial Nova" w:hAnsi="Arial Nova" w:cs="Arial Nova"/>
                <w:sz w:val="28"/>
                <w:szCs w:val="28"/>
              </w:rPr>
            </w:pPr>
            <w:r>
              <w:rPr>
                <w:rFonts w:ascii="Arial Nova" w:eastAsia="Arial Nova" w:hAnsi="Arial Nova" w:cs="Arial Nova"/>
                <w:sz w:val="28"/>
                <w:szCs w:val="28"/>
              </w:rPr>
              <w:t>COMPONENT2: WRITTEN ASSIGNMENT (RESEARCH REPORT)</w:t>
            </w:r>
          </w:p>
        </w:tc>
      </w:tr>
      <w:tr w:rsidR="00AA02F3" w14:paraId="4856115D" w14:textId="77777777" w:rsidTr="00902ED4">
        <w:tc>
          <w:tcPr>
            <w:tcW w:w="4675" w:type="dxa"/>
          </w:tcPr>
          <w:p w14:paraId="27B6864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2049BFF6" w14:textId="594862F7" w:rsidR="00AA02F3" w:rsidRDefault="00EA22EA" w:rsidP="00902ED4">
            <w:pPr>
              <w:jc w:val="center"/>
              <w:rPr>
                <w:rFonts w:ascii="Arial Nova" w:eastAsia="Arial Nova" w:hAnsi="Arial Nova" w:cs="Arial Nova"/>
                <w:sz w:val="28"/>
                <w:szCs w:val="28"/>
              </w:rPr>
            </w:pPr>
            <w:r>
              <w:rPr>
                <w:rFonts w:ascii="Arial Nova" w:eastAsia="Arial Nova" w:hAnsi="Arial Nova" w:cs="Arial Nova"/>
                <w:sz w:val="28"/>
                <w:szCs w:val="28"/>
              </w:rPr>
              <w:t>SUNDAY 29</w:t>
            </w:r>
            <w:r w:rsidRPr="00EA22EA">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MARCH 2026 14:00(2PM) - (WEEK11)</w:t>
            </w:r>
          </w:p>
        </w:tc>
      </w:tr>
    </w:tbl>
    <w:p w14:paraId="4A8E5F5A" w14:textId="77777777" w:rsidR="005567DC" w:rsidRPr="005567DC" w:rsidRDefault="005567DC" w:rsidP="005567DC">
      <w:pPr>
        <w:jc w:val="center"/>
        <w:rPr>
          <w:rFonts w:ascii="Times New Roman" w:hAnsi="Times New Roman" w:cs="Times New Roman"/>
          <w:b/>
          <w:bCs/>
        </w:rPr>
      </w:pPr>
    </w:p>
    <w:p w14:paraId="35355223" w14:textId="77777777" w:rsidR="005567DC" w:rsidRPr="00D53E67" w:rsidRDefault="005567DC" w:rsidP="005567DC">
      <w:pPr>
        <w:jc w:val="center"/>
        <w:rPr>
          <w:rFonts w:ascii="Arial" w:hAnsi="Arial" w:cs="Arial"/>
          <w:b/>
          <w:bCs/>
          <w:sz w:val="22"/>
          <w:szCs w:val="22"/>
        </w:rPr>
      </w:pPr>
    </w:p>
    <w:p w14:paraId="3A287C98" w14:textId="2BD27C4F" w:rsidR="005567DC" w:rsidRPr="003B229A" w:rsidRDefault="009D3EC5" w:rsidP="00620C63">
      <w:pPr>
        <w:pStyle w:val="Heading2"/>
        <w:jc w:val="center"/>
      </w:pPr>
      <w:bookmarkStart w:id="0" w:name="_Toc225185362"/>
      <w:r w:rsidRPr="003B229A">
        <w:t>Abstract</w:t>
      </w:r>
      <w:bookmarkEnd w:id="0"/>
      <w:r w:rsidRPr="003B229A">
        <w:br/>
      </w:r>
    </w:p>
    <w:p w14:paraId="50574E8F" w14:textId="77777777" w:rsidR="00D53E67" w:rsidRDefault="009D3EC5" w:rsidP="009D3EC5">
      <w:pPr>
        <w:rPr>
          <w:rFonts w:ascii="Arial" w:hAnsi="Arial" w:cs="Arial"/>
          <w:sz w:val="22"/>
          <w:szCs w:val="22"/>
        </w:rPr>
      </w:pPr>
      <w:r w:rsidRPr="00D53E67">
        <w:rPr>
          <w:rFonts w:ascii="Arial" w:hAnsi="Arial" w:cs="Arial"/>
          <w:sz w:val="22"/>
          <w:szCs w:val="22"/>
        </w:rPr>
        <w:t xml:space="preserve">This scoping review investigates the current gaps and challenges in social care planning and </w:t>
      </w:r>
    </w:p>
    <w:p w14:paraId="4AD1E2F5" w14:textId="77777777" w:rsidR="00D53E67" w:rsidRDefault="009D3EC5" w:rsidP="009D3EC5">
      <w:pPr>
        <w:rPr>
          <w:rFonts w:ascii="Arial" w:hAnsi="Arial" w:cs="Arial"/>
          <w:sz w:val="22"/>
          <w:szCs w:val="22"/>
        </w:rPr>
      </w:pPr>
      <w:r w:rsidRPr="00D53E67">
        <w:rPr>
          <w:rFonts w:ascii="Arial" w:hAnsi="Arial" w:cs="Arial"/>
          <w:sz w:val="22"/>
          <w:szCs w:val="22"/>
        </w:rPr>
        <w:t xml:space="preserve">provision for individuals living with dementia in the United Kingdom. As the prevalence of </w:t>
      </w:r>
    </w:p>
    <w:p w14:paraId="27279E2B" w14:textId="77777777" w:rsidR="00D53E67" w:rsidRDefault="009D3EC5" w:rsidP="009D3EC5">
      <w:pPr>
        <w:rPr>
          <w:rFonts w:ascii="Arial" w:hAnsi="Arial" w:cs="Arial"/>
          <w:sz w:val="22"/>
          <w:szCs w:val="22"/>
        </w:rPr>
      </w:pPr>
      <w:r w:rsidRPr="00D53E67">
        <w:rPr>
          <w:rFonts w:ascii="Arial" w:hAnsi="Arial" w:cs="Arial"/>
          <w:sz w:val="22"/>
          <w:szCs w:val="22"/>
        </w:rPr>
        <w:t xml:space="preserve">dementia </w:t>
      </w:r>
      <w:r w:rsidR="00151860" w:rsidRPr="00D53E67">
        <w:rPr>
          <w:rFonts w:ascii="Arial" w:hAnsi="Arial" w:cs="Arial"/>
          <w:sz w:val="22"/>
          <w:szCs w:val="22"/>
        </w:rPr>
        <w:t xml:space="preserve">is projected to reach 1.7million by 2040, the strain on the UK's health and social care </w:t>
      </w:r>
    </w:p>
    <w:p w14:paraId="31B2C0E1" w14:textId="319E4058" w:rsidR="00D53E67" w:rsidRDefault="00151860" w:rsidP="009D3EC5">
      <w:pPr>
        <w:rPr>
          <w:rFonts w:ascii="Arial" w:hAnsi="Arial" w:cs="Arial"/>
          <w:sz w:val="22"/>
          <w:szCs w:val="22"/>
        </w:rPr>
      </w:pPr>
      <w:r w:rsidRPr="00D53E67">
        <w:rPr>
          <w:rFonts w:ascii="Arial" w:hAnsi="Arial" w:cs="Arial"/>
          <w:sz w:val="22"/>
          <w:szCs w:val="22"/>
        </w:rPr>
        <w:t xml:space="preserve">systems </w:t>
      </w:r>
      <w:proofErr w:type="gramStart"/>
      <w:r w:rsidRPr="00D53E67">
        <w:rPr>
          <w:rFonts w:ascii="Arial" w:hAnsi="Arial" w:cs="Arial"/>
          <w:sz w:val="22"/>
          <w:szCs w:val="22"/>
        </w:rPr>
        <w:t>necessitates</w:t>
      </w:r>
      <w:proofErr w:type="gramEnd"/>
      <w:r w:rsidR="00D26BB1" w:rsidRPr="00D53E67">
        <w:rPr>
          <w:rFonts w:ascii="Arial" w:hAnsi="Arial" w:cs="Arial"/>
          <w:sz w:val="22"/>
          <w:szCs w:val="22"/>
        </w:rPr>
        <w:t xml:space="preserve"> a critical evaluation of existing service models. Following the </w:t>
      </w:r>
    </w:p>
    <w:p w14:paraId="5665F72C" w14:textId="77777777" w:rsidR="003B229A" w:rsidRDefault="00D26BB1" w:rsidP="009D3EC5">
      <w:pPr>
        <w:rPr>
          <w:rFonts w:ascii="Arial" w:hAnsi="Arial" w:cs="Arial"/>
          <w:sz w:val="22"/>
          <w:szCs w:val="22"/>
        </w:rPr>
      </w:pPr>
      <w:r w:rsidRPr="00D53E67">
        <w:rPr>
          <w:rFonts w:ascii="Arial" w:hAnsi="Arial" w:cs="Arial"/>
          <w:sz w:val="22"/>
          <w:szCs w:val="22"/>
        </w:rPr>
        <w:t>methodological framework of Arksey and O’Malley, this study synthesised evidence from five</w:t>
      </w:r>
    </w:p>
    <w:p w14:paraId="3C271869" w14:textId="77777777" w:rsidR="003B229A" w:rsidRDefault="00D26BB1" w:rsidP="009D3EC5">
      <w:pPr>
        <w:rPr>
          <w:rFonts w:ascii="Arial" w:hAnsi="Arial" w:cs="Arial"/>
          <w:sz w:val="22"/>
          <w:szCs w:val="22"/>
        </w:rPr>
      </w:pPr>
      <w:r w:rsidRPr="00D53E67">
        <w:rPr>
          <w:rFonts w:ascii="Arial" w:hAnsi="Arial" w:cs="Arial"/>
          <w:sz w:val="22"/>
          <w:szCs w:val="22"/>
        </w:rPr>
        <w:t xml:space="preserve"> key peer-reviewed articles focusing on the epidemiological trends, medication risks</w:t>
      </w:r>
      <w:proofErr w:type="gramStart"/>
      <w:r w:rsidRPr="00D53E67">
        <w:rPr>
          <w:rFonts w:ascii="Arial" w:hAnsi="Arial" w:cs="Arial"/>
          <w:sz w:val="22"/>
          <w:szCs w:val="22"/>
        </w:rPr>
        <w:t>, informal</w:t>
      </w:r>
      <w:proofErr w:type="gramEnd"/>
      <w:r w:rsidRPr="00D53E67">
        <w:rPr>
          <w:rFonts w:ascii="Arial" w:hAnsi="Arial" w:cs="Arial"/>
          <w:sz w:val="22"/>
          <w:szCs w:val="22"/>
        </w:rPr>
        <w:t xml:space="preserve"> </w:t>
      </w:r>
    </w:p>
    <w:p w14:paraId="2EEC32F3" w14:textId="77777777" w:rsidR="003B229A" w:rsidRDefault="00D26BB1" w:rsidP="009D3EC5">
      <w:pPr>
        <w:rPr>
          <w:rFonts w:ascii="Arial" w:hAnsi="Arial" w:cs="Arial"/>
          <w:sz w:val="22"/>
          <w:szCs w:val="22"/>
        </w:rPr>
      </w:pPr>
      <w:r w:rsidRPr="00D53E67">
        <w:rPr>
          <w:rFonts w:ascii="Arial" w:hAnsi="Arial" w:cs="Arial"/>
          <w:sz w:val="22"/>
          <w:szCs w:val="22"/>
        </w:rPr>
        <w:t xml:space="preserve">carer experiences, and specialised </w:t>
      </w:r>
      <w:r w:rsidR="004F4620" w:rsidRPr="00D53E67">
        <w:rPr>
          <w:rFonts w:ascii="Arial" w:hAnsi="Arial" w:cs="Arial"/>
          <w:sz w:val="22"/>
          <w:szCs w:val="22"/>
        </w:rPr>
        <w:t xml:space="preserve">care for young-onset dementia. The results identify </w:t>
      </w:r>
    </w:p>
    <w:p w14:paraId="2C1EFDE0" w14:textId="77777777" w:rsidR="003B229A" w:rsidRDefault="004F4620" w:rsidP="009D3EC5">
      <w:pPr>
        <w:rPr>
          <w:rFonts w:ascii="Arial" w:hAnsi="Arial" w:cs="Arial"/>
          <w:sz w:val="22"/>
          <w:szCs w:val="22"/>
        </w:rPr>
      </w:pPr>
      <w:r w:rsidRPr="00D53E67">
        <w:rPr>
          <w:rFonts w:ascii="Arial" w:hAnsi="Arial" w:cs="Arial"/>
          <w:sz w:val="22"/>
          <w:szCs w:val="22"/>
        </w:rPr>
        <w:t>significant service fragmentation, a lack of post-diagnosis</w:t>
      </w:r>
      <w:r w:rsidR="006316BA" w:rsidRPr="00D53E67">
        <w:rPr>
          <w:rFonts w:ascii="Arial" w:hAnsi="Arial" w:cs="Arial"/>
          <w:sz w:val="22"/>
          <w:szCs w:val="22"/>
        </w:rPr>
        <w:t xml:space="preserve"> support for informal caregivers, and a </w:t>
      </w:r>
    </w:p>
    <w:p w14:paraId="4F86A7F0" w14:textId="7BE570A2" w:rsidR="003B229A" w:rsidRDefault="006316BA" w:rsidP="009D3EC5">
      <w:pPr>
        <w:rPr>
          <w:rFonts w:ascii="Arial" w:hAnsi="Arial" w:cs="Arial"/>
          <w:sz w:val="22"/>
          <w:szCs w:val="22"/>
        </w:rPr>
      </w:pPr>
      <w:r w:rsidRPr="00D53E67">
        <w:rPr>
          <w:rFonts w:ascii="Arial" w:hAnsi="Arial" w:cs="Arial"/>
          <w:sz w:val="22"/>
          <w:szCs w:val="22"/>
        </w:rPr>
        <w:t xml:space="preserve">critical evidence-to-practice gap in hospital environments and medication management. The </w:t>
      </w:r>
    </w:p>
    <w:p w14:paraId="230940A9" w14:textId="77777777" w:rsidR="003B229A" w:rsidRDefault="006316BA" w:rsidP="009D3EC5">
      <w:pPr>
        <w:rPr>
          <w:rFonts w:ascii="Arial" w:hAnsi="Arial" w:cs="Arial"/>
          <w:sz w:val="22"/>
          <w:szCs w:val="22"/>
        </w:rPr>
      </w:pPr>
      <w:proofErr w:type="gramStart"/>
      <w:r w:rsidRPr="00D53E67">
        <w:rPr>
          <w:rFonts w:ascii="Arial" w:hAnsi="Arial" w:cs="Arial"/>
          <w:sz w:val="22"/>
          <w:szCs w:val="22"/>
        </w:rPr>
        <w:t>findings</w:t>
      </w:r>
      <w:proofErr w:type="gramEnd"/>
      <w:r w:rsidRPr="00D53E67">
        <w:rPr>
          <w:rFonts w:ascii="Arial" w:hAnsi="Arial" w:cs="Arial"/>
          <w:sz w:val="22"/>
          <w:szCs w:val="22"/>
        </w:rPr>
        <w:t xml:space="preserve"> suggest that current one-size-fits-all approaches are insufficient for diverse populations. </w:t>
      </w:r>
    </w:p>
    <w:p w14:paraId="3587D21D" w14:textId="77777777" w:rsidR="003B229A" w:rsidRDefault="006316BA" w:rsidP="009D3EC5">
      <w:pPr>
        <w:rPr>
          <w:rFonts w:ascii="Arial" w:hAnsi="Arial" w:cs="Arial"/>
          <w:sz w:val="22"/>
          <w:szCs w:val="22"/>
        </w:rPr>
      </w:pPr>
      <w:r w:rsidRPr="00D53E67">
        <w:rPr>
          <w:rFonts w:ascii="Arial" w:hAnsi="Arial" w:cs="Arial"/>
          <w:sz w:val="22"/>
          <w:szCs w:val="22"/>
        </w:rPr>
        <w:t>This report concludes that a fundamental shift toward integrated, person-</w:t>
      </w:r>
      <w:proofErr w:type="spellStart"/>
      <w:r w:rsidRPr="00D53E67">
        <w:rPr>
          <w:rFonts w:ascii="Arial" w:hAnsi="Arial" w:cs="Arial"/>
          <w:sz w:val="22"/>
          <w:szCs w:val="22"/>
        </w:rPr>
        <w:t>centred</w:t>
      </w:r>
      <w:proofErr w:type="spellEnd"/>
      <w:r w:rsidRPr="00D53E67">
        <w:rPr>
          <w:rFonts w:ascii="Arial" w:hAnsi="Arial" w:cs="Arial"/>
          <w:sz w:val="22"/>
          <w:szCs w:val="22"/>
        </w:rPr>
        <w:t xml:space="preserve"> care and </w:t>
      </w:r>
    </w:p>
    <w:p w14:paraId="77075C7A" w14:textId="77777777" w:rsidR="003B229A" w:rsidRDefault="006316BA" w:rsidP="009D3EC5">
      <w:pPr>
        <w:rPr>
          <w:rFonts w:ascii="Arial" w:hAnsi="Arial" w:cs="Arial"/>
          <w:sz w:val="22"/>
          <w:szCs w:val="22"/>
        </w:rPr>
      </w:pPr>
      <w:r w:rsidRPr="00D53E67">
        <w:rPr>
          <w:rFonts w:ascii="Arial" w:hAnsi="Arial" w:cs="Arial"/>
          <w:sz w:val="22"/>
          <w:szCs w:val="22"/>
        </w:rPr>
        <w:t xml:space="preserve">increased investment in the social care workforce is essential to prevent the collapse of support </w:t>
      </w:r>
    </w:p>
    <w:p w14:paraId="52306AA3" w14:textId="36946C31" w:rsidR="005567DC" w:rsidRPr="00D53E67" w:rsidRDefault="006316BA" w:rsidP="009D3EC5">
      <w:pPr>
        <w:rPr>
          <w:rFonts w:ascii="Arial" w:hAnsi="Arial" w:cs="Arial"/>
          <w:sz w:val="22"/>
          <w:szCs w:val="22"/>
        </w:rPr>
      </w:pPr>
      <w:r w:rsidRPr="00D53E67">
        <w:rPr>
          <w:rFonts w:ascii="Arial" w:hAnsi="Arial" w:cs="Arial"/>
          <w:sz w:val="22"/>
          <w:szCs w:val="22"/>
        </w:rPr>
        <w:t>services under the projected future burden.</w:t>
      </w:r>
    </w:p>
    <w:p w14:paraId="5ED01415" w14:textId="77777777" w:rsidR="005567DC" w:rsidRPr="00D53E67" w:rsidRDefault="005567DC" w:rsidP="005567DC">
      <w:pPr>
        <w:jc w:val="center"/>
        <w:rPr>
          <w:rFonts w:ascii="Arial" w:hAnsi="Arial" w:cs="Arial"/>
          <w:b/>
          <w:bCs/>
          <w:sz w:val="22"/>
          <w:szCs w:val="22"/>
        </w:rPr>
      </w:pPr>
    </w:p>
    <w:sdt>
      <w:sdtPr>
        <w:rPr>
          <w:lang w:val="en-GB"/>
        </w:rPr>
        <w:id w:val="418847132"/>
        <w:docPartObj>
          <w:docPartGallery w:val="Table of Contents"/>
          <w:docPartUnique/>
        </w:docPartObj>
      </w:sdtPr>
      <w:sdtEndPr>
        <w:rPr>
          <w:rFonts w:asciiTheme="minorHAnsi" w:eastAsiaTheme="minorHAnsi" w:hAnsiTheme="minorHAnsi" w:cstheme="minorBidi"/>
          <w:b/>
          <w:bCs/>
          <w:color w:val="auto"/>
          <w:kern w:val="2"/>
          <w:sz w:val="24"/>
          <w:szCs w:val="24"/>
          <w:lang w:val="en-US"/>
          <w14:ligatures w14:val="standardContextual"/>
        </w:rPr>
      </w:sdtEndPr>
      <w:sdtContent>
        <w:p w14:paraId="2D286F8D" w14:textId="77777777" w:rsidR="00620C63" w:rsidRDefault="00620C63">
          <w:pPr>
            <w:pStyle w:val="TOCHeading"/>
            <w:rPr>
              <w:lang w:val="en-GB"/>
            </w:rPr>
          </w:pPr>
        </w:p>
        <w:p w14:paraId="1E565046" w14:textId="77777777" w:rsidR="00620C63" w:rsidRDefault="00620C63">
          <w:pPr>
            <w:pStyle w:val="TOCHeading"/>
            <w:rPr>
              <w:lang w:val="en-GB"/>
            </w:rPr>
          </w:pPr>
        </w:p>
        <w:p w14:paraId="23A71260" w14:textId="77777777" w:rsidR="00620C63" w:rsidRDefault="00620C63">
          <w:pPr>
            <w:pStyle w:val="TOCHeading"/>
            <w:rPr>
              <w:lang w:val="en-GB"/>
            </w:rPr>
          </w:pPr>
        </w:p>
        <w:p w14:paraId="5D4BB717" w14:textId="77777777" w:rsidR="00620C63" w:rsidRDefault="00620C63">
          <w:pPr>
            <w:pStyle w:val="TOCHeading"/>
            <w:rPr>
              <w:lang w:val="en-GB"/>
            </w:rPr>
          </w:pPr>
        </w:p>
        <w:p w14:paraId="61CE6770" w14:textId="77777777" w:rsidR="00620C63" w:rsidRDefault="00620C63" w:rsidP="00620C63">
          <w:pPr>
            <w:rPr>
              <w:lang w:val="en-GB"/>
            </w:rPr>
          </w:pPr>
        </w:p>
        <w:p w14:paraId="0C230BD6" w14:textId="77777777" w:rsidR="00620C63" w:rsidRDefault="00620C63">
          <w:pPr>
            <w:pStyle w:val="TOCHeading"/>
            <w:rPr>
              <w:lang w:val="en-GB"/>
            </w:rPr>
          </w:pPr>
        </w:p>
        <w:p w14:paraId="0BEA9232" w14:textId="77777777" w:rsidR="00620C63" w:rsidRPr="00620C63" w:rsidRDefault="00620C63" w:rsidP="00620C63">
          <w:pPr>
            <w:rPr>
              <w:lang w:val="en-GB"/>
            </w:rPr>
          </w:pPr>
        </w:p>
        <w:p w14:paraId="6A6F74F3" w14:textId="77777777" w:rsidR="00620C63" w:rsidRDefault="00620C63">
          <w:pPr>
            <w:pStyle w:val="TOCHeading"/>
            <w:rPr>
              <w:lang w:val="en-GB"/>
            </w:rPr>
          </w:pPr>
        </w:p>
        <w:p w14:paraId="44F7ACE1" w14:textId="67131ECD" w:rsidR="00620C63" w:rsidRDefault="00620C63">
          <w:pPr>
            <w:pStyle w:val="TOCHeading"/>
          </w:pPr>
          <w:r>
            <w:rPr>
              <w:lang w:val="en-GB"/>
            </w:rPr>
            <w:t>Contents List:</w:t>
          </w:r>
        </w:p>
        <w:p w14:paraId="500EDC8F" w14:textId="39F37BA8" w:rsidR="00620C63" w:rsidRDefault="00620C63">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25185362" w:history="1">
            <w:r w:rsidRPr="00DA69F4">
              <w:rPr>
                <w:rStyle w:val="Hyperlink"/>
                <w:noProof/>
              </w:rPr>
              <w:t>Abstract</w:t>
            </w:r>
            <w:r>
              <w:rPr>
                <w:noProof/>
                <w:webHidden/>
              </w:rPr>
              <w:tab/>
            </w:r>
            <w:r>
              <w:rPr>
                <w:noProof/>
                <w:webHidden/>
              </w:rPr>
              <w:fldChar w:fldCharType="begin"/>
            </w:r>
            <w:r>
              <w:rPr>
                <w:noProof/>
                <w:webHidden/>
              </w:rPr>
              <w:instrText xml:space="preserve"> PAGEREF _Toc225185362 \h </w:instrText>
            </w:r>
            <w:r>
              <w:rPr>
                <w:noProof/>
                <w:webHidden/>
              </w:rPr>
            </w:r>
            <w:r>
              <w:rPr>
                <w:noProof/>
                <w:webHidden/>
              </w:rPr>
              <w:fldChar w:fldCharType="separate"/>
            </w:r>
            <w:r>
              <w:rPr>
                <w:noProof/>
                <w:webHidden/>
              </w:rPr>
              <w:t>2</w:t>
            </w:r>
            <w:r>
              <w:rPr>
                <w:noProof/>
                <w:webHidden/>
              </w:rPr>
              <w:fldChar w:fldCharType="end"/>
            </w:r>
          </w:hyperlink>
        </w:p>
        <w:p w14:paraId="653029BF" w14:textId="23364530" w:rsidR="00620C63" w:rsidRDefault="00620C63">
          <w:pPr>
            <w:pStyle w:val="TOC2"/>
            <w:tabs>
              <w:tab w:val="right" w:leader="dot" w:pos="9350"/>
            </w:tabs>
            <w:rPr>
              <w:rFonts w:eastAsiaTheme="minorEastAsia"/>
              <w:noProof/>
              <w:lang w:val="en-GB" w:eastAsia="en-GB"/>
            </w:rPr>
          </w:pPr>
          <w:hyperlink w:anchor="_Toc225185363" w:history="1">
            <w:r w:rsidRPr="00DA69F4">
              <w:rPr>
                <w:rStyle w:val="Hyperlink"/>
                <w:noProof/>
              </w:rPr>
              <w:t>Research Report on Dementia Care in the UK</w:t>
            </w:r>
            <w:r>
              <w:rPr>
                <w:noProof/>
                <w:webHidden/>
              </w:rPr>
              <w:tab/>
            </w:r>
            <w:r>
              <w:rPr>
                <w:noProof/>
                <w:webHidden/>
              </w:rPr>
              <w:fldChar w:fldCharType="begin"/>
            </w:r>
            <w:r>
              <w:rPr>
                <w:noProof/>
                <w:webHidden/>
              </w:rPr>
              <w:instrText xml:space="preserve"> PAGEREF _Toc225185363 \h </w:instrText>
            </w:r>
            <w:r>
              <w:rPr>
                <w:noProof/>
                <w:webHidden/>
              </w:rPr>
            </w:r>
            <w:r>
              <w:rPr>
                <w:noProof/>
                <w:webHidden/>
              </w:rPr>
              <w:fldChar w:fldCharType="separate"/>
            </w:r>
            <w:r>
              <w:rPr>
                <w:noProof/>
                <w:webHidden/>
              </w:rPr>
              <w:t>3</w:t>
            </w:r>
            <w:r>
              <w:rPr>
                <w:noProof/>
                <w:webHidden/>
              </w:rPr>
              <w:fldChar w:fldCharType="end"/>
            </w:r>
          </w:hyperlink>
        </w:p>
        <w:p w14:paraId="03BE6F63" w14:textId="1810D533" w:rsidR="00620C63" w:rsidRDefault="00620C63">
          <w:pPr>
            <w:pStyle w:val="TOC2"/>
            <w:tabs>
              <w:tab w:val="right" w:leader="dot" w:pos="9350"/>
            </w:tabs>
            <w:rPr>
              <w:rFonts w:eastAsiaTheme="minorEastAsia"/>
              <w:noProof/>
              <w:lang w:val="en-GB" w:eastAsia="en-GB"/>
            </w:rPr>
          </w:pPr>
          <w:hyperlink w:anchor="_Toc225185364" w:history="1">
            <w:r w:rsidRPr="00DA69F4">
              <w:rPr>
                <w:rStyle w:val="Hyperlink"/>
                <w:noProof/>
              </w:rPr>
              <w:t>Introduction:</w:t>
            </w:r>
            <w:r>
              <w:rPr>
                <w:noProof/>
                <w:webHidden/>
              </w:rPr>
              <w:tab/>
            </w:r>
            <w:r>
              <w:rPr>
                <w:noProof/>
                <w:webHidden/>
              </w:rPr>
              <w:fldChar w:fldCharType="begin"/>
            </w:r>
            <w:r>
              <w:rPr>
                <w:noProof/>
                <w:webHidden/>
              </w:rPr>
              <w:instrText xml:space="preserve"> PAGEREF _Toc225185364 \h </w:instrText>
            </w:r>
            <w:r>
              <w:rPr>
                <w:noProof/>
                <w:webHidden/>
              </w:rPr>
            </w:r>
            <w:r>
              <w:rPr>
                <w:noProof/>
                <w:webHidden/>
              </w:rPr>
              <w:fldChar w:fldCharType="separate"/>
            </w:r>
            <w:r>
              <w:rPr>
                <w:noProof/>
                <w:webHidden/>
              </w:rPr>
              <w:t>3</w:t>
            </w:r>
            <w:r>
              <w:rPr>
                <w:noProof/>
                <w:webHidden/>
              </w:rPr>
              <w:fldChar w:fldCharType="end"/>
            </w:r>
          </w:hyperlink>
        </w:p>
        <w:p w14:paraId="3BC3EB21" w14:textId="33BFAF9F" w:rsidR="00620C63" w:rsidRDefault="00620C63">
          <w:pPr>
            <w:pStyle w:val="TOC2"/>
            <w:tabs>
              <w:tab w:val="right" w:leader="dot" w:pos="9350"/>
            </w:tabs>
            <w:rPr>
              <w:rFonts w:eastAsiaTheme="minorEastAsia"/>
              <w:noProof/>
              <w:lang w:val="en-GB" w:eastAsia="en-GB"/>
            </w:rPr>
          </w:pPr>
          <w:hyperlink w:anchor="_Toc225185365" w:history="1">
            <w:r w:rsidRPr="00DA69F4">
              <w:rPr>
                <w:rStyle w:val="Hyperlink"/>
                <w:noProof/>
              </w:rPr>
              <w:t>Review Question and Objectives</w:t>
            </w:r>
            <w:r>
              <w:rPr>
                <w:noProof/>
                <w:webHidden/>
              </w:rPr>
              <w:tab/>
            </w:r>
            <w:r>
              <w:rPr>
                <w:noProof/>
                <w:webHidden/>
              </w:rPr>
              <w:fldChar w:fldCharType="begin"/>
            </w:r>
            <w:r>
              <w:rPr>
                <w:noProof/>
                <w:webHidden/>
              </w:rPr>
              <w:instrText xml:space="preserve"> PAGEREF _Toc225185365 \h </w:instrText>
            </w:r>
            <w:r>
              <w:rPr>
                <w:noProof/>
                <w:webHidden/>
              </w:rPr>
            </w:r>
            <w:r>
              <w:rPr>
                <w:noProof/>
                <w:webHidden/>
              </w:rPr>
              <w:fldChar w:fldCharType="separate"/>
            </w:r>
            <w:r>
              <w:rPr>
                <w:noProof/>
                <w:webHidden/>
              </w:rPr>
              <w:t>4</w:t>
            </w:r>
            <w:r>
              <w:rPr>
                <w:noProof/>
                <w:webHidden/>
              </w:rPr>
              <w:fldChar w:fldCharType="end"/>
            </w:r>
          </w:hyperlink>
        </w:p>
        <w:p w14:paraId="6620135F" w14:textId="20A15C91" w:rsidR="00620C63" w:rsidRDefault="00620C63">
          <w:pPr>
            <w:pStyle w:val="TOC2"/>
            <w:tabs>
              <w:tab w:val="right" w:leader="dot" w:pos="9350"/>
            </w:tabs>
            <w:rPr>
              <w:rFonts w:eastAsiaTheme="minorEastAsia"/>
              <w:noProof/>
              <w:lang w:val="en-GB" w:eastAsia="en-GB"/>
            </w:rPr>
          </w:pPr>
          <w:hyperlink w:anchor="_Toc225185366" w:history="1">
            <w:r w:rsidRPr="00DA69F4">
              <w:rPr>
                <w:rStyle w:val="Hyperlink"/>
                <w:noProof/>
              </w:rPr>
              <w:t>Background and Rationale</w:t>
            </w:r>
            <w:r>
              <w:rPr>
                <w:noProof/>
                <w:webHidden/>
              </w:rPr>
              <w:tab/>
            </w:r>
            <w:r>
              <w:rPr>
                <w:noProof/>
                <w:webHidden/>
              </w:rPr>
              <w:fldChar w:fldCharType="begin"/>
            </w:r>
            <w:r>
              <w:rPr>
                <w:noProof/>
                <w:webHidden/>
              </w:rPr>
              <w:instrText xml:space="preserve"> PAGEREF _Toc225185366 \h </w:instrText>
            </w:r>
            <w:r>
              <w:rPr>
                <w:noProof/>
                <w:webHidden/>
              </w:rPr>
            </w:r>
            <w:r>
              <w:rPr>
                <w:noProof/>
                <w:webHidden/>
              </w:rPr>
              <w:fldChar w:fldCharType="separate"/>
            </w:r>
            <w:r>
              <w:rPr>
                <w:noProof/>
                <w:webHidden/>
              </w:rPr>
              <w:t>5</w:t>
            </w:r>
            <w:r>
              <w:rPr>
                <w:noProof/>
                <w:webHidden/>
              </w:rPr>
              <w:fldChar w:fldCharType="end"/>
            </w:r>
          </w:hyperlink>
        </w:p>
        <w:p w14:paraId="7794212A" w14:textId="7937BCCC" w:rsidR="00620C63" w:rsidRDefault="00620C63">
          <w:pPr>
            <w:pStyle w:val="TOC2"/>
            <w:tabs>
              <w:tab w:val="right" w:leader="dot" w:pos="9350"/>
            </w:tabs>
            <w:rPr>
              <w:rFonts w:eastAsiaTheme="minorEastAsia"/>
              <w:noProof/>
              <w:lang w:val="en-GB" w:eastAsia="en-GB"/>
            </w:rPr>
          </w:pPr>
          <w:hyperlink w:anchor="_Toc225185367" w:history="1">
            <w:r w:rsidRPr="00DA69F4">
              <w:rPr>
                <w:rStyle w:val="Hyperlink"/>
                <w:noProof/>
              </w:rPr>
              <w:t>Methods</w:t>
            </w:r>
            <w:r>
              <w:rPr>
                <w:noProof/>
                <w:webHidden/>
              </w:rPr>
              <w:tab/>
            </w:r>
            <w:r>
              <w:rPr>
                <w:noProof/>
                <w:webHidden/>
              </w:rPr>
              <w:fldChar w:fldCharType="begin"/>
            </w:r>
            <w:r>
              <w:rPr>
                <w:noProof/>
                <w:webHidden/>
              </w:rPr>
              <w:instrText xml:space="preserve"> PAGEREF _Toc225185367 \h </w:instrText>
            </w:r>
            <w:r>
              <w:rPr>
                <w:noProof/>
                <w:webHidden/>
              </w:rPr>
            </w:r>
            <w:r>
              <w:rPr>
                <w:noProof/>
                <w:webHidden/>
              </w:rPr>
              <w:fldChar w:fldCharType="separate"/>
            </w:r>
            <w:r>
              <w:rPr>
                <w:noProof/>
                <w:webHidden/>
              </w:rPr>
              <w:t>6</w:t>
            </w:r>
            <w:r>
              <w:rPr>
                <w:noProof/>
                <w:webHidden/>
              </w:rPr>
              <w:fldChar w:fldCharType="end"/>
            </w:r>
          </w:hyperlink>
        </w:p>
        <w:p w14:paraId="08C9398E" w14:textId="0958271B" w:rsidR="00620C63" w:rsidRDefault="00620C63">
          <w:pPr>
            <w:pStyle w:val="TOC2"/>
            <w:tabs>
              <w:tab w:val="right" w:leader="dot" w:pos="9350"/>
            </w:tabs>
            <w:rPr>
              <w:rFonts w:eastAsiaTheme="minorEastAsia"/>
              <w:noProof/>
              <w:lang w:val="en-GB" w:eastAsia="en-GB"/>
            </w:rPr>
          </w:pPr>
          <w:hyperlink w:anchor="_Toc225185368" w:history="1">
            <w:r w:rsidRPr="00DA69F4">
              <w:rPr>
                <w:rStyle w:val="Hyperlink"/>
                <w:noProof/>
              </w:rPr>
              <w:t>Results</w:t>
            </w:r>
            <w:r>
              <w:rPr>
                <w:noProof/>
                <w:webHidden/>
              </w:rPr>
              <w:tab/>
            </w:r>
            <w:r>
              <w:rPr>
                <w:noProof/>
                <w:webHidden/>
              </w:rPr>
              <w:fldChar w:fldCharType="begin"/>
            </w:r>
            <w:r>
              <w:rPr>
                <w:noProof/>
                <w:webHidden/>
              </w:rPr>
              <w:instrText xml:space="preserve"> PAGEREF _Toc225185368 \h </w:instrText>
            </w:r>
            <w:r>
              <w:rPr>
                <w:noProof/>
                <w:webHidden/>
              </w:rPr>
            </w:r>
            <w:r>
              <w:rPr>
                <w:noProof/>
                <w:webHidden/>
              </w:rPr>
              <w:fldChar w:fldCharType="separate"/>
            </w:r>
            <w:r>
              <w:rPr>
                <w:noProof/>
                <w:webHidden/>
              </w:rPr>
              <w:t>7</w:t>
            </w:r>
            <w:r>
              <w:rPr>
                <w:noProof/>
                <w:webHidden/>
              </w:rPr>
              <w:fldChar w:fldCharType="end"/>
            </w:r>
          </w:hyperlink>
        </w:p>
        <w:p w14:paraId="2AB1A247" w14:textId="6F49B28B" w:rsidR="00620C63" w:rsidRDefault="00620C63">
          <w:pPr>
            <w:pStyle w:val="TOC2"/>
            <w:tabs>
              <w:tab w:val="right" w:leader="dot" w:pos="9350"/>
            </w:tabs>
            <w:rPr>
              <w:rFonts w:eastAsiaTheme="minorEastAsia"/>
              <w:noProof/>
              <w:lang w:val="en-GB" w:eastAsia="en-GB"/>
            </w:rPr>
          </w:pPr>
          <w:hyperlink w:anchor="_Toc225185369" w:history="1">
            <w:r w:rsidRPr="00DA69F4">
              <w:rPr>
                <w:rStyle w:val="Hyperlink"/>
                <w:noProof/>
              </w:rPr>
              <w:t>Thematic Analysis Table</w:t>
            </w:r>
            <w:r>
              <w:rPr>
                <w:noProof/>
                <w:webHidden/>
              </w:rPr>
              <w:tab/>
            </w:r>
            <w:r>
              <w:rPr>
                <w:noProof/>
                <w:webHidden/>
              </w:rPr>
              <w:fldChar w:fldCharType="begin"/>
            </w:r>
            <w:r>
              <w:rPr>
                <w:noProof/>
                <w:webHidden/>
              </w:rPr>
              <w:instrText xml:space="preserve"> PAGEREF _Toc225185369 \h </w:instrText>
            </w:r>
            <w:r>
              <w:rPr>
                <w:noProof/>
                <w:webHidden/>
              </w:rPr>
            </w:r>
            <w:r>
              <w:rPr>
                <w:noProof/>
                <w:webHidden/>
              </w:rPr>
              <w:fldChar w:fldCharType="separate"/>
            </w:r>
            <w:r>
              <w:rPr>
                <w:noProof/>
                <w:webHidden/>
              </w:rPr>
              <w:t>11</w:t>
            </w:r>
            <w:r>
              <w:rPr>
                <w:noProof/>
                <w:webHidden/>
              </w:rPr>
              <w:fldChar w:fldCharType="end"/>
            </w:r>
          </w:hyperlink>
        </w:p>
        <w:p w14:paraId="7BAB3F47" w14:textId="12AF10AC" w:rsidR="00620C63" w:rsidRDefault="00620C63">
          <w:pPr>
            <w:pStyle w:val="TOC2"/>
            <w:tabs>
              <w:tab w:val="right" w:leader="dot" w:pos="9350"/>
            </w:tabs>
            <w:rPr>
              <w:rFonts w:eastAsiaTheme="minorEastAsia"/>
              <w:noProof/>
              <w:lang w:val="en-GB" w:eastAsia="en-GB"/>
            </w:rPr>
          </w:pPr>
          <w:hyperlink w:anchor="_Toc225185370" w:history="1">
            <w:r w:rsidRPr="00DA69F4">
              <w:rPr>
                <w:rStyle w:val="Hyperlink"/>
                <w:noProof/>
              </w:rPr>
              <w:t>Discussion</w:t>
            </w:r>
            <w:r>
              <w:rPr>
                <w:noProof/>
                <w:webHidden/>
              </w:rPr>
              <w:tab/>
            </w:r>
            <w:r>
              <w:rPr>
                <w:noProof/>
                <w:webHidden/>
              </w:rPr>
              <w:fldChar w:fldCharType="begin"/>
            </w:r>
            <w:r>
              <w:rPr>
                <w:noProof/>
                <w:webHidden/>
              </w:rPr>
              <w:instrText xml:space="preserve"> PAGEREF _Toc225185370 \h </w:instrText>
            </w:r>
            <w:r>
              <w:rPr>
                <w:noProof/>
                <w:webHidden/>
              </w:rPr>
            </w:r>
            <w:r>
              <w:rPr>
                <w:noProof/>
                <w:webHidden/>
              </w:rPr>
              <w:fldChar w:fldCharType="separate"/>
            </w:r>
            <w:r>
              <w:rPr>
                <w:noProof/>
                <w:webHidden/>
              </w:rPr>
              <w:t>12</w:t>
            </w:r>
            <w:r>
              <w:rPr>
                <w:noProof/>
                <w:webHidden/>
              </w:rPr>
              <w:fldChar w:fldCharType="end"/>
            </w:r>
          </w:hyperlink>
        </w:p>
        <w:p w14:paraId="73A77D8D" w14:textId="097927A1" w:rsidR="00620C63" w:rsidRDefault="00620C63">
          <w:pPr>
            <w:pStyle w:val="TOC2"/>
            <w:tabs>
              <w:tab w:val="right" w:leader="dot" w:pos="9350"/>
            </w:tabs>
            <w:rPr>
              <w:rFonts w:eastAsiaTheme="minorEastAsia"/>
              <w:noProof/>
              <w:lang w:val="en-GB" w:eastAsia="en-GB"/>
            </w:rPr>
          </w:pPr>
          <w:hyperlink w:anchor="_Toc225185371" w:history="1">
            <w:r w:rsidRPr="00DA69F4">
              <w:rPr>
                <w:rStyle w:val="Hyperlink"/>
                <w:noProof/>
              </w:rPr>
              <w:t>Recommendations</w:t>
            </w:r>
            <w:r>
              <w:rPr>
                <w:noProof/>
                <w:webHidden/>
              </w:rPr>
              <w:tab/>
            </w:r>
            <w:r>
              <w:rPr>
                <w:noProof/>
                <w:webHidden/>
              </w:rPr>
              <w:fldChar w:fldCharType="begin"/>
            </w:r>
            <w:r>
              <w:rPr>
                <w:noProof/>
                <w:webHidden/>
              </w:rPr>
              <w:instrText xml:space="preserve"> PAGEREF _Toc225185371 \h </w:instrText>
            </w:r>
            <w:r>
              <w:rPr>
                <w:noProof/>
                <w:webHidden/>
              </w:rPr>
            </w:r>
            <w:r>
              <w:rPr>
                <w:noProof/>
                <w:webHidden/>
              </w:rPr>
              <w:fldChar w:fldCharType="separate"/>
            </w:r>
            <w:r>
              <w:rPr>
                <w:noProof/>
                <w:webHidden/>
              </w:rPr>
              <w:t>14</w:t>
            </w:r>
            <w:r>
              <w:rPr>
                <w:noProof/>
                <w:webHidden/>
              </w:rPr>
              <w:fldChar w:fldCharType="end"/>
            </w:r>
          </w:hyperlink>
        </w:p>
        <w:p w14:paraId="7B8886AD" w14:textId="67F1F0DE" w:rsidR="00620C63" w:rsidRDefault="00620C63">
          <w:pPr>
            <w:pStyle w:val="TOC2"/>
            <w:tabs>
              <w:tab w:val="right" w:leader="dot" w:pos="9350"/>
            </w:tabs>
            <w:rPr>
              <w:rFonts w:eastAsiaTheme="minorEastAsia"/>
              <w:noProof/>
              <w:lang w:val="en-GB" w:eastAsia="en-GB"/>
            </w:rPr>
          </w:pPr>
          <w:hyperlink w:anchor="_Toc225185372" w:history="1">
            <w:r w:rsidRPr="00DA69F4">
              <w:rPr>
                <w:rStyle w:val="Hyperlink"/>
                <w:noProof/>
              </w:rPr>
              <w:t>Conclusion</w:t>
            </w:r>
            <w:r>
              <w:rPr>
                <w:noProof/>
                <w:webHidden/>
              </w:rPr>
              <w:tab/>
            </w:r>
            <w:r>
              <w:rPr>
                <w:noProof/>
                <w:webHidden/>
              </w:rPr>
              <w:fldChar w:fldCharType="begin"/>
            </w:r>
            <w:r>
              <w:rPr>
                <w:noProof/>
                <w:webHidden/>
              </w:rPr>
              <w:instrText xml:space="preserve"> PAGEREF _Toc225185372 \h </w:instrText>
            </w:r>
            <w:r>
              <w:rPr>
                <w:noProof/>
                <w:webHidden/>
              </w:rPr>
            </w:r>
            <w:r>
              <w:rPr>
                <w:noProof/>
                <w:webHidden/>
              </w:rPr>
              <w:fldChar w:fldCharType="separate"/>
            </w:r>
            <w:r>
              <w:rPr>
                <w:noProof/>
                <w:webHidden/>
              </w:rPr>
              <w:t>16</w:t>
            </w:r>
            <w:r>
              <w:rPr>
                <w:noProof/>
                <w:webHidden/>
              </w:rPr>
              <w:fldChar w:fldCharType="end"/>
            </w:r>
          </w:hyperlink>
        </w:p>
        <w:p w14:paraId="3FA38FD0" w14:textId="23312CC4" w:rsidR="00620C63" w:rsidRDefault="00620C63">
          <w:pPr>
            <w:pStyle w:val="TOC2"/>
            <w:tabs>
              <w:tab w:val="right" w:leader="dot" w:pos="9350"/>
            </w:tabs>
            <w:rPr>
              <w:rFonts w:eastAsiaTheme="minorEastAsia"/>
              <w:noProof/>
              <w:lang w:val="en-GB" w:eastAsia="en-GB"/>
            </w:rPr>
          </w:pPr>
          <w:hyperlink w:anchor="_Toc225185373" w:history="1">
            <w:r w:rsidRPr="00DA69F4">
              <w:rPr>
                <w:rStyle w:val="Hyperlink"/>
                <w:noProof/>
              </w:rPr>
              <w:t>References</w:t>
            </w:r>
            <w:r>
              <w:rPr>
                <w:noProof/>
                <w:webHidden/>
              </w:rPr>
              <w:tab/>
            </w:r>
            <w:r>
              <w:rPr>
                <w:noProof/>
                <w:webHidden/>
              </w:rPr>
              <w:fldChar w:fldCharType="begin"/>
            </w:r>
            <w:r>
              <w:rPr>
                <w:noProof/>
                <w:webHidden/>
              </w:rPr>
              <w:instrText xml:space="preserve"> PAGEREF _Toc225185373 \h </w:instrText>
            </w:r>
            <w:r>
              <w:rPr>
                <w:noProof/>
                <w:webHidden/>
              </w:rPr>
            </w:r>
            <w:r>
              <w:rPr>
                <w:noProof/>
                <w:webHidden/>
              </w:rPr>
              <w:fldChar w:fldCharType="separate"/>
            </w:r>
            <w:r>
              <w:rPr>
                <w:noProof/>
                <w:webHidden/>
              </w:rPr>
              <w:t>18</w:t>
            </w:r>
            <w:r>
              <w:rPr>
                <w:noProof/>
                <w:webHidden/>
              </w:rPr>
              <w:fldChar w:fldCharType="end"/>
            </w:r>
          </w:hyperlink>
        </w:p>
        <w:p w14:paraId="6CB006D5" w14:textId="308F3019" w:rsidR="00620C63" w:rsidRDefault="00620C63">
          <w:r>
            <w:rPr>
              <w:b/>
              <w:bCs/>
            </w:rPr>
            <w:fldChar w:fldCharType="end"/>
          </w:r>
        </w:p>
      </w:sdtContent>
    </w:sdt>
    <w:p w14:paraId="4BEC2444" w14:textId="77777777" w:rsidR="005567DC" w:rsidRPr="00D53E67" w:rsidRDefault="005567DC" w:rsidP="005567DC">
      <w:pPr>
        <w:jc w:val="center"/>
        <w:rPr>
          <w:rFonts w:ascii="Arial" w:hAnsi="Arial" w:cs="Arial"/>
          <w:b/>
          <w:bCs/>
          <w:sz w:val="22"/>
          <w:szCs w:val="22"/>
        </w:rPr>
      </w:pPr>
    </w:p>
    <w:p w14:paraId="2CED0CB0" w14:textId="77777777" w:rsidR="005567DC" w:rsidRPr="00D53E67" w:rsidRDefault="005567DC" w:rsidP="005567DC">
      <w:pPr>
        <w:jc w:val="center"/>
        <w:rPr>
          <w:rFonts w:ascii="Arial" w:hAnsi="Arial" w:cs="Arial"/>
          <w:b/>
          <w:bCs/>
          <w:sz w:val="22"/>
          <w:szCs w:val="22"/>
        </w:rPr>
      </w:pPr>
    </w:p>
    <w:p w14:paraId="03822B82" w14:textId="77777777" w:rsidR="005567DC" w:rsidRPr="00D53E67" w:rsidRDefault="005567DC" w:rsidP="005567DC">
      <w:pPr>
        <w:jc w:val="center"/>
        <w:rPr>
          <w:rFonts w:ascii="Arial" w:hAnsi="Arial" w:cs="Arial"/>
          <w:b/>
          <w:bCs/>
          <w:sz w:val="22"/>
          <w:szCs w:val="22"/>
        </w:rPr>
      </w:pPr>
    </w:p>
    <w:p w14:paraId="4DF9C4AF" w14:textId="77777777" w:rsidR="00C34EAB" w:rsidRPr="00D53E67" w:rsidRDefault="00C34EAB" w:rsidP="00C34EAB">
      <w:pPr>
        <w:pStyle w:val="Heading1"/>
        <w:jc w:val="center"/>
        <w:rPr>
          <w:rFonts w:ascii="Arial" w:hAnsi="Arial" w:cs="Arial"/>
          <w:b/>
          <w:bCs/>
          <w:color w:val="auto"/>
          <w:sz w:val="22"/>
          <w:szCs w:val="22"/>
        </w:rPr>
      </w:pPr>
    </w:p>
    <w:p w14:paraId="1EB34D68" w14:textId="77777777" w:rsidR="00C34EAB" w:rsidRPr="00D53E67" w:rsidRDefault="00C34EAB" w:rsidP="00C34EAB">
      <w:pPr>
        <w:pStyle w:val="Heading1"/>
        <w:jc w:val="center"/>
        <w:rPr>
          <w:rFonts w:ascii="Arial" w:hAnsi="Arial" w:cs="Arial"/>
          <w:b/>
          <w:bCs/>
          <w:color w:val="auto"/>
          <w:sz w:val="22"/>
          <w:szCs w:val="22"/>
        </w:rPr>
      </w:pPr>
    </w:p>
    <w:p w14:paraId="1974115F" w14:textId="77777777" w:rsidR="00C34EAB" w:rsidRPr="00D53E67" w:rsidRDefault="00C34EAB" w:rsidP="00C34EAB">
      <w:pPr>
        <w:pStyle w:val="Heading1"/>
        <w:jc w:val="center"/>
        <w:rPr>
          <w:rFonts w:ascii="Arial" w:hAnsi="Arial" w:cs="Arial"/>
          <w:b/>
          <w:bCs/>
          <w:color w:val="auto"/>
          <w:sz w:val="22"/>
          <w:szCs w:val="22"/>
        </w:rPr>
      </w:pPr>
    </w:p>
    <w:p w14:paraId="51FB26DD" w14:textId="77777777" w:rsidR="00C34EAB" w:rsidRPr="00D53E67" w:rsidRDefault="00C34EAB" w:rsidP="00C34EAB">
      <w:pPr>
        <w:pStyle w:val="Heading1"/>
        <w:jc w:val="center"/>
        <w:rPr>
          <w:rFonts w:ascii="Arial" w:hAnsi="Arial" w:cs="Arial"/>
          <w:b/>
          <w:bCs/>
          <w:color w:val="auto"/>
          <w:sz w:val="22"/>
          <w:szCs w:val="22"/>
        </w:rPr>
      </w:pPr>
    </w:p>
    <w:p w14:paraId="6FBCB7D7" w14:textId="77777777" w:rsidR="00C34EAB" w:rsidRPr="00D53E67" w:rsidRDefault="00C34EAB" w:rsidP="00C34EAB">
      <w:pPr>
        <w:pStyle w:val="Heading1"/>
        <w:jc w:val="center"/>
        <w:rPr>
          <w:rFonts w:ascii="Arial" w:hAnsi="Arial" w:cs="Arial"/>
          <w:b/>
          <w:bCs/>
          <w:color w:val="auto"/>
          <w:sz w:val="22"/>
          <w:szCs w:val="22"/>
        </w:rPr>
      </w:pPr>
    </w:p>
    <w:p w14:paraId="7AC4060A" w14:textId="77777777" w:rsidR="00C34EAB" w:rsidRPr="00D53E67" w:rsidRDefault="00C34EAB" w:rsidP="00C34EAB">
      <w:pPr>
        <w:pStyle w:val="Heading1"/>
        <w:rPr>
          <w:rFonts w:ascii="Arial" w:hAnsi="Arial" w:cs="Arial"/>
          <w:b/>
          <w:bCs/>
          <w:color w:val="auto"/>
          <w:sz w:val="22"/>
          <w:szCs w:val="22"/>
        </w:rPr>
      </w:pPr>
    </w:p>
    <w:p w14:paraId="2C3AC4A7" w14:textId="77777777" w:rsidR="00C34EAB" w:rsidRPr="00D53E67" w:rsidRDefault="00C34EAB" w:rsidP="00C34EAB">
      <w:pPr>
        <w:rPr>
          <w:rFonts w:ascii="Arial" w:hAnsi="Arial" w:cs="Arial"/>
          <w:sz w:val="22"/>
          <w:szCs w:val="22"/>
        </w:rPr>
      </w:pPr>
    </w:p>
    <w:p w14:paraId="6DAA6B89" w14:textId="77777777" w:rsidR="00C34EAB" w:rsidRPr="00D53E67" w:rsidRDefault="00C34EAB" w:rsidP="00C34EAB">
      <w:pPr>
        <w:rPr>
          <w:rFonts w:ascii="Arial" w:hAnsi="Arial" w:cs="Arial"/>
          <w:sz w:val="22"/>
          <w:szCs w:val="22"/>
        </w:rPr>
      </w:pPr>
    </w:p>
    <w:p w14:paraId="525CBE60" w14:textId="77777777" w:rsidR="00C34EAB" w:rsidRPr="00D53E67" w:rsidRDefault="00C34EAB" w:rsidP="00C34EAB">
      <w:pPr>
        <w:rPr>
          <w:rFonts w:ascii="Arial" w:hAnsi="Arial" w:cs="Arial"/>
          <w:sz w:val="22"/>
          <w:szCs w:val="22"/>
        </w:rPr>
      </w:pPr>
    </w:p>
    <w:p w14:paraId="00E2BF29" w14:textId="77777777" w:rsidR="00C34EAB" w:rsidRPr="00D53E67" w:rsidRDefault="00C34EAB" w:rsidP="00C34EAB">
      <w:pPr>
        <w:rPr>
          <w:rFonts w:ascii="Arial" w:hAnsi="Arial" w:cs="Arial"/>
          <w:sz w:val="22"/>
          <w:szCs w:val="22"/>
        </w:rPr>
      </w:pPr>
    </w:p>
    <w:p w14:paraId="6423C592" w14:textId="77777777" w:rsidR="00E62611" w:rsidRPr="00D53E67" w:rsidRDefault="00E62611" w:rsidP="00ED2EA8">
      <w:pPr>
        <w:pStyle w:val="Heading1"/>
        <w:spacing w:before="0" w:after="0"/>
        <w:jc w:val="center"/>
        <w:rPr>
          <w:rFonts w:ascii="Arial" w:hAnsi="Arial" w:cs="Arial"/>
          <w:b/>
          <w:bCs/>
          <w:color w:val="auto"/>
          <w:sz w:val="22"/>
          <w:szCs w:val="22"/>
        </w:rPr>
      </w:pPr>
      <w:bookmarkStart w:id="1" w:name="_Toc222012451"/>
    </w:p>
    <w:p w14:paraId="63BDC79B" w14:textId="6A875063" w:rsidR="005567DC" w:rsidRPr="003B229A" w:rsidRDefault="005567DC" w:rsidP="003B229A">
      <w:pPr>
        <w:pStyle w:val="Heading2"/>
        <w:jc w:val="center"/>
      </w:pPr>
      <w:bookmarkStart w:id="2" w:name="_Toc225185363"/>
      <w:r w:rsidRPr="003B229A">
        <w:t xml:space="preserve">Research Report on </w:t>
      </w:r>
      <w:r w:rsidR="00EE65EF" w:rsidRPr="003B229A">
        <w:t>D</w:t>
      </w:r>
      <w:r w:rsidRPr="003B229A">
        <w:t xml:space="preserve">ementia </w:t>
      </w:r>
      <w:r w:rsidR="00EE65EF" w:rsidRPr="003B229A">
        <w:t>C</w:t>
      </w:r>
      <w:r w:rsidRPr="003B229A">
        <w:t>are in the UK</w:t>
      </w:r>
      <w:bookmarkEnd w:id="1"/>
      <w:bookmarkEnd w:id="2"/>
    </w:p>
    <w:p w14:paraId="2D81F267" w14:textId="267C87BF" w:rsidR="00C34EAB" w:rsidRDefault="00C34EAB" w:rsidP="003B229A">
      <w:pPr>
        <w:pStyle w:val="Heading2"/>
        <w:jc w:val="center"/>
      </w:pPr>
      <w:bookmarkStart w:id="3" w:name="_Toc222012452"/>
      <w:bookmarkStart w:id="4" w:name="_Toc225185364"/>
      <w:r w:rsidRPr="003B229A">
        <w:t>Introduction</w:t>
      </w:r>
      <w:bookmarkEnd w:id="3"/>
      <w:r w:rsidR="003B229A">
        <w:t>:</w:t>
      </w:r>
      <w:bookmarkEnd w:id="4"/>
    </w:p>
    <w:p w14:paraId="7D156A36" w14:textId="77777777" w:rsidR="003B229A" w:rsidRPr="003B229A" w:rsidRDefault="003B229A" w:rsidP="003B229A"/>
    <w:p w14:paraId="17CF39EE" w14:textId="5E2E604F" w:rsidR="00EF6CFA"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One of the significant public health issues in the United Kingdom in the 21st century is dementia.</w:t>
      </w:r>
      <w:r w:rsidR="00BB6B13" w:rsidRPr="00D53E67">
        <w:rPr>
          <w:rFonts w:ascii="Arial" w:hAnsi="Arial" w:cs="Arial"/>
          <w:color w:val="0E101A"/>
          <w:sz w:val="22"/>
          <w:szCs w:val="22"/>
        </w:rPr>
        <w:t xml:space="preserve"> </w:t>
      </w:r>
      <w:r w:rsidR="00BB6B13" w:rsidRPr="00D53E67">
        <w:rPr>
          <w:rFonts w:ascii="Arial" w:hAnsi="Arial" w:cs="Arial"/>
          <w:color w:val="0E101A"/>
          <w:sz w:val="22"/>
          <w:szCs w:val="22"/>
          <w:lang w:val="en-GB"/>
        </w:rPr>
        <w:t>Dementia is not a single specific disease but rather an umbrella term for a range of progressive neurological conditions that affect memory</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thinking</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and the ability to perform everyday activities</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w:t>
      </w:r>
      <w:r w:rsidR="00EF6CFA" w:rsidRPr="00D53E67">
        <w:rPr>
          <w:rFonts w:ascii="Arial" w:hAnsi="Arial" w:cs="Arial"/>
          <w:color w:val="0E101A"/>
          <w:sz w:val="22"/>
          <w:szCs w:val="22"/>
          <w:lang w:val="en-GB"/>
        </w:rPr>
        <w:t>I</w:t>
      </w:r>
      <w:r w:rsidR="00BB6B13" w:rsidRPr="00D53E67">
        <w:rPr>
          <w:rFonts w:ascii="Arial" w:hAnsi="Arial" w:cs="Arial"/>
          <w:color w:val="0E101A"/>
          <w:sz w:val="22"/>
          <w:szCs w:val="22"/>
          <w:lang w:val="en-GB"/>
        </w:rPr>
        <w:t>n the United Kingdom</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it is characterised by a decline in cognitive function beyond what might be expected from the usual consequences of biological ageing</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often leading to significant social care requirements (World Health </w:t>
      </w:r>
      <w:r w:rsidR="00EF6CFA" w:rsidRPr="00D53E67">
        <w:rPr>
          <w:rFonts w:ascii="Arial" w:hAnsi="Arial" w:cs="Arial"/>
          <w:color w:val="0E101A"/>
          <w:sz w:val="22"/>
          <w:szCs w:val="22"/>
          <w:lang w:val="en-GB"/>
        </w:rPr>
        <w:t>Organisation</w:t>
      </w:r>
      <w:r w:rsidR="00BB6B13" w:rsidRPr="00D53E67">
        <w:rPr>
          <w:rFonts w:ascii="Arial" w:hAnsi="Arial" w:cs="Arial"/>
          <w:color w:val="0E101A"/>
          <w:sz w:val="22"/>
          <w:szCs w:val="22"/>
          <w:lang w:val="en-GB"/>
        </w:rPr>
        <w:t>,</w:t>
      </w:r>
      <w:r w:rsidR="00EF6CFA" w:rsidRPr="00D53E67">
        <w:rPr>
          <w:rFonts w:ascii="Arial" w:hAnsi="Arial" w:cs="Arial"/>
          <w:color w:val="0E101A"/>
          <w:sz w:val="22"/>
          <w:szCs w:val="22"/>
          <w:lang w:val="en-GB"/>
        </w:rPr>
        <w:t xml:space="preserve"> </w:t>
      </w:r>
      <w:r w:rsidR="00BB6B13" w:rsidRPr="00D53E67">
        <w:rPr>
          <w:rFonts w:ascii="Arial" w:hAnsi="Arial" w:cs="Arial"/>
          <w:color w:val="0E101A"/>
          <w:sz w:val="22"/>
          <w:szCs w:val="22"/>
          <w:lang w:val="en-GB"/>
        </w:rPr>
        <w:t>2023)</w:t>
      </w:r>
      <w:r w:rsidRPr="00D53E67">
        <w:rPr>
          <w:rFonts w:ascii="Arial" w:hAnsi="Arial" w:cs="Arial"/>
          <w:color w:val="0E101A"/>
          <w:sz w:val="22"/>
          <w:szCs w:val="22"/>
        </w:rPr>
        <w:t xml:space="preserve"> </w:t>
      </w:r>
    </w:p>
    <w:p w14:paraId="5E41D9CA" w14:textId="77777777" w:rsidR="00EF6CFA" w:rsidRPr="00D53E67" w:rsidRDefault="00EF6CFA" w:rsidP="00ED2EA8">
      <w:pPr>
        <w:pStyle w:val="NormalWeb"/>
        <w:spacing w:before="0" w:beforeAutospacing="0" w:after="0" w:afterAutospacing="0" w:line="480" w:lineRule="auto"/>
        <w:ind w:firstLine="720"/>
        <w:jc w:val="both"/>
        <w:rPr>
          <w:rFonts w:ascii="Arial" w:hAnsi="Arial" w:cs="Arial"/>
          <w:color w:val="0E101A"/>
          <w:sz w:val="22"/>
          <w:szCs w:val="22"/>
        </w:rPr>
      </w:pPr>
    </w:p>
    <w:p w14:paraId="046A2135" w14:textId="77777777" w:rsidR="00EF6CFA" w:rsidRPr="00D53E67" w:rsidRDefault="00AD08F7" w:rsidP="00ED2EA8">
      <w:pPr>
        <w:pStyle w:val="NormalWeb"/>
        <w:spacing w:before="0" w:beforeAutospacing="0" w:after="0" w:afterAutospacing="0" w:line="480" w:lineRule="auto"/>
        <w:ind w:firstLine="720"/>
        <w:jc w:val="both"/>
        <w:rPr>
          <w:rFonts w:ascii="Arial" w:hAnsi="Arial" w:cs="Arial"/>
          <w:sz w:val="22"/>
          <w:szCs w:val="22"/>
        </w:rPr>
      </w:pPr>
      <w:r w:rsidRPr="00D53E67">
        <w:rPr>
          <w:rFonts w:ascii="Arial" w:hAnsi="Arial" w:cs="Arial"/>
          <w:color w:val="0E101A"/>
          <w:sz w:val="22"/>
          <w:szCs w:val="22"/>
        </w:rPr>
        <w:t xml:space="preserve">The condition is not only a problem </w:t>
      </w:r>
      <w:r w:rsidR="00BB6B13" w:rsidRPr="00D53E67">
        <w:rPr>
          <w:rFonts w:ascii="Arial" w:hAnsi="Arial" w:cs="Arial"/>
          <w:color w:val="0E101A"/>
          <w:sz w:val="22"/>
          <w:szCs w:val="22"/>
        </w:rPr>
        <w:t>for diagnosed people but also for their families, caregivers, and the entire health and social care systems responsible for providing</w:t>
      </w:r>
      <w:r w:rsidRPr="00D53E67">
        <w:rPr>
          <w:rFonts w:ascii="Arial" w:hAnsi="Arial" w:cs="Arial"/>
          <w:color w:val="0E101A"/>
          <w:sz w:val="22"/>
          <w:szCs w:val="22"/>
        </w:rPr>
        <w:t xml:space="preserve"> the right help. The landscape of dementia care, especially </w:t>
      </w:r>
      <w:r w:rsidR="00BB6B13" w:rsidRPr="00D53E67">
        <w:rPr>
          <w:rFonts w:ascii="Arial" w:hAnsi="Arial" w:cs="Arial"/>
          <w:color w:val="0E101A"/>
          <w:sz w:val="22"/>
          <w:szCs w:val="22"/>
        </w:rPr>
        <w:t xml:space="preserve">within social care, has </w:t>
      </w:r>
      <w:r w:rsidR="00EF6CFA" w:rsidRPr="00D53E67">
        <w:rPr>
          <w:rFonts w:ascii="Arial" w:hAnsi="Arial" w:cs="Arial"/>
          <w:color w:val="0E101A"/>
          <w:sz w:val="22"/>
          <w:szCs w:val="22"/>
        </w:rPr>
        <w:t>become increasingly important</w:t>
      </w:r>
      <w:r w:rsidR="00BB6B13" w:rsidRPr="00D53E67">
        <w:rPr>
          <w:rFonts w:ascii="Arial" w:hAnsi="Arial" w:cs="Arial"/>
          <w:color w:val="0E101A"/>
          <w:sz w:val="22"/>
          <w:szCs w:val="22"/>
        </w:rPr>
        <w:t xml:space="preserve"> in policy formulation and service delivery as the UK population ages</w:t>
      </w:r>
      <w:r w:rsidRPr="00D53E67">
        <w:rPr>
          <w:rFonts w:ascii="Arial" w:hAnsi="Arial" w:cs="Arial"/>
          <w:color w:val="0E101A"/>
          <w:sz w:val="22"/>
          <w:szCs w:val="22"/>
        </w:rPr>
        <w:t xml:space="preserve">. </w:t>
      </w:r>
      <w:r w:rsidR="00771713" w:rsidRPr="00D53E67">
        <w:rPr>
          <w:rFonts w:ascii="Arial" w:hAnsi="Arial" w:cs="Arial"/>
          <w:color w:val="0E101A"/>
          <w:sz w:val="22"/>
          <w:szCs w:val="22"/>
        </w:rPr>
        <w:t xml:space="preserve">The informal carers of dementia have been key in reducing the long-lasting barriers that for long have made it difficult for UK dementia patients to access services </w:t>
      </w:r>
      <w:r w:rsidR="00771713" w:rsidRPr="00D53E67">
        <w:rPr>
          <w:rFonts w:ascii="Arial" w:hAnsi="Arial" w:cs="Arial"/>
          <w:sz w:val="22"/>
          <w:szCs w:val="22"/>
        </w:rPr>
        <w:t xml:space="preserve">(Parker et al., 2020). </w:t>
      </w:r>
    </w:p>
    <w:p w14:paraId="6ADA7CB6" w14:textId="5EE26F11"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scoping literature review outlines peer-reviewed research studies </w:t>
      </w:r>
      <w:r w:rsidR="00752583" w:rsidRPr="00D53E67">
        <w:rPr>
          <w:rFonts w:ascii="Arial" w:hAnsi="Arial" w:cs="Arial"/>
          <w:color w:val="0E101A"/>
          <w:sz w:val="22"/>
          <w:szCs w:val="22"/>
        </w:rPr>
        <w:t>on social care planning and provision for individuals with dementia in the UK, with the specific aim of identifying</w:t>
      </w:r>
      <w:r w:rsidR="00BB6B13" w:rsidRPr="00D53E67">
        <w:rPr>
          <w:rFonts w:ascii="Arial" w:hAnsi="Arial" w:cs="Arial"/>
          <w:color w:val="0E101A"/>
          <w:sz w:val="22"/>
          <w:szCs w:val="22"/>
        </w:rPr>
        <w:t xml:space="preserve"> gaps in service delivery, trends in the occurrence and burden of dementia, and the experiences of service users and </w:t>
      </w:r>
      <w:r w:rsidRPr="00D53E67">
        <w:rPr>
          <w:rFonts w:ascii="Arial" w:hAnsi="Arial" w:cs="Arial"/>
          <w:color w:val="0E101A"/>
          <w:sz w:val="22"/>
          <w:szCs w:val="22"/>
        </w:rPr>
        <w:t xml:space="preserve">providers. The review </w:t>
      </w:r>
      <w:r w:rsidR="00752583" w:rsidRPr="00D53E67">
        <w:rPr>
          <w:rFonts w:ascii="Arial" w:hAnsi="Arial" w:cs="Arial"/>
          <w:color w:val="0E101A"/>
          <w:sz w:val="22"/>
          <w:szCs w:val="22"/>
        </w:rPr>
        <w:t>covers several aspects of dementia care, including</w:t>
      </w:r>
      <w:r w:rsidRPr="00D53E67">
        <w:rPr>
          <w:rFonts w:ascii="Arial" w:hAnsi="Arial" w:cs="Arial"/>
          <w:color w:val="0E101A"/>
          <w:sz w:val="22"/>
          <w:szCs w:val="22"/>
        </w:rPr>
        <w:t xml:space="preserve"> epidemiological patterns, medication risks, experiences of informal </w:t>
      </w:r>
      <w:proofErr w:type="gramStart"/>
      <w:r w:rsidRPr="00D53E67">
        <w:rPr>
          <w:rFonts w:ascii="Arial" w:hAnsi="Arial" w:cs="Arial"/>
          <w:color w:val="0E101A"/>
          <w:sz w:val="22"/>
          <w:szCs w:val="22"/>
        </w:rPr>
        <w:t>carers</w:t>
      </w:r>
      <w:proofErr w:type="gramEnd"/>
      <w:r w:rsidRPr="00D53E67">
        <w:rPr>
          <w:rFonts w:ascii="Arial" w:hAnsi="Arial" w:cs="Arial"/>
          <w:color w:val="0E101A"/>
          <w:sz w:val="22"/>
          <w:szCs w:val="22"/>
        </w:rPr>
        <w:t xml:space="preserve">, patient and community involvement in </w:t>
      </w:r>
      <w:r w:rsidR="00BB6B13" w:rsidRPr="00D53E67">
        <w:rPr>
          <w:rFonts w:ascii="Arial" w:hAnsi="Arial" w:cs="Arial"/>
          <w:color w:val="0E101A"/>
          <w:sz w:val="22"/>
          <w:szCs w:val="22"/>
        </w:rPr>
        <w:t>care planning, and professional attitudes towards services for people with specialised needs, such as</w:t>
      </w:r>
      <w:r w:rsidRPr="00D53E67">
        <w:rPr>
          <w:rFonts w:ascii="Arial" w:hAnsi="Arial" w:cs="Arial"/>
          <w:color w:val="0E101A"/>
          <w:sz w:val="22"/>
          <w:szCs w:val="22"/>
        </w:rPr>
        <w:t xml:space="preserve"> young-onset dementia.</w:t>
      </w:r>
    </w:p>
    <w:p w14:paraId="5F2D50D1" w14:textId="77777777" w:rsidR="00BB6B13" w:rsidRPr="00D53E67" w:rsidRDefault="00BB6B13" w:rsidP="00ED2EA8">
      <w:pPr>
        <w:pStyle w:val="NormalWeb"/>
        <w:spacing w:before="0" w:beforeAutospacing="0" w:after="0" w:afterAutospacing="0" w:line="480" w:lineRule="auto"/>
        <w:ind w:firstLine="720"/>
        <w:jc w:val="both"/>
        <w:rPr>
          <w:rFonts w:ascii="Arial" w:hAnsi="Arial" w:cs="Arial"/>
          <w:color w:val="0E101A"/>
          <w:sz w:val="22"/>
          <w:szCs w:val="22"/>
        </w:rPr>
      </w:pPr>
    </w:p>
    <w:p w14:paraId="6A0A3F8B" w14:textId="77777777" w:rsidR="00BB6B13" w:rsidRPr="00D53E67" w:rsidRDefault="00BB6B13" w:rsidP="00ED2EA8">
      <w:pPr>
        <w:pStyle w:val="NormalWeb"/>
        <w:spacing w:before="0" w:beforeAutospacing="0" w:after="0" w:afterAutospacing="0" w:line="480" w:lineRule="auto"/>
        <w:ind w:firstLine="720"/>
        <w:jc w:val="both"/>
        <w:rPr>
          <w:rFonts w:ascii="Arial" w:hAnsi="Arial" w:cs="Arial"/>
          <w:color w:val="0E101A"/>
          <w:sz w:val="22"/>
          <w:szCs w:val="22"/>
        </w:rPr>
      </w:pPr>
    </w:p>
    <w:p w14:paraId="5AEF4A60" w14:textId="19602B57" w:rsidR="00AD08F7" w:rsidRPr="00620C63" w:rsidRDefault="00AD08F7" w:rsidP="00620C63">
      <w:pPr>
        <w:pStyle w:val="Heading2"/>
        <w:jc w:val="center"/>
        <w:rPr>
          <w:rStyle w:val="Strong"/>
          <w:b w:val="0"/>
          <w:bCs w:val="0"/>
        </w:rPr>
      </w:pPr>
      <w:bookmarkStart w:id="5" w:name="_Toc222012453"/>
      <w:bookmarkStart w:id="6" w:name="_Toc225185365"/>
      <w:r w:rsidRPr="00620C63">
        <w:rPr>
          <w:rStyle w:val="Strong"/>
          <w:b w:val="0"/>
          <w:bCs w:val="0"/>
        </w:rPr>
        <w:t>Review Question and Objectives</w:t>
      </w:r>
      <w:bookmarkEnd w:id="5"/>
      <w:bookmarkEnd w:id="6"/>
    </w:p>
    <w:p w14:paraId="3C85C05C" w14:textId="77777777" w:rsidR="009058B0" w:rsidRPr="00D53E67" w:rsidRDefault="009058B0" w:rsidP="009058B0">
      <w:pPr>
        <w:rPr>
          <w:rFonts w:ascii="Arial" w:hAnsi="Arial" w:cs="Arial"/>
          <w:sz w:val="22"/>
          <w:szCs w:val="22"/>
        </w:rPr>
      </w:pPr>
    </w:p>
    <w:p w14:paraId="2905333F" w14:textId="36823718"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key question to be used in this scoping review is as follows: What are the gaps in the social care provision and planning of people with dementia in the UK, and what are the factors that lead to the gaps in the provision of social services? </w:t>
      </w:r>
      <w:r w:rsidR="0061429B" w:rsidRPr="00D53E67">
        <w:rPr>
          <w:rFonts w:ascii="Arial" w:hAnsi="Arial" w:cs="Arial"/>
          <w:color w:val="0E101A"/>
          <w:sz w:val="22"/>
          <w:szCs w:val="22"/>
        </w:rPr>
        <w:t>To answer this question, the review will consider three to five primary or secondary peer-reviewed research articles published in the last ten years that cover different aspects of dementia care in</w:t>
      </w:r>
      <w:r w:rsidRPr="00D53E67">
        <w:rPr>
          <w:rFonts w:ascii="Arial" w:hAnsi="Arial" w:cs="Arial"/>
          <w:color w:val="0E101A"/>
          <w:sz w:val="22"/>
          <w:szCs w:val="22"/>
        </w:rPr>
        <w:t xml:space="preserve"> the UK setting. This scoping review aims to determine the current picture of the social care provision of people with dementia in the UK, to </w:t>
      </w:r>
      <w:proofErr w:type="spellStart"/>
      <w:r w:rsidR="0061429B" w:rsidRPr="00D53E67">
        <w:rPr>
          <w:rFonts w:ascii="Arial" w:hAnsi="Arial" w:cs="Arial"/>
          <w:color w:val="0E101A"/>
          <w:sz w:val="22"/>
          <w:szCs w:val="22"/>
        </w:rPr>
        <w:t>analyse</w:t>
      </w:r>
      <w:proofErr w:type="spellEnd"/>
      <w:r w:rsidRPr="00D53E67">
        <w:rPr>
          <w:rFonts w:ascii="Arial" w:hAnsi="Arial" w:cs="Arial"/>
          <w:color w:val="0E101A"/>
          <w:sz w:val="22"/>
          <w:szCs w:val="22"/>
        </w:rPr>
        <w:t xml:space="preserve"> the experiences and issues of people with dementia, the challenges of social care, systemic barriers to effective service delivery, and to </w:t>
      </w:r>
      <w:proofErr w:type="spellStart"/>
      <w:r w:rsidR="0061429B" w:rsidRPr="00D53E67">
        <w:rPr>
          <w:rFonts w:ascii="Arial" w:hAnsi="Arial" w:cs="Arial"/>
          <w:color w:val="0E101A"/>
          <w:sz w:val="22"/>
          <w:szCs w:val="22"/>
        </w:rPr>
        <w:t>synthesise</w:t>
      </w:r>
      <w:proofErr w:type="spellEnd"/>
      <w:r w:rsidR="0061429B" w:rsidRPr="00D53E67">
        <w:rPr>
          <w:rFonts w:ascii="Arial" w:hAnsi="Arial" w:cs="Arial"/>
          <w:color w:val="0E101A"/>
          <w:sz w:val="22"/>
          <w:szCs w:val="22"/>
        </w:rPr>
        <w:t xml:space="preserve"> evidence</w:t>
      </w:r>
      <w:r w:rsidRPr="00D53E67">
        <w:rPr>
          <w:rFonts w:ascii="Arial" w:hAnsi="Arial" w:cs="Arial"/>
          <w:color w:val="0E101A"/>
          <w:sz w:val="22"/>
          <w:szCs w:val="22"/>
        </w:rPr>
        <w:t xml:space="preserve"> surrounding emerging areas of concern like medication-related dementia risk and specialised care needs of specific populations. With the help of this analysis, the review will </w:t>
      </w:r>
      <w:r w:rsidR="0061429B" w:rsidRPr="00D53E67">
        <w:rPr>
          <w:rFonts w:ascii="Arial" w:hAnsi="Arial" w:cs="Arial"/>
          <w:color w:val="0E101A"/>
          <w:sz w:val="22"/>
          <w:szCs w:val="22"/>
        </w:rPr>
        <w:t>provide a complete picture of the research field and identify areas of concern that require research and policy attention.</w:t>
      </w:r>
    </w:p>
    <w:p w14:paraId="557E9F8C" w14:textId="77777777" w:rsidR="0061429B" w:rsidRPr="00D53E67" w:rsidRDefault="0061429B" w:rsidP="00ED2EA8">
      <w:pPr>
        <w:pStyle w:val="NormalWeb"/>
        <w:spacing w:before="0" w:beforeAutospacing="0" w:after="0" w:afterAutospacing="0" w:line="480" w:lineRule="auto"/>
        <w:ind w:firstLine="720"/>
        <w:jc w:val="both"/>
        <w:rPr>
          <w:rFonts w:ascii="Arial" w:hAnsi="Arial" w:cs="Arial"/>
          <w:color w:val="0E101A"/>
          <w:sz w:val="22"/>
          <w:szCs w:val="22"/>
        </w:rPr>
      </w:pPr>
    </w:p>
    <w:p w14:paraId="38120F29" w14:textId="77777777" w:rsidR="0061429B" w:rsidRPr="00D53E67" w:rsidRDefault="0061429B" w:rsidP="00ED2EA8">
      <w:pPr>
        <w:pStyle w:val="NormalWeb"/>
        <w:spacing w:before="0" w:beforeAutospacing="0" w:after="0" w:afterAutospacing="0" w:line="480" w:lineRule="auto"/>
        <w:ind w:firstLine="720"/>
        <w:jc w:val="both"/>
        <w:rPr>
          <w:rFonts w:ascii="Arial" w:hAnsi="Arial" w:cs="Arial"/>
          <w:color w:val="0E101A"/>
          <w:sz w:val="22"/>
          <w:szCs w:val="22"/>
        </w:rPr>
      </w:pPr>
    </w:p>
    <w:p w14:paraId="4D0FE179" w14:textId="77777777" w:rsidR="0061429B" w:rsidRPr="00620C63" w:rsidRDefault="0061429B" w:rsidP="00620C63">
      <w:pPr>
        <w:pStyle w:val="Heading2"/>
      </w:pPr>
    </w:p>
    <w:p w14:paraId="08AC98AF" w14:textId="606A23D9" w:rsidR="005245F8" w:rsidRPr="00620C63" w:rsidRDefault="00AD08F7" w:rsidP="00620C63">
      <w:pPr>
        <w:pStyle w:val="Heading2"/>
        <w:jc w:val="center"/>
        <w:rPr>
          <w:rStyle w:val="Strong"/>
          <w:b w:val="0"/>
          <w:bCs w:val="0"/>
        </w:rPr>
      </w:pPr>
      <w:bookmarkStart w:id="7" w:name="_Toc222012454"/>
      <w:bookmarkStart w:id="8" w:name="_Toc225185366"/>
      <w:r w:rsidRPr="00620C63">
        <w:rPr>
          <w:rStyle w:val="Strong"/>
          <w:b w:val="0"/>
          <w:bCs w:val="0"/>
        </w:rPr>
        <w:t>Background and Rationale</w:t>
      </w:r>
      <w:bookmarkEnd w:id="7"/>
      <w:bookmarkEnd w:id="8"/>
    </w:p>
    <w:p w14:paraId="69894C3A" w14:textId="77777777" w:rsidR="009058B0" w:rsidRPr="00D53E67" w:rsidRDefault="009058B0" w:rsidP="009058B0">
      <w:pPr>
        <w:rPr>
          <w:rFonts w:ascii="Arial" w:hAnsi="Arial" w:cs="Arial"/>
          <w:sz w:val="22"/>
          <w:szCs w:val="22"/>
        </w:rPr>
      </w:pPr>
    </w:p>
    <w:p w14:paraId="54BEB06D" w14:textId="2ABD74E6" w:rsidR="00753D2F" w:rsidRPr="00D53E67" w:rsidRDefault="005245F8" w:rsidP="005245F8">
      <w:pPr>
        <w:pStyle w:val="NormalWeb"/>
        <w:spacing w:before="0" w:beforeAutospacing="0" w:after="0" w:afterAutospacing="0" w:line="480" w:lineRule="auto"/>
        <w:ind w:firstLine="720"/>
        <w:jc w:val="both"/>
        <w:rPr>
          <w:rFonts w:ascii="Arial" w:hAnsi="Arial" w:cs="Arial"/>
          <w:color w:val="0E101A"/>
          <w:sz w:val="22"/>
          <w:szCs w:val="22"/>
          <w:lang w:val="en-GB"/>
        </w:rPr>
      </w:pPr>
      <w:r w:rsidRPr="00D53E67">
        <w:rPr>
          <w:rFonts w:ascii="Arial" w:hAnsi="Arial" w:cs="Arial"/>
          <w:color w:val="0E101A"/>
          <w:sz w:val="22"/>
          <w:szCs w:val="22"/>
          <w:lang w:val="en-GB"/>
        </w:rPr>
        <w:t xml:space="preserve"> Dementia has emerged as one of the most pressing health and social care challenges in the United Kingdom. Current data indicates A prevalence rate of 4.2% (</w:t>
      </w:r>
      <w:r w:rsidR="006D1750" w:rsidRPr="00D53E67">
        <w:rPr>
          <w:rFonts w:ascii="Arial" w:hAnsi="Arial" w:cs="Arial"/>
          <w:color w:val="0E101A"/>
          <w:sz w:val="22"/>
          <w:szCs w:val="22"/>
          <w:lang w:val="en-GB"/>
        </w:rPr>
        <w:t>Gov.</w:t>
      </w:r>
      <w:r w:rsidRPr="00D53E67">
        <w:rPr>
          <w:rFonts w:ascii="Arial" w:hAnsi="Arial" w:cs="Arial"/>
          <w:color w:val="0E101A"/>
          <w:sz w:val="22"/>
          <w:szCs w:val="22"/>
          <w:lang w:val="en-GB"/>
        </w:rPr>
        <w:t xml:space="preserve"> uk,2025), with projections suggesting that the number of people living with dementia in the UK will rise to 1.2 million by 2040 (Chen et al., 2023). Beyond the human impact, the economic burden is substantial, with dementia estimated to cost the UK economy </w:t>
      </w:r>
      <w:proofErr w:type="gramStart"/>
      <w:r w:rsidRPr="00D53E67">
        <w:rPr>
          <w:rFonts w:ascii="Arial" w:hAnsi="Arial" w:cs="Arial"/>
          <w:color w:val="0E101A"/>
          <w:sz w:val="22"/>
          <w:szCs w:val="22"/>
          <w:lang w:val="en-GB"/>
        </w:rPr>
        <w:t>in excess of</w:t>
      </w:r>
      <w:proofErr w:type="gramEnd"/>
      <w:r w:rsidRPr="00D53E67">
        <w:rPr>
          <w:rFonts w:ascii="Arial" w:hAnsi="Arial" w:cs="Arial"/>
          <w:color w:val="0E101A"/>
          <w:sz w:val="22"/>
          <w:szCs w:val="22"/>
          <w:lang w:val="en-GB"/>
        </w:rPr>
        <w:t xml:space="preserve"> £34 billion per annum. </w:t>
      </w:r>
      <w:r w:rsidRPr="00D53E67">
        <w:rPr>
          <w:rFonts w:ascii="Arial" w:hAnsi="Arial" w:cs="Arial"/>
          <w:color w:val="0E101A"/>
          <w:sz w:val="22"/>
          <w:szCs w:val="22"/>
          <w:lang w:val="en-GB"/>
        </w:rPr>
        <w:lastRenderedPageBreak/>
        <w:t xml:space="preserve">Despite the implementation of the </w:t>
      </w:r>
      <w:r w:rsidR="00753D2F" w:rsidRPr="00D53E67">
        <w:rPr>
          <w:rFonts w:ascii="Arial" w:hAnsi="Arial" w:cs="Arial"/>
          <w:color w:val="0E101A"/>
          <w:sz w:val="22"/>
          <w:szCs w:val="22"/>
          <w:lang w:val="en-GB"/>
        </w:rPr>
        <w:t>N</w:t>
      </w:r>
      <w:r w:rsidRPr="00D53E67">
        <w:rPr>
          <w:rFonts w:ascii="Arial" w:hAnsi="Arial" w:cs="Arial"/>
          <w:color w:val="0E101A"/>
          <w:sz w:val="22"/>
          <w:szCs w:val="22"/>
          <w:lang w:val="en-GB"/>
        </w:rPr>
        <w:t xml:space="preserve">ational </w:t>
      </w:r>
      <w:r w:rsidR="00753D2F" w:rsidRPr="00D53E67">
        <w:rPr>
          <w:rFonts w:ascii="Arial" w:hAnsi="Arial" w:cs="Arial"/>
          <w:color w:val="0E101A"/>
          <w:sz w:val="22"/>
          <w:szCs w:val="22"/>
          <w:lang w:val="en-GB"/>
        </w:rPr>
        <w:t>D</w:t>
      </w:r>
      <w:r w:rsidRPr="00D53E67">
        <w:rPr>
          <w:rFonts w:ascii="Arial" w:hAnsi="Arial" w:cs="Arial"/>
          <w:color w:val="0E101A"/>
          <w:sz w:val="22"/>
          <w:szCs w:val="22"/>
          <w:lang w:val="en-GB"/>
        </w:rPr>
        <w:t xml:space="preserve">ementia </w:t>
      </w:r>
      <w:r w:rsidR="00753D2F" w:rsidRPr="00D53E67">
        <w:rPr>
          <w:rFonts w:ascii="Arial" w:hAnsi="Arial" w:cs="Arial"/>
          <w:color w:val="0E101A"/>
          <w:sz w:val="22"/>
          <w:szCs w:val="22"/>
          <w:lang w:val="en-GB"/>
        </w:rPr>
        <w:t>S</w:t>
      </w:r>
      <w:r w:rsidRPr="00D53E67">
        <w:rPr>
          <w:rFonts w:ascii="Arial" w:hAnsi="Arial" w:cs="Arial"/>
          <w:color w:val="0E101A"/>
          <w:sz w:val="22"/>
          <w:szCs w:val="22"/>
          <w:lang w:val="en-GB"/>
        </w:rPr>
        <w:t xml:space="preserve">trategy and subsequent policy developments, significant disparities in care quality remain evident across different regions. Furthermore, many individuals continue to </w:t>
      </w:r>
      <w:r w:rsidR="00753D2F" w:rsidRPr="00D53E67">
        <w:rPr>
          <w:rFonts w:ascii="Arial" w:hAnsi="Arial" w:cs="Arial"/>
          <w:color w:val="0E101A"/>
          <w:sz w:val="22"/>
          <w:szCs w:val="22"/>
          <w:lang w:val="en-GB"/>
        </w:rPr>
        <w:t>experience diagnostic delays</w:t>
      </w:r>
      <w:r w:rsidRPr="00D53E67">
        <w:rPr>
          <w:rFonts w:ascii="Arial" w:hAnsi="Arial" w:cs="Arial"/>
          <w:color w:val="0E101A"/>
          <w:sz w:val="22"/>
          <w:szCs w:val="22"/>
          <w:lang w:val="en-GB"/>
        </w:rPr>
        <w:t xml:space="preserve"> and receive inadequate post-diagnostic support</w:t>
      </w:r>
      <w:r w:rsidR="00753D2F" w:rsidRPr="00D53E67">
        <w:rPr>
          <w:rFonts w:ascii="Arial" w:hAnsi="Arial" w:cs="Arial"/>
          <w:color w:val="0E101A"/>
          <w:sz w:val="22"/>
          <w:szCs w:val="22"/>
          <w:lang w:val="en-GB"/>
        </w:rPr>
        <w:t xml:space="preserve"> (Olubunmi </w:t>
      </w:r>
      <w:proofErr w:type="spellStart"/>
      <w:r w:rsidR="00753D2F" w:rsidRPr="00D53E67">
        <w:rPr>
          <w:rFonts w:ascii="Arial" w:hAnsi="Arial" w:cs="Arial"/>
          <w:color w:val="0E101A"/>
          <w:sz w:val="22"/>
          <w:szCs w:val="22"/>
          <w:lang w:val="en-GB"/>
        </w:rPr>
        <w:t>Kusoro</w:t>
      </w:r>
      <w:proofErr w:type="spellEnd"/>
      <w:r w:rsidR="00753D2F" w:rsidRPr="00D53E67">
        <w:rPr>
          <w:rFonts w:ascii="Arial" w:hAnsi="Arial" w:cs="Arial"/>
          <w:color w:val="0E101A"/>
          <w:sz w:val="22"/>
          <w:szCs w:val="22"/>
          <w:lang w:val="en-GB"/>
        </w:rPr>
        <w:t xml:space="preserve"> et al., 2025).</w:t>
      </w:r>
    </w:p>
    <w:p w14:paraId="6B2E73C9" w14:textId="77777777" w:rsidR="00753D2F" w:rsidRPr="00D53E67" w:rsidRDefault="00753D2F" w:rsidP="00753D2F">
      <w:pPr>
        <w:pStyle w:val="NormalWeb"/>
        <w:spacing w:before="0" w:beforeAutospacing="0" w:after="0" w:afterAutospacing="0" w:line="480" w:lineRule="auto"/>
        <w:jc w:val="both"/>
        <w:rPr>
          <w:rFonts w:ascii="Arial" w:hAnsi="Arial" w:cs="Arial"/>
          <w:color w:val="0E101A"/>
          <w:sz w:val="22"/>
          <w:szCs w:val="22"/>
          <w:lang w:val="en-GB"/>
        </w:rPr>
      </w:pPr>
    </w:p>
    <w:p w14:paraId="64777B82" w14:textId="0623E6BD" w:rsidR="00541CF3" w:rsidRPr="00D53E67" w:rsidRDefault="00AD08F7" w:rsidP="00753D2F">
      <w:pPr>
        <w:pStyle w:val="NormalWeb"/>
        <w:spacing w:before="0" w:beforeAutospacing="0" w:after="0" w:afterAutospacing="0" w:line="480" w:lineRule="auto"/>
        <w:jc w:val="both"/>
        <w:rPr>
          <w:rFonts w:ascii="Arial" w:hAnsi="Arial" w:cs="Arial"/>
          <w:color w:val="0E101A"/>
          <w:sz w:val="22"/>
          <w:szCs w:val="22"/>
          <w:lang w:val="en-GB"/>
        </w:rPr>
      </w:pPr>
      <w:r w:rsidRPr="00D53E67">
        <w:rPr>
          <w:rFonts w:ascii="Arial" w:hAnsi="Arial" w:cs="Arial"/>
          <w:color w:val="0E101A"/>
          <w:sz w:val="22"/>
          <w:szCs w:val="22"/>
        </w:rPr>
        <w:t xml:space="preserve"> The</w:t>
      </w:r>
      <w:r w:rsidR="00274AD4" w:rsidRPr="00D53E67">
        <w:rPr>
          <w:rFonts w:ascii="Arial" w:hAnsi="Arial" w:cs="Arial"/>
          <w:color w:val="0E101A"/>
          <w:sz w:val="22"/>
          <w:szCs w:val="22"/>
        </w:rPr>
        <w:t xml:space="preserve"> </w:t>
      </w:r>
      <w:r w:rsidR="00274AD4" w:rsidRPr="00D53E67">
        <w:rPr>
          <w:rFonts w:ascii="Arial" w:hAnsi="Arial" w:cs="Arial"/>
          <w:color w:val="0E101A"/>
          <w:sz w:val="22"/>
          <w:szCs w:val="22"/>
          <w:lang w:val="en-GB"/>
        </w:rPr>
        <w:t>current evidence suggests that integrated care models, which unify health, social care, and community support, can significantly improve outcomes for patients living with dementia (</w:t>
      </w:r>
      <w:proofErr w:type="spellStart"/>
      <w:r w:rsidR="00274AD4" w:rsidRPr="00D53E67">
        <w:rPr>
          <w:rFonts w:ascii="Arial" w:hAnsi="Arial" w:cs="Arial"/>
          <w:color w:val="0E101A"/>
          <w:sz w:val="22"/>
          <w:szCs w:val="22"/>
          <w:lang w:val="en-GB"/>
        </w:rPr>
        <w:t>Karacsony</w:t>
      </w:r>
      <w:proofErr w:type="spellEnd"/>
      <w:r w:rsidR="00274AD4" w:rsidRPr="00D53E67">
        <w:rPr>
          <w:rFonts w:ascii="Arial" w:hAnsi="Arial" w:cs="Arial"/>
          <w:color w:val="0E101A"/>
          <w:sz w:val="22"/>
          <w:szCs w:val="22"/>
          <w:lang w:val="en-GB"/>
        </w:rPr>
        <w:t xml:space="preserve"> et al., 2022). Additionally, given that the COVID-19 pandemic introduced transformative changes to the medical landscape, it is vital to understand its lasting impact on dementia care, specifically within the UK (Pyne &amp; Brickman,</w:t>
      </w:r>
      <w:r w:rsidR="00F72F30" w:rsidRPr="00D53E67">
        <w:rPr>
          <w:rFonts w:ascii="Arial" w:hAnsi="Arial" w:cs="Arial"/>
          <w:color w:val="0E101A"/>
          <w:sz w:val="22"/>
          <w:szCs w:val="22"/>
          <w:lang w:val="en-GB"/>
        </w:rPr>
        <w:t xml:space="preserve"> </w:t>
      </w:r>
      <w:r w:rsidR="00274AD4" w:rsidRPr="00D53E67">
        <w:rPr>
          <w:rFonts w:ascii="Arial" w:hAnsi="Arial" w:cs="Arial"/>
          <w:color w:val="0E101A"/>
          <w:sz w:val="22"/>
          <w:szCs w:val="22"/>
          <w:lang w:val="en-GB"/>
        </w:rPr>
        <w:t>2021). A comprehensive understanding of prevailing practises is essential to identify and drive areas for clinical and service improvement</w:t>
      </w:r>
    </w:p>
    <w:p w14:paraId="576D1B99" w14:textId="1972CEE2" w:rsidR="00AD08F7" w:rsidRPr="00D53E67" w:rsidRDefault="00AD08F7" w:rsidP="00753D2F">
      <w:pPr>
        <w:pStyle w:val="NormalWeb"/>
        <w:spacing w:before="0" w:beforeAutospacing="0" w:after="0" w:afterAutospacing="0" w:line="480" w:lineRule="auto"/>
        <w:jc w:val="both"/>
        <w:rPr>
          <w:rFonts w:ascii="Arial" w:hAnsi="Arial" w:cs="Arial"/>
          <w:color w:val="0E101A"/>
          <w:sz w:val="22"/>
          <w:szCs w:val="22"/>
          <w:lang w:val="en-GB"/>
        </w:rPr>
      </w:pPr>
      <w:r w:rsidRPr="00D53E67">
        <w:rPr>
          <w:rFonts w:ascii="Arial" w:hAnsi="Arial" w:cs="Arial"/>
          <w:color w:val="0E101A"/>
          <w:sz w:val="22"/>
          <w:szCs w:val="22"/>
        </w:rPr>
        <w:t xml:space="preserve">  </w:t>
      </w:r>
    </w:p>
    <w:p w14:paraId="11CE78F1" w14:textId="5F3DF428" w:rsidR="00731D51" w:rsidRPr="00D53E67" w:rsidRDefault="00541CF3" w:rsidP="00ED2EA8">
      <w:pPr>
        <w:pStyle w:val="NormalWeb"/>
        <w:spacing w:before="0" w:beforeAutospacing="0" w:after="0" w:afterAutospacing="0" w:line="480" w:lineRule="auto"/>
        <w:ind w:firstLine="720"/>
        <w:jc w:val="both"/>
        <w:rPr>
          <w:rFonts w:ascii="Arial" w:hAnsi="Arial" w:cs="Arial"/>
          <w:color w:val="0E101A"/>
          <w:sz w:val="22"/>
          <w:szCs w:val="22"/>
          <w:lang w:val="en-GB"/>
        </w:rPr>
      </w:pPr>
      <w:r w:rsidRPr="00D53E67">
        <w:rPr>
          <w:rFonts w:ascii="Arial" w:hAnsi="Arial" w:cs="Arial"/>
          <w:color w:val="0E101A"/>
          <w:sz w:val="22"/>
          <w:szCs w:val="22"/>
          <w:lang w:val="en-GB"/>
        </w:rPr>
        <w:t>The decision to focus on UK practise is necessitated by the unique structure of the British health and social care system. While the National Health Service (NHS) provides healthcare, social care remains means-tested and is typically managed by various local authorities. This organisational divide presents specific challenges for dementia patients. We require seamless, coherent support across both the health and social spheres. Consequently</w:t>
      </w:r>
      <w:r w:rsidR="00731D51" w:rsidRPr="00D53E67">
        <w:rPr>
          <w:rFonts w:ascii="Arial" w:hAnsi="Arial" w:cs="Arial"/>
          <w:color w:val="0E101A"/>
          <w:sz w:val="22"/>
          <w:szCs w:val="22"/>
          <w:lang w:val="en-GB"/>
        </w:rPr>
        <w:t>, this study aims to build research capacity and generate knowledge that enhances care quality and patient safety-</w:t>
      </w:r>
      <w:r w:rsidRPr="00D53E67">
        <w:rPr>
          <w:rFonts w:ascii="Arial" w:hAnsi="Arial" w:cs="Arial"/>
          <w:color w:val="0E101A"/>
          <w:sz w:val="22"/>
          <w:szCs w:val="22"/>
          <w:lang w:val="en-GB"/>
        </w:rPr>
        <w:t xml:space="preserve">an approach strongly advocated by Aveyard (2014). Empirical research into these systemic issues is essential to guide </w:t>
      </w:r>
      <w:r w:rsidR="00731D51" w:rsidRPr="00D53E67">
        <w:rPr>
          <w:rFonts w:ascii="Arial" w:hAnsi="Arial" w:cs="Arial"/>
          <w:color w:val="0E101A"/>
          <w:sz w:val="22"/>
          <w:szCs w:val="22"/>
          <w:lang w:val="en-GB"/>
        </w:rPr>
        <w:t>evidence-based</w:t>
      </w:r>
      <w:r w:rsidRPr="00D53E67">
        <w:rPr>
          <w:rFonts w:ascii="Arial" w:hAnsi="Arial" w:cs="Arial"/>
          <w:color w:val="0E101A"/>
          <w:sz w:val="22"/>
          <w:szCs w:val="22"/>
          <w:lang w:val="en-GB"/>
        </w:rPr>
        <w:t xml:space="preserve"> policy making for this vulnerable population</w:t>
      </w:r>
      <w:r w:rsidR="00731D51" w:rsidRPr="00D53E67">
        <w:rPr>
          <w:rFonts w:ascii="Arial" w:hAnsi="Arial" w:cs="Arial"/>
          <w:color w:val="0E101A"/>
          <w:sz w:val="22"/>
          <w:szCs w:val="22"/>
          <w:lang w:val="en-GB"/>
        </w:rPr>
        <w:t>.</w:t>
      </w:r>
    </w:p>
    <w:p w14:paraId="4D9B3C62" w14:textId="7F5C9113" w:rsidR="00731D51" w:rsidRPr="00D53E67" w:rsidRDefault="00731D51" w:rsidP="006D1750">
      <w:pPr>
        <w:pStyle w:val="NormalWeb"/>
        <w:spacing w:before="0" w:beforeAutospacing="0" w:after="0" w:afterAutospacing="0" w:line="480" w:lineRule="auto"/>
        <w:jc w:val="both"/>
        <w:rPr>
          <w:rFonts w:ascii="Arial" w:hAnsi="Arial" w:cs="Arial"/>
          <w:sz w:val="22"/>
          <w:szCs w:val="22"/>
          <w:lang w:val="en-GB"/>
        </w:rPr>
      </w:pPr>
    </w:p>
    <w:p w14:paraId="0FC8A4BC" w14:textId="765E5ED5" w:rsidR="00AD08F7" w:rsidRPr="00D53E67" w:rsidRDefault="00AD08F7" w:rsidP="00F72F30">
      <w:pPr>
        <w:pStyle w:val="NormalWeb"/>
        <w:spacing w:before="0" w:beforeAutospacing="0" w:after="0" w:afterAutospacing="0" w:line="480" w:lineRule="auto"/>
        <w:jc w:val="both"/>
        <w:rPr>
          <w:rFonts w:ascii="Arial" w:hAnsi="Arial" w:cs="Arial"/>
          <w:color w:val="0E101A"/>
          <w:sz w:val="22"/>
          <w:szCs w:val="22"/>
          <w:lang w:val="en-GB"/>
        </w:rPr>
      </w:pPr>
    </w:p>
    <w:p w14:paraId="3A912C78" w14:textId="3ADAC281" w:rsidR="00B65EB6" w:rsidRPr="00620C63" w:rsidRDefault="009058B0" w:rsidP="00620C63">
      <w:pPr>
        <w:pStyle w:val="Heading2"/>
        <w:jc w:val="center"/>
      </w:pPr>
      <w:bookmarkStart w:id="9" w:name="_Toc225185367"/>
      <w:r w:rsidRPr="00620C63">
        <w:lastRenderedPageBreak/>
        <w:t>Methods</w:t>
      </w:r>
      <w:bookmarkEnd w:id="9"/>
    </w:p>
    <w:p w14:paraId="6E7D64C9" w14:textId="27E77A82"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w:t>
      </w:r>
      <w:r w:rsidR="006D1750" w:rsidRPr="00D53E67">
        <w:rPr>
          <w:rFonts w:ascii="Arial" w:hAnsi="Arial" w:cs="Arial"/>
          <w:color w:val="0E101A"/>
          <w:sz w:val="22"/>
          <w:szCs w:val="22"/>
        </w:rPr>
        <w:t>primary and secondary sources of research included in this scoping review, which appeared in peer-reviewed journals</w:t>
      </w:r>
      <w:r w:rsidRPr="00D53E67">
        <w:rPr>
          <w:rFonts w:ascii="Arial" w:hAnsi="Arial" w:cs="Arial"/>
          <w:color w:val="0E101A"/>
          <w:sz w:val="22"/>
          <w:szCs w:val="22"/>
        </w:rPr>
        <w:t xml:space="preserve">, were selected according to the recommendations </w:t>
      </w:r>
      <w:r w:rsidR="00B65EB6" w:rsidRPr="00D53E67">
        <w:rPr>
          <w:rFonts w:ascii="Arial" w:hAnsi="Arial" w:cs="Arial"/>
          <w:color w:val="0E101A"/>
          <w:sz w:val="22"/>
          <w:szCs w:val="22"/>
        </w:rPr>
        <w:t xml:space="preserve">of Arksey and O’Malley (2003). and are indicative of the complexity </w:t>
      </w:r>
      <w:r w:rsidRPr="00D53E67">
        <w:rPr>
          <w:rFonts w:ascii="Arial" w:hAnsi="Arial" w:cs="Arial"/>
          <w:color w:val="0E101A"/>
          <w:sz w:val="22"/>
          <w:szCs w:val="22"/>
        </w:rPr>
        <w:t xml:space="preserve">of dementia care in the UK. The </w:t>
      </w:r>
      <w:r w:rsidR="00B65EB6" w:rsidRPr="00D53E67">
        <w:rPr>
          <w:rFonts w:ascii="Arial" w:hAnsi="Arial" w:cs="Arial"/>
          <w:color w:val="0E101A"/>
          <w:sz w:val="22"/>
          <w:szCs w:val="22"/>
        </w:rPr>
        <w:t>scoping review has examined five major peer-reviewed research articles that together</w:t>
      </w:r>
      <w:r w:rsidRPr="00D53E67">
        <w:rPr>
          <w:rFonts w:ascii="Arial" w:hAnsi="Arial" w:cs="Arial"/>
          <w:color w:val="0E101A"/>
          <w:sz w:val="22"/>
          <w:szCs w:val="22"/>
        </w:rPr>
        <w:t xml:space="preserve"> shed light on various aspects of dementia care in the UK. The methodological </w:t>
      </w:r>
      <w:proofErr w:type="spellStart"/>
      <w:r w:rsidRPr="00D53E67">
        <w:rPr>
          <w:rFonts w:ascii="Arial" w:hAnsi="Arial" w:cs="Arial"/>
          <w:color w:val="0E101A"/>
          <w:sz w:val="22"/>
          <w:szCs w:val="22"/>
        </w:rPr>
        <w:t>rigour</w:t>
      </w:r>
      <w:proofErr w:type="spellEnd"/>
      <w:r w:rsidRPr="00D53E67">
        <w:rPr>
          <w:rFonts w:ascii="Arial" w:hAnsi="Arial" w:cs="Arial"/>
          <w:color w:val="0E101A"/>
          <w:sz w:val="22"/>
          <w:szCs w:val="22"/>
        </w:rPr>
        <w:t xml:space="preserve"> applied in the studies, relevance to the UK practice, publication in well-known academic journals, and contribution to the gap in social care service planning and provision were used to select the studies. Chen et al. (2023) performed a longitudinal analysis of English Longitudinal Study of Ageing data</w:t>
      </w:r>
      <w:r w:rsidR="00B65EB6" w:rsidRPr="00D53E67">
        <w:rPr>
          <w:rFonts w:ascii="Arial" w:hAnsi="Arial" w:cs="Arial"/>
          <w:color w:val="0E101A"/>
          <w:sz w:val="22"/>
          <w:szCs w:val="22"/>
        </w:rPr>
        <w:t>, comprising 90,073 person-observations, using waves 1</w:t>
      </w:r>
      <w:r w:rsidR="006D1750" w:rsidRPr="00D53E67">
        <w:rPr>
          <w:rFonts w:ascii="Arial" w:hAnsi="Arial" w:cs="Arial"/>
          <w:color w:val="0E101A"/>
          <w:sz w:val="22"/>
          <w:szCs w:val="22"/>
        </w:rPr>
        <w:t>-</w:t>
      </w:r>
      <w:r w:rsidR="00B65EB6" w:rsidRPr="00D53E67">
        <w:rPr>
          <w:rFonts w:ascii="Arial" w:hAnsi="Arial" w:cs="Arial"/>
          <w:color w:val="0E101A"/>
          <w:sz w:val="22"/>
          <w:szCs w:val="22"/>
        </w:rPr>
        <w:t>9 of the study conducted</w:t>
      </w:r>
      <w:r w:rsidRPr="00D53E67">
        <w:rPr>
          <w:rFonts w:ascii="Arial" w:hAnsi="Arial" w:cs="Arial"/>
          <w:color w:val="0E101A"/>
          <w:sz w:val="22"/>
          <w:szCs w:val="22"/>
        </w:rPr>
        <w:t xml:space="preserve"> between 2002 and 2019. The research </w:t>
      </w:r>
      <w:r w:rsidR="009058B0" w:rsidRPr="00D53E67">
        <w:rPr>
          <w:rFonts w:ascii="Arial" w:hAnsi="Arial" w:cs="Arial"/>
          <w:color w:val="0E101A"/>
          <w:sz w:val="22"/>
          <w:szCs w:val="22"/>
        </w:rPr>
        <w:t>used Cox proportional hazards models and multistate models to estimate trends in dementia incidence, adjusting for potential bias from missing dementia cases due to</w:t>
      </w:r>
      <w:r w:rsidRPr="00D53E67">
        <w:rPr>
          <w:rFonts w:ascii="Arial" w:hAnsi="Arial" w:cs="Arial"/>
          <w:color w:val="0E101A"/>
          <w:sz w:val="22"/>
          <w:szCs w:val="22"/>
        </w:rPr>
        <w:t xml:space="preserve"> deaths between survey waves. This methodological </w:t>
      </w:r>
      <w:r w:rsidR="008D775B" w:rsidRPr="00D53E67">
        <w:rPr>
          <w:rFonts w:ascii="Arial" w:hAnsi="Arial" w:cs="Arial"/>
          <w:color w:val="0E101A"/>
          <w:sz w:val="22"/>
          <w:szCs w:val="22"/>
        </w:rPr>
        <w:t>approach enabled scholars to study non-linear trends in dementia incidence and forecast future disease burden through</w:t>
      </w:r>
      <w:r w:rsidRPr="00D53E67">
        <w:rPr>
          <w:rFonts w:ascii="Arial" w:hAnsi="Arial" w:cs="Arial"/>
          <w:color w:val="0E101A"/>
          <w:sz w:val="22"/>
          <w:szCs w:val="22"/>
        </w:rPr>
        <w:t xml:space="preserve"> 2040. In their systematic review of the experiences of informal carers using UK dementia services, Francis and Hanna (2020) searched several databases and used stringent inclusion criteria to identify eligible qualitative and mixed-methods studies. In their analysis, they </w:t>
      </w:r>
      <w:proofErr w:type="gramStart"/>
      <w:r w:rsidRPr="00D53E67">
        <w:rPr>
          <w:rFonts w:ascii="Arial" w:hAnsi="Arial" w:cs="Arial"/>
          <w:color w:val="0E101A"/>
          <w:sz w:val="22"/>
          <w:szCs w:val="22"/>
        </w:rPr>
        <w:t>synthesised</w:t>
      </w:r>
      <w:proofErr w:type="gramEnd"/>
      <w:r w:rsidRPr="00D53E67">
        <w:rPr>
          <w:rFonts w:ascii="Arial" w:hAnsi="Arial" w:cs="Arial"/>
          <w:color w:val="0E101A"/>
          <w:sz w:val="22"/>
          <w:szCs w:val="22"/>
        </w:rPr>
        <w:t xml:space="preserve"> the </w:t>
      </w:r>
      <w:r w:rsidR="008D775B" w:rsidRPr="00D53E67">
        <w:rPr>
          <w:rFonts w:ascii="Arial" w:hAnsi="Arial" w:cs="Arial"/>
          <w:color w:val="0E101A"/>
          <w:sz w:val="22"/>
          <w:szCs w:val="22"/>
        </w:rPr>
        <w:t xml:space="preserve">literature to identify common themes in carers' experiences </w:t>
      </w:r>
      <w:r w:rsidRPr="00D53E67">
        <w:rPr>
          <w:rFonts w:ascii="Arial" w:hAnsi="Arial" w:cs="Arial"/>
          <w:color w:val="0E101A"/>
          <w:sz w:val="22"/>
          <w:szCs w:val="22"/>
        </w:rPr>
        <w:t>and gaps in services. Coupland et al. (2022) employed the cohort study approach that is based on a massive primary care database to explore the relationship between exposure to anticholinergic drugs and the risk of dementia. The researchers used advanced statistical controls to adjust for confounding factors and determine the time relation between the use of medication and the buildup of dementia. The patient and public engagement project by Marrow et al. (2024) is qualitative</w:t>
      </w:r>
      <w:r w:rsidR="008D775B" w:rsidRPr="00D53E67">
        <w:rPr>
          <w:rFonts w:ascii="Arial" w:hAnsi="Arial" w:cs="Arial"/>
          <w:color w:val="0E101A"/>
          <w:sz w:val="22"/>
          <w:szCs w:val="22"/>
        </w:rPr>
        <w:t xml:space="preserve">, as it employed focus groups and interviews to obtain the </w:t>
      </w:r>
      <w:r w:rsidRPr="00D53E67">
        <w:rPr>
          <w:rFonts w:ascii="Arial" w:hAnsi="Arial" w:cs="Arial"/>
          <w:color w:val="0E101A"/>
          <w:sz w:val="22"/>
          <w:szCs w:val="22"/>
        </w:rPr>
        <w:t>views and opinions of people with dementia, carers, and healthcare professionals about hospital-based dementia care in one UK Hospital Trust. The DYNAMIC study involved qualitative interviews with social care professionals</w:t>
      </w:r>
      <w:r w:rsidR="008D775B" w:rsidRPr="00D53E67">
        <w:rPr>
          <w:rFonts w:ascii="Arial" w:hAnsi="Arial" w:cs="Arial"/>
          <w:color w:val="0E101A"/>
          <w:sz w:val="22"/>
          <w:szCs w:val="22"/>
        </w:rPr>
        <w:t xml:space="preserve">, conducted by Quinn et al. (2025), </w:t>
      </w:r>
      <w:r w:rsidR="008D775B" w:rsidRPr="00D53E67">
        <w:rPr>
          <w:rFonts w:ascii="Arial" w:hAnsi="Arial" w:cs="Arial"/>
          <w:color w:val="0E101A"/>
          <w:sz w:val="22"/>
          <w:szCs w:val="22"/>
        </w:rPr>
        <w:lastRenderedPageBreak/>
        <w:t>on their perceptions of planning and provision for</w:t>
      </w:r>
      <w:r w:rsidRPr="00D53E67">
        <w:rPr>
          <w:rFonts w:ascii="Arial" w:hAnsi="Arial" w:cs="Arial"/>
          <w:color w:val="0E101A"/>
          <w:sz w:val="22"/>
          <w:szCs w:val="22"/>
        </w:rPr>
        <w:t xml:space="preserve"> people with young-onset dementia and their families in England. Thematic analysis was used in the study to </w:t>
      </w:r>
      <w:r w:rsidR="008D775B" w:rsidRPr="00D53E67">
        <w:rPr>
          <w:rFonts w:ascii="Arial" w:hAnsi="Arial" w:cs="Arial"/>
          <w:color w:val="0E101A"/>
          <w:sz w:val="22"/>
          <w:szCs w:val="22"/>
        </w:rPr>
        <w:t>identify the most critical challenges and gaps in service provision for</w:t>
      </w:r>
      <w:r w:rsidRPr="00D53E67">
        <w:rPr>
          <w:rFonts w:ascii="Arial" w:hAnsi="Arial" w:cs="Arial"/>
          <w:color w:val="0E101A"/>
          <w:sz w:val="22"/>
          <w:szCs w:val="22"/>
        </w:rPr>
        <w:t xml:space="preserve"> this </w:t>
      </w:r>
      <w:proofErr w:type="gramStart"/>
      <w:r w:rsidR="008D775B" w:rsidRPr="00D53E67">
        <w:rPr>
          <w:rFonts w:ascii="Arial" w:hAnsi="Arial" w:cs="Arial"/>
          <w:color w:val="0E101A"/>
          <w:sz w:val="22"/>
          <w:szCs w:val="22"/>
        </w:rPr>
        <w:t>particular population</w:t>
      </w:r>
      <w:proofErr w:type="gramEnd"/>
      <w:r w:rsidRPr="00D53E67">
        <w:rPr>
          <w:rFonts w:ascii="Arial" w:hAnsi="Arial" w:cs="Arial"/>
          <w:color w:val="0E101A"/>
          <w:sz w:val="22"/>
          <w:szCs w:val="22"/>
        </w:rPr>
        <w:t>.</w:t>
      </w:r>
    </w:p>
    <w:p w14:paraId="7F768000" w14:textId="77777777" w:rsidR="008D775B" w:rsidRPr="00D53E67" w:rsidRDefault="008D775B" w:rsidP="00ED2EA8">
      <w:pPr>
        <w:pStyle w:val="NormalWeb"/>
        <w:spacing w:before="0" w:beforeAutospacing="0" w:after="0" w:afterAutospacing="0" w:line="480" w:lineRule="auto"/>
        <w:ind w:firstLine="720"/>
        <w:jc w:val="both"/>
        <w:rPr>
          <w:rFonts w:ascii="Arial" w:hAnsi="Arial" w:cs="Arial"/>
          <w:color w:val="0E101A"/>
          <w:sz w:val="22"/>
          <w:szCs w:val="22"/>
        </w:rPr>
      </w:pPr>
    </w:p>
    <w:p w14:paraId="6E6090BD" w14:textId="099D8785" w:rsidR="008D775B" w:rsidRPr="00620C63" w:rsidRDefault="00AD08F7" w:rsidP="00620C63">
      <w:pPr>
        <w:pStyle w:val="Heading2"/>
        <w:jc w:val="center"/>
        <w:rPr>
          <w:rStyle w:val="Strong"/>
          <w:b w:val="0"/>
          <w:bCs w:val="0"/>
        </w:rPr>
      </w:pPr>
      <w:bookmarkStart w:id="10" w:name="_Toc222012456"/>
      <w:bookmarkStart w:id="11" w:name="_Toc225185368"/>
      <w:r w:rsidRPr="00620C63">
        <w:rPr>
          <w:rStyle w:val="Strong"/>
          <w:b w:val="0"/>
          <w:bCs w:val="0"/>
        </w:rPr>
        <w:t>Results</w:t>
      </w:r>
      <w:bookmarkEnd w:id="10"/>
      <w:bookmarkEnd w:id="11"/>
    </w:p>
    <w:p w14:paraId="0A2E189D" w14:textId="77777777" w:rsidR="009058B0" w:rsidRPr="00D53E67" w:rsidRDefault="009058B0" w:rsidP="009058B0">
      <w:pPr>
        <w:rPr>
          <w:rFonts w:ascii="Arial" w:hAnsi="Arial" w:cs="Arial"/>
          <w:sz w:val="22"/>
          <w:szCs w:val="22"/>
        </w:rPr>
      </w:pPr>
    </w:p>
    <w:p w14:paraId="47F96605" w14:textId="17959673" w:rsidR="005B487C" w:rsidRPr="00D53E67" w:rsidRDefault="00AD08F7" w:rsidP="005B487C">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analysis of these five research studies demonstrates several interrelated </w:t>
      </w:r>
      <w:r w:rsidR="008D775B" w:rsidRPr="00D53E67">
        <w:rPr>
          <w:rFonts w:ascii="Arial" w:hAnsi="Arial" w:cs="Arial"/>
          <w:color w:val="0E101A"/>
          <w:sz w:val="22"/>
          <w:szCs w:val="22"/>
        </w:rPr>
        <w:t xml:space="preserve">findings regarding the provision of dementia care in the UK, showing many gaps in </w:t>
      </w:r>
      <w:r w:rsidRPr="00D53E67">
        <w:rPr>
          <w:rFonts w:ascii="Arial" w:hAnsi="Arial" w:cs="Arial"/>
          <w:color w:val="0E101A"/>
          <w:sz w:val="22"/>
          <w:szCs w:val="22"/>
        </w:rPr>
        <w:t>service planning, delivery, and coordination. Dementia Incidence Trends and Future Burden. The longitudinal analysis conducted by Chen et al. (2023) found a worrying non-linear trend in dementia incidence in England and Wales. The prevalence rate of dementia in the age-specific and sex-specific populations in 2002 was 10.7 per 1,000 person-years, and in 2010</w:t>
      </w:r>
      <w:r w:rsidR="008D775B" w:rsidRPr="00D53E67">
        <w:rPr>
          <w:rFonts w:ascii="Arial" w:hAnsi="Arial" w:cs="Arial"/>
          <w:color w:val="0E101A"/>
          <w:sz w:val="22"/>
          <w:szCs w:val="22"/>
        </w:rPr>
        <w:t xml:space="preserve"> it had decreased to 28.8 per 1,000 person-years, a reduction of</w:t>
      </w:r>
      <w:r w:rsidRPr="00D53E67">
        <w:rPr>
          <w:rFonts w:ascii="Arial" w:hAnsi="Arial" w:cs="Arial"/>
          <w:color w:val="0E101A"/>
          <w:sz w:val="22"/>
          <w:szCs w:val="22"/>
        </w:rPr>
        <w:t xml:space="preserve"> 28.8 per cent. Nonetheless, this trend of positivity </w:t>
      </w:r>
      <w:r w:rsidR="008D775B" w:rsidRPr="00D53E67">
        <w:rPr>
          <w:rFonts w:ascii="Arial" w:hAnsi="Arial" w:cs="Arial"/>
          <w:color w:val="0E101A"/>
          <w:sz w:val="22"/>
          <w:szCs w:val="22"/>
        </w:rPr>
        <w:t>began to take a negative turn after 2008, and between 2008 and 2016, the incidence rose by 25.2 per cent; in 2019, it was</w:t>
      </w:r>
      <w:r w:rsidRPr="00D53E67">
        <w:rPr>
          <w:rFonts w:ascii="Arial" w:hAnsi="Arial" w:cs="Arial"/>
          <w:color w:val="0E101A"/>
          <w:sz w:val="22"/>
          <w:szCs w:val="22"/>
        </w:rPr>
        <w:t xml:space="preserve"> 11.3 per 1,000 person-years. This was also true of subgroups </w:t>
      </w:r>
      <w:r w:rsidR="008D775B" w:rsidRPr="00D53E67">
        <w:rPr>
          <w:rFonts w:ascii="Arial" w:hAnsi="Arial" w:cs="Arial"/>
          <w:color w:val="0E101A"/>
          <w:sz w:val="22"/>
          <w:szCs w:val="22"/>
        </w:rPr>
        <w:t>ordered by age, sex,</w:t>
      </w:r>
      <w:r w:rsidRPr="00D53E67">
        <w:rPr>
          <w:rFonts w:ascii="Arial" w:hAnsi="Arial" w:cs="Arial"/>
          <w:color w:val="0E101A"/>
          <w:sz w:val="22"/>
          <w:szCs w:val="22"/>
        </w:rPr>
        <w:t xml:space="preserve"> and educational attainment. Nevertheless, it is remarkable that lower education levels also </w:t>
      </w:r>
      <w:r w:rsidR="008D775B" w:rsidRPr="00D53E67">
        <w:rPr>
          <w:rFonts w:ascii="Arial" w:hAnsi="Arial" w:cs="Arial"/>
          <w:color w:val="0E101A"/>
          <w:sz w:val="22"/>
          <w:szCs w:val="22"/>
        </w:rPr>
        <w:t xml:space="preserve">showed a smaller decline in this trend in the previous period and an </w:t>
      </w:r>
      <w:proofErr w:type="gramStart"/>
      <w:r w:rsidR="008D775B" w:rsidRPr="00D53E67">
        <w:rPr>
          <w:rFonts w:ascii="Arial" w:hAnsi="Arial" w:cs="Arial"/>
          <w:color w:val="0E101A"/>
          <w:sz w:val="22"/>
          <w:szCs w:val="22"/>
        </w:rPr>
        <w:t>increase</w:t>
      </w:r>
      <w:proofErr w:type="gramEnd"/>
      <w:r w:rsidR="008D775B" w:rsidRPr="00D53E67">
        <w:rPr>
          <w:rFonts w:ascii="Arial" w:hAnsi="Arial" w:cs="Arial"/>
          <w:color w:val="0E101A"/>
          <w:sz w:val="22"/>
          <w:szCs w:val="22"/>
        </w:rPr>
        <w:t xml:space="preserve"> thereafter, indicating</w:t>
      </w:r>
      <w:r w:rsidRPr="00D53E67">
        <w:rPr>
          <w:rFonts w:ascii="Arial" w:hAnsi="Arial" w:cs="Arial"/>
          <w:color w:val="0E101A"/>
          <w:sz w:val="22"/>
          <w:szCs w:val="22"/>
        </w:rPr>
        <w:t xml:space="preserve"> an expanding disparity in health. The implications of this reversed trend for social care planning are far-reaching. When the trend of increasing the incidence rate of dementia remains, the population prevalence of the disease in England and Wales is expected to hit 1.7 million by 2040, a 70</w:t>
      </w:r>
      <w:r w:rsidR="007652CC" w:rsidRPr="00D53E67">
        <w:rPr>
          <w:rFonts w:ascii="Arial" w:hAnsi="Arial" w:cs="Arial"/>
          <w:color w:val="0E101A"/>
          <w:sz w:val="22"/>
          <w:szCs w:val="22"/>
        </w:rPr>
        <w:t>%</w:t>
      </w:r>
      <w:r w:rsidRPr="00D53E67">
        <w:rPr>
          <w:rFonts w:ascii="Arial" w:hAnsi="Arial" w:cs="Arial"/>
          <w:color w:val="0E101A"/>
          <w:sz w:val="22"/>
          <w:szCs w:val="22"/>
        </w:rPr>
        <w:t xml:space="preserve"> percent higher number of cases than estimated before, and about twice what it will be in 2023. This is a dramatic increase that would </w:t>
      </w:r>
      <w:r w:rsidR="007652CC" w:rsidRPr="00D53E67">
        <w:rPr>
          <w:rFonts w:ascii="Arial" w:hAnsi="Arial" w:cs="Arial"/>
          <w:color w:val="0E101A"/>
          <w:sz w:val="22"/>
          <w:szCs w:val="22"/>
        </w:rPr>
        <w:t>place</w:t>
      </w:r>
      <w:r w:rsidRPr="00D53E67">
        <w:rPr>
          <w:rFonts w:ascii="Arial" w:hAnsi="Arial" w:cs="Arial"/>
          <w:color w:val="0E101A"/>
          <w:sz w:val="22"/>
          <w:szCs w:val="22"/>
        </w:rPr>
        <w:t xml:space="preserve"> </w:t>
      </w:r>
      <w:r w:rsidR="007652CC" w:rsidRPr="00D53E67">
        <w:rPr>
          <w:rFonts w:ascii="Arial" w:hAnsi="Arial" w:cs="Arial"/>
          <w:color w:val="0E101A"/>
          <w:sz w:val="22"/>
          <w:szCs w:val="22"/>
        </w:rPr>
        <w:t>unprecedented strain on health and social care services, necessitating significant growth in care capacity, workforce development, and resource allocation</w:t>
      </w:r>
      <w:r w:rsidRPr="00D53E67">
        <w:rPr>
          <w:rFonts w:ascii="Arial" w:hAnsi="Arial" w:cs="Arial"/>
          <w:color w:val="0E101A"/>
          <w:sz w:val="22"/>
          <w:szCs w:val="22"/>
        </w:rPr>
        <w:t xml:space="preserve">. </w:t>
      </w:r>
    </w:p>
    <w:p w14:paraId="763D51FD" w14:textId="01F4EEBF" w:rsidR="00AD08F7" w:rsidRPr="00D53E67" w:rsidRDefault="00AD08F7" w:rsidP="005B487C">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lastRenderedPageBreak/>
        <w:t xml:space="preserve">In the systematic </w:t>
      </w:r>
      <w:r w:rsidR="007652CC" w:rsidRPr="00D53E67">
        <w:rPr>
          <w:rFonts w:ascii="Arial" w:hAnsi="Arial" w:cs="Arial"/>
          <w:color w:val="0E101A"/>
          <w:sz w:val="22"/>
          <w:szCs w:val="22"/>
        </w:rPr>
        <w:t xml:space="preserve">reviews by Francis and Hanna (2020) and Engel et al. (2022), evidence on informal carers' experiences of UK dementia services was synthesised, identifying consistent themes of frustration, </w:t>
      </w:r>
      <w:r w:rsidRPr="00D53E67">
        <w:rPr>
          <w:rFonts w:ascii="Arial" w:hAnsi="Arial" w:cs="Arial"/>
          <w:color w:val="0E101A"/>
          <w:sz w:val="22"/>
          <w:szCs w:val="22"/>
        </w:rPr>
        <w:t xml:space="preserve">lack of support, and service fragmentation. According to informal carers, they faced challenges in </w:t>
      </w:r>
      <w:r w:rsidR="009058B0" w:rsidRPr="00D53E67">
        <w:rPr>
          <w:rFonts w:ascii="Arial" w:hAnsi="Arial" w:cs="Arial"/>
          <w:color w:val="0E101A"/>
          <w:sz w:val="22"/>
          <w:szCs w:val="22"/>
        </w:rPr>
        <w:t xml:space="preserve">receiving an accurate diagnosis and proper post-diagnostic care; many were unaware of available services </w:t>
      </w:r>
      <w:r w:rsidR="007652CC" w:rsidRPr="00D53E67">
        <w:rPr>
          <w:rFonts w:ascii="Arial" w:hAnsi="Arial" w:cs="Arial"/>
          <w:color w:val="0E101A"/>
          <w:sz w:val="22"/>
          <w:szCs w:val="22"/>
        </w:rPr>
        <w:t>or how to navigate the complex care system</w:t>
      </w:r>
      <w:r w:rsidRPr="00D53E67">
        <w:rPr>
          <w:rFonts w:ascii="Arial" w:hAnsi="Arial" w:cs="Arial"/>
          <w:color w:val="0E101A"/>
          <w:sz w:val="22"/>
          <w:szCs w:val="22"/>
        </w:rPr>
        <w:t xml:space="preserve">. Carers often talked about experiencing abandonment on diagnosis, and continuing professional support, or a lack of coordination among various service providers. The review revealed </w:t>
      </w:r>
      <w:r w:rsidR="007652CC" w:rsidRPr="00D53E67">
        <w:rPr>
          <w:rFonts w:ascii="Arial" w:hAnsi="Arial" w:cs="Arial"/>
          <w:color w:val="0E101A"/>
          <w:sz w:val="22"/>
          <w:szCs w:val="22"/>
        </w:rPr>
        <w:t xml:space="preserve">weaknesses in the provision of respite care, with many carers who had suffered burnout and other adverse health effects due to their caregiving obligations </w:t>
      </w:r>
      <w:r w:rsidRPr="00D53E67">
        <w:rPr>
          <w:rFonts w:ascii="Arial" w:hAnsi="Arial" w:cs="Arial"/>
          <w:color w:val="0E101A"/>
          <w:sz w:val="22"/>
          <w:szCs w:val="22"/>
        </w:rPr>
        <w:t xml:space="preserve">not being relieved. There were </w:t>
      </w:r>
      <w:r w:rsidR="007652CC" w:rsidRPr="00D53E67">
        <w:rPr>
          <w:rFonts w:ascii="Arial" w:hAnsi="Arial" w:cs="Arial"/>
          <w:color w:val="0E101A"/>
          <w:sz w:val="22"/>
          <w:szCs w:val="22"/>
        </w:rPr>
        <w:t>financial concerns</w:t>
      </w:r>
      <w:r w:rsidR="009058B0" w:rsidRPr="00D53E67">
        <w:rPr>
          <w:rFonts w:ascii="Arial" w:hAnsi="Arial" w:cs="Arial"/>
          <w:color w:val="0E101A"/>
          <w:sz w:val="22"/>
          <w:szCs w:val="22"/>
        </w:rPr>
        <w:t>, as most carers cut back their working hours or quit their jobs to care for them, while incurring expenses related to dementia care that the government did not cover</w:t>
      </w:r>
      <w:r w:rsidR="005B487C" w:rsidRPr="00D53E67">
        <w:rPr>
          <w:rFonts w:ascii="Arial" w:hAnsi="Arial" w:cs="Arial"/>
          <w:color w:val="0E101A"/>
          <w:sz w:val="22"/>
          <w:szCs w:val="22"/>
        </w:rPr>
        <w:t xml:space="preserve"> </w:t>
      </w:r>
      <w:r w:rsidR="005B487C" w:rsidRPr="00D53E67">
        <w:rPr>
          <w:rFonts w:ascii="Arial" w:hAnsi="Arial" w:cs="Arial"/>
          <w:sz w:val="22"/>
          <w:szCs w:val="22"/>
        </w:rPr>
        <w:t>(Oba et al., 2021)</w:t>
      </w:r>
      <w:r w:rsidRPr="00D53E67">
        <w:rPr>
          <w:rFonts w:ascii="Arial" w:hAnsi="Arial" w:cs="Arial"/>
          <w:color w:val="0E101A"/>
          <w:sz w:val="22"/>
          <w:szCs w:val="22"/>
        </w:rPr>
        <w:t xml:space="preserve">. The psychological impact on the carers was also high, with many of the carers complaining about experiencing isolation, stress, and grief as they watched their loved one continually deteriorate in a condition of increasing weakness without having professional support to help them manage </w:t>
      </w:r>
      <w:proofErr w:type="gramStart"/>
      <w:r w:rsidRPr="00D53E67">
        <w:rPr>
          <w:rFonts w:ascii="Arial" w:hAnsi="Arial" w:cs="Arial"/>
          <w:color w:val="0E101A"/>
          <w:sz w:val="22"/>
          <w:szCs w:val="22"/>
        </w:rPr>
        <w:t>the complex</w:t>
      </w:r>
      <w:proofErr w:type="gramEnd"/>
      <w:r w:rsidRPr="00D53E67">
        <w:rPr>
          <w:rFonts w:ascii="Arial" w:hAnsi="Arial" w:cs="Arial"/>
          <w:color w:val="0E101A"/>
          <w:sz w:val="22"/>
          <w:szCs w:val="22"/>
        </w:rPr>
        <w:t xml:space="preserve"> care needs. </w:t>
      </w:r>
    </w:p>
    <w:p w14:paraId="297F4030" w14:textId="2E779EDC"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Coupland et al. (2022) </w:t>
      </w:r>
      <w:r w:rsidR="007652CC" w:rsidRPr="00D53E67">
        <w:rPr>
          <w:rFonts w:ascii="Arial" w:hAnsi="Arial" w:cs="Arial"/>
          <w:color w:val="0E101A"/>
          <w:sz w:val="22"/>
          <w:szCs w:val="22"/>
        </w:rPr>
        <w:t xml:space="preserve">conducted a cohort study in the anticholinergic drug exposure field, </w:t>
      </w:r>
      <w:r w:rsidR="009128FC" w:rsidRPr="00D53E67">
        <w:rPr>
          <w:rFonts w:ascii="Arial" w:hAnsi="Arial" w:cs="Arial"/>
          <w:color w:val="0E101A"/>
          <w:sz w:val="22"/>
          <w:szCs w:val="22"/>
        </w:rPr>
        <w:t xml:space="preserve">in which exposure is a valid, modifiable risk factor, and observed significant associations between certain medication classes and an </w:t>
      </w:r>
      <w:r w:rsidR="007652CC" w:rsidRPr="00D53E67">
        <w:rPr>
          <w:rFonts w:ascii="Arial" w:hAnsi="Arial" w:cs="Arial"/>
          <w:color w:val="0E101A"/>
          <w:sz w:val="22"/>
          <w:szCs w:val="22"/>
        </w:rPr>
        <w:t xml:space="preserve">increased risk of </w:t>
      </w:r>
      <w:r w:rsidRPr="00D53E67">
        <w:rPr>
          <w:rFonts w:ascii="Arial" w:hAnsi="Arial" w:cs="Arial"/>
          <w:color w:val="0E101A"/>
          <w:sz w:val="22"/>
          <w:szCs w:val="22"/>
        </w:rPr>
        <w:t>dementia.</w:t>
      </w:r>
      <w:r w:rsidR="00765B01" w:rsidRPr="00D53E67">
        <w:rPr>
          <w:rFonts w:ascii="Arial" w:hAnsi="Arial" w:cs="Arial"/>
          <w:color w:val="0E101A"/>
          <w:sz w:val="22"/>
          <w:szCs w:val="22"/>
        </w:rPr>
        <w:t xml:space="preserve"> Also, (Zheng et al., 2021) carried out a study that collected data from a variety of longitudinal and case control studies associated anticholinergic use with </w:t>
      </w:r>
      <w:r w:rsidR="007652CC" w:rsidRPr="00D53E67">
        <w:rPr>
          <w:rFonts w:ascii="Arial" w:hAnsi="Arial" w:cs="Arial"/>
          <w:color w:val="0E101A"/>
          <w:sz w:val="22"/>
          <w:szCs w:val="22"/>
        </w:rPr>
        <w:t xml:space="preserve">a </w:t>
      </w:r>
      <w:r w:rsidR="00765B01" w:rsidRPr="00D53E67">
        <w:rPr>
          <w:rFonts w:ascii="Arial" w:hAnsi="Arial" w:cs="Arial"/>
          <w:color w:val="0E101A"/>
          <w:sz w:val="22"/>
          <w:szCs w:val="22"/>
        </w:rPr>
        <w:t>high incidence rate of a</w:t>
      </w:r>
      <w:r w:rsidR="00765B01" w:rsidRPr="00D53E67">
        <w:rPr>
          <w:rFonts w:ascii="Arial" w:hAnsi="Arial" w:cs="Arial"/>
          <w:color w:val="1F1F1F"/>
          <w:sz w:val="22"/>
          <w:szCs w:val="22"/>
        </w:rPr>
        <w:t>ll-cause dementia and Alzheimer’s disease</w:t>
      </w:r>
      <w:r w:rsidR="00765B01" w:rsidRPr="00D53E67">
        <w:rPr>
          <w:rFonts w:ascii="Arial" w:hAnsi="Arial" w:cs="Arial"/>
          <w:color w:val="0E101A"/>
          <w:sz w:val="22"/>
          <w:szCs w:val="22"/>
        </w:rPr>
        <w:t>. Both studies d</w:t>
      </w:r>
      <w:r w:rsidRPr="00D53E67">
        <w:rPr>
          <w:rFonts w:ascii="Arial" w:hAnsi="Arial" w:cs="Arial"/>
          <w:color w:val="0E101A"/>
          <w:sz w:val="22"/>
          <w:szCs w:val="22"/>
        </w:rPr>
        <w:t xml:space="preserve">iscovered that anticholinergic antidepressants and antipsychotics, </w:t>
      </w:r>
      <w:proofErr w:type="spellStart"/>
      <w:r w:rsidRPr="00D53E67">
        <w:rPr>
          <w:rFonts w:ascii="Arial" w:hAnsi="Arial" w:cs="Arial"/>
          <w:color w:val="0E101A"/>
          <w:sz w:val="22"/>
          <w:szCs w:val="22"/>
        </w:rPr>
        <w:t>antiparkinson</w:t>
      </w:r>
      <w:proofErr w:type="spellEnd"/>
      <w:r w:rsidR="007652CC" w:rsidRPr="00D53E67">
        <w:rPr>
          <w:rFonts w:ascii="Arial" w:hAnsi="Arial" w:cs="Arial"/>
          <w:color w:val="0E101A"/>
          <w:sz w:val="22"/>
          <w:szCs w:val="22"/>
        </w:rPr>
        <w:t xml:space="preserve"> </w:t>
      </w:r>
      <w:r w:rsidRPr="00D53E67">
        <w:rPr>
          <w:rFonts w:ascii="Arial" w:hAnsi="Arial" w:cs="Arial"/>
          <w:color w:val="0E101A"/>
          <w:sz w:val="22"/>
          <w:szCs w:val="22"/>
        </w:rPr>
        <w:t>drugs, antipsychotic antidepressants, antipsychotics, antipsychotics, and antipsychotics were associated with a greater risk of dementia. These findings have implications for social care planning</w:t>
      </w:r>
      <w:r w:rsidR="007652CC" w:rsidRPr="00D53E67">
        <w:rPr>
          <w:rFonts w:ascii="Arial" w:hAnsi="Arial" w:cs="Arial"/>
          <w:color w:val="0E101A"/>
          <w:sz w:val="22"/>
          <w:szCs w:val="22"/>
        </w:rPr>
        <w:t>, as they indicate dementia-prevention opportunities by evaluating and streamlining medication use, particularly in the initial care setting</w:t>
      </w:r>
      <w:r w:rsidRPr="00D53E67">
        <w:rPr>
          <w:rFonts w:ascii="Arial" w:hAnsi="Arial" w:cs="Arial"/>
          <w:color w:val="0E101A"/>
          <w:sz w:val="22"/>
          <w:szCs w:val="22"/>
        </w:rPr>
        <w:t xml:space="preserve">. Nevertheless, the </w:t>
      </w:r>
      <w:r w:rsidR="007652CC" w:rsidRPr="00D53E67">
        <w:rPr>
          <w:rFonts w:ascii="Arial" w:hAnsi="Arial" w:cs="Arial"/>
          <w:color w:val="0E101A"/>
          <w:sz w:val="22"/>
          <w:szCs w:val="22"/>
        </w:rPr>
        <w:t>gap between research evidence and clinical practice implementation is a major shortfall in service provision</w:t>
      </w:r>
      <w:r w:rsidRPr="00D53E67">
        <w:rPr>
          <w:rFonts w:ascii="Arial" w:hAnsi="Arial" w:cs="Arial"/>
          <w:color w:val="0E101A"/>
          <w:sz w:val="22"/>
          <w:szCs w:val="22"/>
        </w:rPr>
        <w:t xml:space="preserve">. Numerous </w:t>
      </w:r>
      <w:r w:rsidRPr="00D53E67">
        <w:rPr>
          <w:rFonts w:ascii="Arial" w:hAnsi="Arial" w:cs="Arial"/>
          <w:color w:val="0E101A"/>
          <w:sz w:val="22"/>
          <w:szCs w:val="22"/>
        </w:rPr>
        <w:lastRenderedPageBreak/>
        <w:t xml:space="preserve">people still get potentially harmful medications without a systematic review or consideration of dementia risk, which </w:t>
      </w:r>
      <w:proofErr w:type="spellStart"/>
      <w:r w:rsidRPr="00D53E67">
        <w:rPr>
          <w:rFonts w:ascii="Arial" w:hAnsi="Arial" w:cs="Arial"/>
          <w:color w:val="0E101A"/>
          <w:sz w:val="22"/>
          <w:szCs w:val="22"/>
        </w:rPr>
        <w:t>emphasises</w:t>
      </w:r>
      <w:proofErr w:type="spellEnd"/>
      <w:r w:rsidRPr="00D53E67">
        <w:rPr>
          <w:rFonts w:ascii="Arial" w:hAnsi="Arial" w:cs="Arial"/>
          <w:color w:val="0E101A"/>
          <w:sz w:val="22"/>
          <w:szCs w:val="22"/>
        </w:rPr>
        <w:t xml:space="preserve"> the importance of integrated strategies that would bridge the gap between prescribing habits and the overall dementia prevention strategies in social care planning.</w:t>
      </w:r>
    </w:p>
    <w:p w14:paraId="11CE2CDC" w14:textId="175C5E9B"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Patient and Public Engagement in Hospital Care Marrow et al. (2024)</w:t>
      </w:r>
      <w:r w:rsidR="00765B01" w:rsidRPr="00D53E67">
        <w:rPr>
          <w:rFonts w:ascii="Arial" w:hAnsi="Arial" w:cs="Arial"/>
          <w:color w:val="0E101A"/>
          <w:sz w:val="22"/>
          <w:szCs w:val="22"/>
        </w:rPr>
        <w:t xml:space="preserve"> and Gwernan-Jones et al. (2020)</w:t>
      </w:r>
      <w:r w:rsidRPr="00D53E67">
        <w:rPr>
          <w:rFonts w:ascii="Arial" w:hAnsi="Arial" w:cs="Arial"/>
          <w:color w:val="0E101A"/>
          <w:sz w:val="22"/>
          <w:szCs w:val="22"/>
        </w:rPr>
        <w:t xml:space="preserve"> examined patient and public engagement in hospital care, where the authors explored how to educate dementia care in a UK Hospital Trust, and the study found that there were lapses in the ways hospital services were </w:t>
      </w:r>
      <w:proofErr w:type="gramStart"/>
      <w:r w:rsidRPr="00D53E67">
        <w:rPr>
          <w:rFonts w:ascii="Arial" w:hAnsi="Arial" w:cs="Arial"/>
          <w:color w:val="0E101A"/>
          <w:sz w:val="22"/>
          <w:szCs w:val="22"/>
        </w:rPr>
        <w:t>accommodating to</w:t>
      </w:r>
      <w:proofErr w:type="gramEnd"/>
      <w:r w:rsidRPr="00D53E67">
        <w:rPr>
          <w:rFonts w:ascii="Arial" w:hAnsi="Arial" w:cs="Arial"/>
          <w:color w:val="0E101A"/>
          <w:sz w:val="22"/>
          <w:szCs w:val="22"/>
        </w:rPr>
        <w:t xml:space="preserve"> people with dementia. </w:t>
      </w:r>
      <w:r w:rsidR="00765B01" w:rsidRPr="00D53E67">
        <w:rPr>
          <w:rFonts w:ascii="Arial" w:hAnsi="Arial" w:cs="Arial"/>
          <w:color w:val="0E101A"/>
          <w:sz w:val="22"/>
          <w:szCs w:val="22"/>
        </w:rPr>
        <w:t>According to Marrow et al. (2024), t</w:t>
      </w:r>
      <w:r w:rsidRPr="00D53E67">
        <w:rPr>
          <w:rFonts w:ascii="Arial" w:hAnsi="Arial" w:cs="Arial"/>
          <w:color w:val="0E101A"/>
          <w:sz w:val="22"/>
          <w:szCs w:val="22"/>
        </w:rPr>
        <w:t xml:space="preserve">he environmental factors mentioned by </w:t>
      </w:r>
      <w:r w:rsidR="007652CC" w:rsidRPr="00D53E67">
        <w:rPr>
          <w:rFonts w:ascii="Arial" w:hAnsi="Arial" w:cs="Arial"/>
          <w:color w:val="0E101A"/>
          <w:sz w:val="22"/>
          <w:szCs w:val="22"/>
        </w:rPr>
        <w:t>participants as obstacles to effective care are noise, lighting, signage, and ward layout, as well as concerns about staff understanding, communication methods, and person-</w:t>
      </w:r>
      <w:proofErr w:type="spellStart"/>
      <w:r w:rsidR="007652CC" w:rsidRPr="00D53E67">
        <w:rPr>
          <w:rFonts w:ascii="Arial" w:hAnsi="Arial" w:cs="Arial"/>
          <w:color w:val="0E101A"/>
          <w:sz w:val="22"/>
          <w:szCs w:val="22"/>
        </w:rPr>
        <w:t>centred</w:t>
      </w:r>
      <w:proofErr w:type="spellEnd"/>
      <w:r w:rsidR="007652CC" w:rsidRPr="00D53E67">
        <w:rPr>
          <w:rFonts w:ascii="Arial" w:hAnsi="Arial" w:cs="Arial"/>
          <w:color w:val="0E101A"/>
          <w:sz w:val="22"/>
          <w:szCs w:val="22"/>
        </w:rPr>
        <w:t xml:space="preserve"> care practices</w:t>
      </w:r>
      <w:r w:rsidRPr="00D53E67">
        <w:rPr>
          <w:rFonts w:ascii="Arial" w:hAnsi="Arial" w:cs="Arial"/>
          <w:color w:val="0E101A"/>
          <w:sz w:val="22"/>
          <w:szCs w:val="22"/>
        </w:rPr>
        <w:t>.</w:t>
      </w:r>
      <w:r w:rsidR="00765B01" w:rsidRPr="00D53E67">
        <w:rPr>
          <w:rFonts w:ascii="Arial" w:hAnsi="Arial" w:cs="Arial"/>
          <w:color w:val="0E101A"/>
          <w:sz w:val="22"/>
          <w:szCs w:val="22"/>
        </w:rPr>
        <w:t xml:space="preserve"> On the other hand, Gwernan-Jones et al. (2020) proposed that </w:t>
      </w:r>
      <w:r w:rsidR="007652CC" w:rsidRPr="00D53E67">
        <w:rPr>
          <w:rFonts w:ascii="Arial" w:hAnsi="Arial" w:cs="Arial"/>
          <w:color w:val="0E101A"/>
          <w:sz w:val="22"/>
          <w:szCs w:val="22"/>
        </w:rPr>
        <w:t>improving hospital and ward culture is necessary to improve the lives of people living with dementia</w:t>
      </w:r>
      <w:r w:rsidR="00765B01" w:rsidRPr="00D53E67">
        <w:rPr>
          <w:rFonts w:ascii="Arial" w:hAnsi="Arial" w:cs="Arial"/>
          <w:color w:val="0E101A"/>
          <w:sz w:val="22"/>
          <w:szCs w:val="22"/>
        </w:rPr>
        <w:t xml:space="preserve">. </w:t>
      </w:r>
      <w:r w:rsidRPr="00D53E67">
        <w:rPr>
          <w:rFonts w:ascii="Arial" w:hAnsi="Arial" w:cs="Arial"/>
          <w:color w:val="0E101A"/>
          <w:sz w:val="22"/>
          <w:szCs w:val="22"/>
        </w:rPr>
        <w:t xml:space="preserve">The project underscored </w:t>
      </w:r>
      <w:r w:rsidR="007652CC" w:rsidRPr="00D53E67">
        <w:rPr>
          <w:rFonts w:ascii="Arial" w:hAnsi="Arial" w:cs="Arial"/>
          <w:color w:val="0E101A"/>
          <w:sz w:val="22"/>
          <w:szCs w:val="22"/>
        </w:rPr>
        <w:t>that, although there is growing awareness of dementia-friendly care, its application remains inconsistent in hospital settings</w:t>
      </w:r>
      <w:r w:rsidRPr="00D53E67">
        <w:rPr>
          <w:rFonts w:ascii="Arial" w:hAnsi="Arial" w:cs="Arial"/>
          <w:color w:val="0E101A"/>
          <w:sz w:val="22"/>
          <w:szCs w:val="22"/>
        </w:rPr>
        <w:t xml:space="preserve">. The experiences of care reported by people with dementia and their carers did not consider the impairment of the cognitive aspect, and the </w:t>
      </w:r>
      <w:proofErr w:type="spellStart"/>
      <w:r w:rsidRPr="00D53E67">
        <w:rPr>
          <w:rFonts w:ascii="Arial" w:hAnsi="Arial" w:cs="Arial"/>
          <w:color w:val="0E101A"/>
          <w:sz w:val="22"/>
          <w:szCs w:val="22"/>
        </w:rPr>
        <w:t>standardised</w:t>
      </w:r>
      <w:proofErr w:type="spellEnd"/>
      <w:r w:rsidRPr="00D53E67">
        <w:rPr>
          <w:rFonts w:ascii="Arial" w:hAnsi="Arial" w:cs="Arial"/>
          <w:color w:val="0E101A"/>
          <w:sz w:val="22"/>
          <w:szCs w:val="22"/>
        </w:rPr>
        <w:t xml:space="preserve"> procedures and rigid routines were not adjusted to the needs of individual people. The discrepancy between the policy ambitions of person-</w:t>
      </w:r>
      <w:proofErr w:type="spellStart"/>
      <w:r w:rsidRPr="00D53E67">
        <w:rPr>
          <w:rFonts w:ascii="Arial" w:hAnsi="Arial" w:cs="Arial"/>
          <w:color w:val="0E101A"/>
          <w:sz w:val="22"/>
          <w:szCs w:val="22"/>
        </w:rPr>
        <w:t>centred</w:t>
      </w:r>
      <w:proofErr w:type="spellEnd"/>
      <w:r w:rsidRPr="00D53E67">
        <w:rPr>
          <w:rFonts w:ascii="Arial" w:hAnsi="Arial" w:cs="Arial"/>
          <w:color w:val="0E101A"/>
          <w:sz w:val="22"/>
          <w:szCs w:val="22"/>
        </w:rPr>
        <w:t xml:space="preserve"> care and </w:t>
      </w:r>
      <w:r w:rsidR="007652CC" w:rsidRPr="00D53E67">
        <w:rPr>
          <w:rFonts w:ascii="Arial" w:hAnsi="Arial" w:cs="Arial"/>
          <w:color w:val="0E101A"/>
          <w:sz w:val="22"/>
          <w:szCs w:val="22"/>
        </w:rPr>
        <w:t>its practice is a critical service gap that needs to be addressed in staff training</w:t>
      </w:r>
      <w:r w:rsidRPr="00D53E67">
        <w:rPr>
          <w:rFonts w:ascii="Arial" w:hAnsi="Arial" w:cs="Arial"/>
          <w:color w:val="0E101A"/>
          <w:sz w:val="22"/>
          <w:szCs w:val="22"/>
        </w:rPr>
        <w:t xml:space="preserve">, </w:t>
      </w:r>
      <w:proofErr w:type="spellStart"/>
      <w:r w:rsidRPr="00D53E67">
        <w:rPr>
          <w:rFonts w:ascii="Arial" w:hAnsi="Arial" w:cs="Arial"/>
          <w:color w:val="0E101A"/>
          <w:sz w:val="22"/>
          <w:szCs w:val="22"/>
        </w:rPr>
        <w:t>organisational</w:t>
      </w:r>
      <w:proofErr w:type="spellEnd"/>
      <w:r w:rsidRPr="00D53E67">
        <w:rPr>
          <w:rFonts w:ascii="Arial" w:hAnsi="Arial" w:cs="Arial"/>
          <w:color w:val="0E101A"/>
          <w:sz w:val="22"/>
          <w:szCs w:val="22"/>
        </w:rPr>
        <w:t xml:space="preserve"> culture, and models of care delivery. </w:t>
      </w:r>
    </w:p>
    <w:p w14:paraId="2D9BA8F9" w14:textId="16AE4E4B" w:rsidR="00AD08F7" w:rsidRPr="00D53E67" w:rsidRDefault="00AD08F7" w:rsidP="00BA15B9">
      <w:pPr>
        <w:spacing w:line="480" w:lineRule="auto"/>
        <w:ind w:firstLine="720"/>
        <w:jc w:val="both"/>
        <w:rPr>
          <w:rFonts w:ascii="Arial" w:hAnsi="Arial" w:cs="Arial"/>
          <w:color w:val="0E101A"/>
          <w:sz w:val="22"/>
          <w:szCs w:val="22"/>
        </w:rPr>
      </w:pPr>
      <w:r w:rsidRPr="00D53E67">
        <w:rPr>
          <w:rFonts w:ascii="Arial" w:hAnsi="Arial" w:cs="Arial"/>
          <w:color w:val="0E101A"/>
          <w:sz w:val="22"/>
          <w:szCs w:val="22"/>
        </w:rPr>
        <w:t>Specialised Provision of Young-Onset Dementia</w:t>
      </w:r>
      <w:r w:rsidR="007652CC" w:rsidRPr="00D53E67">
        <w:rPr>
          <w:rFonts w:ascii="Arial" w:hAnsi="Arial" w:cs="Arial"/>
          <w:color w:val="0E101A"/>
          <w:sz w:val="22"/>
          <w:szCs w:val="22"/>
        </w:rPr>
        <w:t>: Quinn et al. (2025) explored the views of social care professionals regarding the provision of services to individuals with young-onset dementia and their families in England and found significant gaps in the appropriate provision for this group</w:t>
      </w:r>
      <w:r w:rsidRPr="00D53E67">
        <w:rPr>
          <w:rFonts w:ascii="Arial" w:hAnsi="Arial" w:cs="Arial"/>
          <w:color w:val="0E101A"/>
          <w:sz w:val="22"/>
          <w:szCs w:val="22"/>
        </w:rPr>
        <w:t xml:space="preserve">. Professionals indicated issues in accessing age-related services because most of the dementia care services are geared towards older people and may not address the needs of younger people who might still be working, raising children, or have varying social and </w:t>
      </w:r>
      <w:r w:rsidRPr="00D53E67">
        <w:rPr>
          <w:rFonts w:ascii="Arial" w:hAnsi="Arial" w:cs="Arial"/>
          <w:color w:val="0E101A"/>
          <w:sz w:val="22"/>
          <w:szCs w:val="22"/>
        </w:rPr>
        <w:lastRenderedPageBreak/>
        <w:t xml:space="preserve">recreational interests. A disjointed care route was reported by professionals, and young-onset dementia frequently was in the gap between older and younger </w:t>
      </w:r>
      <w:r w:rsidR="007652CC" w:rsidRPr="00D53E67">
        <w:rPr>
          <w:rFonts w:ascii="Arial" w:hAnsi="Arial" w:cs="Arial"/>
          <w:color w:val="0E101A"/>
          <w:sz w:val="22"/>
          <w:szCs w:val="22"/>
        </w:rPr>
        <w:t>adults</w:t>
      </w:r>
      <w:r w:rsidRPr="00D53E67">
        <w:rPr>
          <w:rFonts w:ascii="Arial" w:hAnsi="Arial" w:cs="Arial"/>
          <w:color w:val="0E101A"/>
          <w:sz w:val="22"/>
          <w:szCs w:val="22"/>
        </w:rPr>
        <w:t xml:space="preserve"> with disabilities services</w:t>
      </w:r>
      <w:r w:rsidR="00BA15B9" w:rsidRPr="00D53E67">
        <w:rPr>
          <w:rFonts w:ascii="Arial" w:hAnsi="Arial" w:cs="Arial"/>
          <w:color w:val="0E101A"/>
          <w:sz w:val="22"/>
          <w:szCs w:val="22"/>
        </w:rPr>
        <w:t xml:space="preserve"> </w:t>
      </w:r>
      <w:r w:rsidR="00BA15B9" w:rsidRPr="00D53E67">
        <w:rPr>
          <w:rFonts w:ascii="Arial" w:eastAsia="Times New Roman" w:hAnsi="Arial" w:cs="Arial"/>
          <w:kern w:val="0"/>
          <w:sz w:val="22"/>
          <w:szCs w:val="22"/>
          <w14:ligatures w14:val="none"/>
        </w:rPr>
        <w:t>(</w:t>
      </w:r>
      <w:proofErr w:type="spellStart"/>
      <w:r w:rsidR="00BA15B9" w:rsidRPr="00D53E67">
        <w:rPr>
          <w:rFonts w:ascii="Arial" w:eastAsia="Times New Roman" w:hAnsi="Arial" w:cs="Arial"/>
          <w:kern w:val="0"/>
          <w:sz w:val="22"/>
          <w:szCs w:val="22"/>
          <w14:ligatures w14:val="none"/>
        </w:rPr>
        <w:t>Nwadiugwu</w:t>
      </w:r>
      <w:proofErr w:type="spellEnd"/>
      <w:r w:rsidR="00BA15B9" w:rsidRPr="00D53E67">
        <w:rPr>
          <w:rFonts w:ascii="Arial" w:eastAsia="Times New Roman" w:hAnsi="Arial" w:cs="Arial"/>
          <w:kern w:val="0"/>
          <w:sz w:val="22"/>
          <w:szCs w:val="22"/>
          <w14:ligatures w14:val="none"/>
        </w:rPr>
        <w:t>, 2020)</w:t>
      </w:r>
      <w:r w:rsidRPr="00D53E67">
        <w:rPr>
          <w:rFonts w:ascii="Arial" w:hAnsi="Arial" w:cs="Arial"/>
          <w:color w:val="0E101A"/>
          <w:sz w:val="22"/>
          <w:szCs w:val="22"/>
        </w:rPr>
        <w:t xml:space="preserve">. According to families, they had a problem with getting a proper diagnosis, which was usually delayed by age-related beliefs of the health care staff. The absence of specialised services </w:t>
      </w:r>
      <w:r w:rsidR="007652CC" w:rsidRPr="00D53E67">
        <w:rPr>
          <w:rFonts w:ascii="Arial" w:hAnsi="Arial" w:cs="Arial"/>
          <w:color w:val="0E101A"/>
          <w:sz w:val="22"/>
          <w:szCs w:val="22"/>
        </w:rPr>
        <w:t>to facilitate employment, family relations, and financial planning was the major gap, leaving families at a disadvantage due to a lack of proper professional guidance at critical stages of adjustment and decision-making</w:t>
      </w:r>
      <w:r w:rsidRPr="00D53E67">
        <w:rPr>
          <w:rFonts w:ascii="Arial" w:hAnsi="Arial" w:cs="Arial"/>
          <w:color w:val="0E101A"/>
          <w:sz w:val="22"/>
          <w:szCs w:val="22"/>
        </w:rPr>
        <w:t>.</w:t>
      </w:r>
    </w:p>
    <w:p w14:paraId="3C374FDF" w14:textId="77777777" w:rsidR="008D775B" w:rsidRPr="00D53E67" w:rsidRDefault="008D775B" w:rsidP="00BA15B9">
      <w:pPr>
        <w:spacing w:line="480" w:lineRule="auto"/>
        <w:ind w:firstLine="720"/>
        <w:jc w:val="both"/>
        <w:rPr>
          <w:rFonts w:ascii="Arial" w:hAnsi="Arial" w:cs="Arial"/>
          <w:color w:val="0E101A"/>
          <w:sz w:val="22"/>
          <w:szCs w:val="22"/>
        </w:rPr>
      </w:pPr>
    </w:p>
    <w:p w14:paraId="6567284A" w14:textId="77777777" w:rsidR="008D775B" w:rsidRPr="00D53E67" w:rsidRDefault="008D775B" w:rsidP="00BA15B9">
      <w:pPr>
        <w:spacing w:line="480" w:lineRule="auto"/>
        <w:ind w:firstLine="720"/>
        <w:jc w:val="both"/>
        <w:rPr>
          <w:rFonts w:ascii="Arial" w:hAnsi="Arial" w:cs="Arial"/>
          <w:color w:val="0E101A"/>
          <w:sz w:val="22"/>
          <w:szCs w:val="22"/>
        </w:rPr>
      </w:pPr>
    </w:p>
    <w:p w14:paraId="22A1991C" w14:textId="77777777" w:rsidR="008D775B" w:rsidRPr="00D53E67" w:rsidRDefault="008D775B" w:rsidP="00BA15B9">
      <w:pPr>
        <w:spacing w:line="480" w:lineRule="auto"/>
        <w:ind w:firstLine="720"/>
        <w:jc w:val="both"/>
        <w:rPr>
          <w:rFonts w:ascii="Arial" w:hAnsi="Arial" w:cs="Arial"/>
          <w:color w:val="0E101A"/>
          <w:sz w:val="22"/>
          <w:szCs w:val="22"/>
        </w:rPr>
      </w:pPr>
    </w:p>
    <w:p w14:paraId="19C950B6" w14:textId="77777777" w:rsidR="008D775B" w:rsidRPr="00D53E67" w:rsidRDefault="008D775B" w:rsidP="00BA15B9">
      <w:pPr>
        <w:spacing w:line="480" w:lineRule="auto"/>
        <w:ind w:firstLine="720"/>
        <w:jc w:val="both"/>
        <w:rPr>
          <w:rFonts w:ascii="Arial" w:hAnsi="Arial" w:cs="Arial"/>
          <w:color w:val="0E101A"/>
          <w:sz w:val="22"/>
          <w:szCs w:val="22"/>
        </w:rPr>
      </w:pPr>
    </w:p>
    <w:p w14:paraId="76A4FF0D" w14:textId="77777777" w:rsidR="008D775B" w:rsidRPr="00D53E67" w:rsidRDefault="008D775B" w:rsidP="00BA15B9">
      <w:pPr>
        <w:spacing w:line="480" w:lineRule="auto"/>
        <w:ind w:firstLine="720"/>
        <w:jc w:val="both"/>
        <w:rPr>
          <w:rFonts w:ascii="Arial" w:hAnsi="Arial" w:cs="Arial"/>
          <w:color w:val="0E101A"/>
          <w:sz w:val="22"/>
          <w:szCs w:val="22"/>
        </w:rPr>
      </w:pPr>
    </w:p>
    <w:p w14:paraId="601759BE" w14:textId="77777777" w:rsidR="008D775B" w:rsidRPr="00D53E67" w:rsidRDefault="008D775B" w:rsidP="00BA15B9">
      <w:pPr>
        <w:spacing w:line="480" w:lineRule="auto"/>
        <w:ind w:firstLine="720"/>
        <w:jc w:val="both"/>
        <w:rPr>
          <w:rFonts w:ascii="Arial" w:hAnsi="Arial" w:cs="Arial"/>
          <w:color w:val="0E101A"/>
          <w:sz w:val="22"/>
          <w:szCs w:val="22"/>
        </w:rPr>
      </w:pPr>
    </w:p>
    <w:p w14:paraId="340A1C91" w14:textId="77777777" w:rsidR="008D775B" w:rsidRPr="00D53E67" w:rsidRDefault="008D775B" w:rsidP="00BA15B9">
      <w:pPr>
        <w:spacing w:line="480" w:lineRule="auto"/>
        <w:ind w:firstLine="720"/>
        <w:jc w:val="both"/>
        <w:rPr>
          <w:rFonts w:ascii="Arial" w:hAnsi="Arial" w:cs="Arial"/>
          <w:color w:val="0E101A"/>
          <w:sz w:val="22"/>
          <w:szCs w:val="22"/>
        </w:rPr>
      </w:pPr>
    </w:p>
    <w:p w14:paraId="4DCEAA70" w14:textId="77777777" w:rsidR="008D775B" w:rsidRPr="00D53E67" w:rsidRDefault="008D775B" w:rsidP="00BA15B9">
      <w:pPr>
        <w:spacing w:line="480" w:lineRule="auto"/>
        <w:ind w:firstLine="720"/>
        <w:jc w:val="both"/>
        <w:rPr>
          <w:rFonts w:ascii="Arial" w:hAnsi="Arial" w:cs="Arial"/>
          <w:color w:val="0E101A"/>
          <w:sz w:val="22"/>
          <w:szCs w:val="22"/>
        </w:rPr>
      </w:pPr>
    </w:p>
    <w:p w14:paraId="5B717AD2" w14:textId="77777777" w:rsidR="008D775B" w:rsidRPr="00D53E67" w:rsidRDefault="008D775B" w:rsidP="00BA15B9">
      <w:pPr>
        <w:spacing w:line="480" w:lineRule="auto"/>
        <w:ind w:firstLine="720"/>
        <w:jc w:val="both"/>
        <w:rPr>
          <w:rFonts w:ascii="Arial" w:hAnsi="Arial" w:cs="Arial"/>
          <w:color w:val="0E101A"/>
          <w:sz w:val="22"/>
          <w:szCs w:val="22"/>
        </w:rPr>
      </w:pPr>
    </w:p>
    <w:p w14:paraId="296821CE" w14:textId="77777777" w:rsidR="008D775B" w:rsidRPr="00D53E67" w:rsidRDefault="008D775B" w:rsidP="00BA15B9">
      <w:pPr>
        <w:spacing w:line="480" w:lineRule="auto"/>
        <w:ind w:firstLine="720"/>
        <w:jc w:val="both"/>
        <w:rPr>
          <w:rFonts w:ascii="Arial" w:hAnsi="Arial" w:cs="Arial"/>
          <w:color w:val="0E101A"/>
          <w:sz w:val="22"/>
          <w:szCs w:val="22"/>
        </w:rPr>
      </w:pPr>
    </w:p>
    <w:p w14:paraId="78832A82" w14:textId="77777777" w:rsidR="008D775B" w:rsidRPr="00D53E67" w:rsidRDefault="008D775B" w:rsidP="00BA15B9">
      <w:pPr>
        <w:spacing w:line="480" w:lineRule="auto"/>
        <w:ind w:firstLine="720"/>
        <w:jc w:val="both"/>
        <w:rPr>
          <w:rFonts w:ascii="Arial" w:hAnsi="Arial" w:cs="Arial"/>
          <w:color w:val="0E101A"/>
          <w:sz w:val="22"/>
          <w:szCs w:val="22"/>
        </w:rPr>
      </w:pPr>
    </w:p>
    <w:p w14:paraId="13D94EBF" w14:textId="77777777" w:rsidR="008D775B" w:rsidRPr="00D53E67" w:rsidRDefault="008D775B" w:rsidP="00BA15B9">
      <w:pPr>
        <w:spacing w:line="480" w:lineRule="auto"/>
        <w:ind w:firstLine="720"/>
        <w:jc w:val="both"/>
        <w:rPr>
          <w:rFonts w:ascii="Arial" w:hAnsi="Arial" w:cs="Arial"/>
          <w:color w:val="0E101A"/>
          <w:sz w:val="22"/>
          <w:szCs w:val="22"/>
        </w:rPr>
      </w:pPr>
    </w:p>
    <w:p w14:paraId="5411FB1E" w14:textId="77777777" w:rsidR="008D775B" w:rsidRPr="00D53E67" w:rsidRDefault="008D775B" w:rsidP="00BA15B9">
      <w:pPr>
        <w:spacing w:line="480" w:lineRule="auto"/>
        <w:ind w:firstLine="720"/>
        <w:jc w:val="both"/>
        <w:rPr>
          <w:rFonts w:ascii="Arial" w:hAnsi="Arial" w:cs="Arial"/>
          <w:color w:val="0E101A"/>
          <w:sz w:val="22"/>
          <w:szCs w:val="22"/>
        </w:rPr>
      </w:pPr>
    </w:p>
    <w:p w14:paraId="0AF1B6A6" w14:textId="5DFA8155" w:rsidR="00F97F8C" w:rsidRDefault="00F97F8C" w:rsidP="00620C63">
      <w:pPr>
        <w:pStyle w:val="Heading2"/>
        <w:jc w:val="center"/>
      </w:pPr>
      <w:bookmarkStart w:id="12" w:name="_Toc225185369"/>
      <w:r w:rsidRPr="00D53E67">
        <w:lastRenderedPageBreak/>
        <w:t>Thematic Analysis Table</w:t>
      </w:r>
      <w:bookmarkEnd w:id="12"/>
    </w:p>
    <w:p w14:paraId="391D1198" w14:textId="77777777" w:rsidR="00620C63" w:rsidRPr="00620C63" w:rsidRDefault="00620C63" w:rsidP="00620C63"/>
    <w:tbl>
      <w:tblPr>
        <w:tblStyle w:val="TableGrid"/>
        <w:tblW w:w="0" w:type="auto"/>
        <w:tblLook w:val="04A0" w:firstRow="1" w:lastRow="0" w:firstColumn="1" w:lastColumn="0" w:noHBand="0" w:noVBand="1"/>
      </w:tblPr>
      <w:tblGrid>
        <w:gridCol w:w="1794"/>
        <w:gridCol w:w="1801"/>
        <w:gridCol w:w="1799"/>
        <w:gridCol w:w="1904"/>
        <w:gridCol w:w="1800"/>
      </w:tblGrid>
      <w:tr w:rsidR="00F97F8C" w:rsidRPr="00D53E67" w14:paraId="13A364B8" w14:textId="77777777" w:rsidTr="009058B0">
        <w:trPr>
          <w:trHeight w:val="746"/>
        </w:trPr>
        <w:tc>
          <w:tcPr>
            <w:tcW w:w="1794" w:type="dxa"/>
            <w:vAlign w:val="center"/>
          </w:tcPr>
          <w:p w14:paraId="05129D0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Author(s), Year</w:t>
            </w:r>
          </w:p>
        </w:tc>
        <w:tc>
          <w:tcPr>
            <w:tcW w:w="1801" w:type="dxa"/>
            <w:vAlign w:val="center"/>
          </w:tcPr>
          <w:p w14:paraId="361FF555"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Research Objective</w:t>
            </w:r>
          </w:p>
        </w:tc>
        <w:tc>
          <w:tcPr>
            <w:tcW w:w="1799" w:type="dxa"/>
            <w:vAlign w:val="center"/>
          </w:tcPr>
          <w:p w14:paraId="03139027"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Methods</w:t>
            </w:r>
          </w:p>
        </w:tc>
        <w:tc>
          <w:tcPr>
            <w:tcW w:w="1839" w:type="dxa"/>
            <w:vAlign w:val="center"/>
          </w:tcPr>
          <w:p w14:paraId="208DEC94"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Key Findings</w:t>
            </w:r>
          </w:p>
        </w:tc>
        <w:tc>
          <w:tcPr>
            <w:tcW w:w="1800" w:type="dxa"/>
            <w:vAlign w:val="center"/>
          </w:tcPr>
          <w:p w14:paraId="7FB9BD6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Relevance to Review Question</w:t>
            </w:r>
          </w:p>
        </w:tc>
      </w:tr>
      <w:tr w:rsidR="00F97F8C" w:rsidRPr="00D53E67" w14:paraId="233C9324" w14:textId="77777777" w:rsidTr="009058B0">
        <w:trPr>
          <w:trHeight w:val="3762"/>
        </w:trPr>
        <w:tc>
          <w:tcPr>
            <w:tcW w:w="1794" w:type="dxa"/>
            <w:vAlign w:val="center"/>
          </w:tcPr>
          <w:p w14:paraId="7E5BB417"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Chen et al. (2023)</w:t>
            </w:r>
          </w:p>
        </w:tc>
        <w:tc>
          <w:tcPr>
            <w:tcW w:w="1801" w:type="dxa"/>
          </w:tcPr>
          <w:p w14:paraId="1F18E0FA" w14:textId="4A7CA506"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w:t>
            </w:r>
            <w:proofErr w:type="spellStart"/>
            <w:r w:rsidR="00496ED9" w:rsidRPr="00D53E67">
              <w:rPr>
                <w:rFonts w:ascii="Arial" w:hAnsi="Arial" w:cs="Arial"/>
                <w:sz w:val="22"/>
                <w:szCs w:val="22"/>
              </w:rPr>
              <w:t>analyse</w:t>
            </w:r>
            <w:proofErr w:type="spellEnd"/>
            <w:r w:rsidRPr="00D53E67">
              <w:rPr>
                <w:rFonts w:ascii="Arial" w:hAnsi="Arial" w:cs="Arial"/>
                <w:sz w:val="22"/>
                <w:szCs w:val="22"/>
              </w:rPr>
              <w:t xml:space="preserve"> the trends in the incidence of dementia in England and Wales and estimate the burden in future.</w:t>
            </w:r>
          </w:p>
        </w:tc>
        <w:tc>
          <w:tcPr>
            <w:tcW w:w="1799" w:type="dxa"/>
          </w:tcPr>
          <w:p w14:paraId="187B8BCC"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Population study Longitudinal analysis of incidence of dementia.</w:t>
            </w:r>
          </w:p>
        </w:tc>
        <w:tc>
          <w:tcPr>
            <w:tcW w:w="1839" w:type="dxa"/>
          </w:tcPr>
          <w:p w14:paraId="56AED4B2" w14:textId="26FD64E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The incidence of dementia rose once more after 2008, but the rate of the disease decreased in the first place; by 2040, it is estimated to affect 1.7 million people. There is </w:t>
            </w:r>
            <w:r w:rsidR="00496ED9" w:rsidRPr="00D53E67">
              <w:rPr>
                <w:rFonts w:ascii="Arial" w:hAnsi="Arial" w:cs="Arial"/>
                <w:sz w:val="22"/>
                <w:szCs w:val="22"/>
              </w:rPr>
              <w:t>greater disparity among lower-education</w:t>
            </w:r>
            <w:r w:rsidRPr="00D53E67">
              <w:rPr>
                <w:rFonts w:ascii="Arial" w:hAnsi="Arial" w:cs="Arial"/>
                <w:sz w:val="22"/>
                <w:szCs w:val="22"/>
              </w:rPr>
              <w:t xml:space="preserve"> groups.</w:t>
            </w:r>
          </w:p>
        </w:tc>
        <w:tc>
          <w:tcPr>
            <w:tcW w:w="1800" w:type="dxa"/>
          </w:tcPr>
          <w:p w14:paraId="0C22845D" w14:textId="0166C9CA"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Identifies the increasing demand </w:t>
            </w:r>
            <w:r w:rsidR="00496ED9" w:rsidRPr="00D53E67">
              <w:rPr>
                <w:rFonts w:ascii="Arial" w:hAnsi="Arial" w:cs="Arial"/>
                <w:sz w:val="22"/>
                <w:szCs w:val="22"/>
              </w:rPr>
              <w:t>for dementia care services and the necessity of better long-term planning for</w:t>
            </w:r>
            <w:r w:rsidRPr="00D53E67">
              <w:rPr>
                <w:rFonts w:ascii="Arial" w:hAnsi="Arial" w:cs="Arial"/>
                <w:sz w:val="22"/>
                <w:szCs w:val="22"/>
              </w:rPr>
              <w:t xml:space="preserve"> social care.</w:t>
            </w:r>
          </w:p>
        </w:tc>
      </w:tr>
      <w:tr w:rsidR="00F97F8C" w:rsidRPr="00D53E67" w14:paraId="5FFDF54B" w14:textId="77777777" w:rsidTr="009058B0">
        <w:trPr>
          <w:trHeight w:val="3266"/>
        </w:trPr>
        <w:tc>
          <w:tcPr>
            <w:tcW w:w="1794" w:type="dxa"/>
            <w:vAlign w:val="center"/>
          </w:tcPr>
          <w:p w14:paraId="65E59E1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lang w:val="it-IT"/>
                <w14:ligatures w14:val="none"/>
              </w:rPr>
              <w:t xml:space="preserve">Francis &amp; Hanna (2020); Engel et al. </w:t>
            </w:r>
            <w:r w:rsidRPr="00D53E67">
              <w:rPr>
                <w:rFonts w:ascii="Arial" w:eastAsia="Times New Roman" w:hAnsi="Arial" w:cs="Arial"/>
                <w:kern w:val="0"/>
                <w:sz w:val="22"/>
                <w:szCs w:val="22"/>
                <w14:ligatures w14:val="none"/>
              </w:rPr>
              <w:t>(2022)</w:t>
            </w:r>
          </w:p>
        </w:tc>
        <w:tc>
          <w:tcPr>
            <w:tcW w:w="1801" w:type="dxa"/>
          </w:tcPr>
          <w:p w14:paraId="34F0077E" w14:textId="2F3A722F"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examine the experiences of informal carers who </w:t>
            </w:r>
            <w:r w:rsidR="00496ED9" w:rsidRPr="00D53E67">
              <w:rPr>
                <w:rFonts w:ascii="Arial" w:hAnsi="Arial" w:cs="Arial"/>
                <w:sz w:val="22"/>
                <w:szCs w:val="22"/>
              </w:rPr>
              <w:t>access</w:t>
            </w:r>
            <w:r w:rsidRPr="00D53E67">
              <w:rPr>
                <w:rFonts w:ascii="Arial" w:hAnsi="Arial" w:cs="Arial"/>
                <w:sz w:val="22"/>
                <w:szCs w:val="22"/>
              </w:rPr>
              <w:t xml:space="preserve"> UK dementia services.</w:t>
            </w:r>
          </w:p>
        </w:tc>
        <w:tc>
          <w:tcPr>
            <w:tcW w:w="1799" w:type="dxa"/>
          </w:tcPr>
          <w:p w14:paraId="775C4CC1"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Thematic analysis of research on informal carers.</w:t>
            </w:r>
          </w:p>
        </w:tc>
        <w:tc>
          <w:tcPr>
            <w:tcW w:w="1839" w:type="dxa"/>
          </w:tcPr>
          <w:p w14:paraId="2AF97C1B"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According to carers, fragmented services, a lack of support following diagnosis, inadequate respite care, and emotional and financial burden were experienced.</w:t>
            </w:r>
          </w:p>
        </w:tc>
        <w:tc>
          <w:tcPr>
            <w:tcW w:w="1800" w:type="dxa"/>
          </w:tcPr>
          <w:p w14:paraId="401AD22E"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Shows service holes and the necessity of integrated and supportive care systems among carers.</w:t>
            </w:r>
          </w:p>
        </w:tc>
      </w:tr>
      <w:tr w:rsidR="00F97F8C" w:rsidRPr="00D53E67" w14:paraId="30008652" w14:textId="77777777" w:rsidTr="009058B0">
        <w:trPr>
          <w:trHeight w:val="2000"/>
        </w:trPr>
        <w:tc>
          <w:tcPr>
            <w:tcW w:w="1794" w:type="dxa"/>
            <w:vAlign w:val="center"/>
          </w:tcPr>
          <w:p w14:paraId="2CB81C2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Coupland et al. (2022); Zheng et al. (2021)</w:t>
            </w:r>
          </w:p>
        </w:tc>
        <w:tc>
          <w:tcPr>
            <w:tcW w:w="1801" w:type="dxa"/>
          </w:tcPr>
          <w:p w14:paraId="2E1C0EAF" w14:textId="4FCD832F"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examine the correlation between the use of anticholinergic medication and </w:t>
            </w:r>
            <w:r w:rsidR="00496ED9" w:rsidRPr="00D53E67">
              <w:rPr>
                <w:rFonts w:ascii="Arial" w:hAnsi="Arial" w:cs="Arial"/>
                <w:sz w:val="22"/>
                <w:szCs w:val="22"/>
              </w:rPr>
              <w:t xml:space="preserve">the </w:t>
            </w:r>
            <w:r w:rsidRPr="00D53E67">
              <w:rPr>
                <w:rFonts w:ascii="Arial" w:hAnsi="Arial" w:cs="Arial"/>
                <w:sz w:val="22"/>
                <w:szCs w:val="22"/>
              </w:rPr>
              <w:t>risk of dementia.</w:t>
            </w:r>
          </w:p>
        </w:tc>
        <w:tc>
          <w:tcPr>
            <w:tcW w:w="1799" w:type="dxa"/>
          </w:tcPr>
          <w:p w14:paraId="056C0A3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Cohort and longitudinal studies of medication exposures and incidence of dementia.</w:t>
            </w:r>
          </w:p>
        </w:tc>
        <w:tc>
          <w:tcPr>
            <w:tcW w:w="1839" w:type="dxa"/>
          </w:tcPr>
          <w:p w14:paraId="1CD1CEFB" w14:textId="321E5BF8"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Some drugs (antidepressants, antipsychotics, </w:t>
            </w:r>
            <w:r w:rsidR="009D3EC5" w:rsidRPr="00D53E67">
              <w:rPr>
                <w:rFonts w:ascii="Arial" w:hAnsi="Arial" w:cs="Arial"/>
                <w:sz w:val="22"/>
                <w:szCs w:val="22"/>
              </w:rPr>
              <w:t>antiparkinsonian</w:t>
            </w:r>
            <w:r w:rsidRPr="00D53E67">
              <w:rPr>
                <w:rFonts w:ascii="Arial" w:hAnsi="Arial" w:cs="Arial"/>
                <w:sz w:val="22"/>
                <w:szCs w:val="22"/>
              </w:rPr>
              <w:t xml:space="preserve"> drugs) are associated with the risk of dementia.</w:t>
            </w:r>
          </w:p>
        </w:tc>
        <w:tc>
          <w:tcPr>
            <w:tcW w:w="1800" w:type="dxa"/>
          </w:tcPr>
          <w:p w14:paraId="37FE4096" w14:textId="5A117C60"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Recommends </w:t>
            </w:r>
            <w:r w:rsidR="00496ED9" w:rsidRPr="00D53E67">
              <w:rPr>
                <w:rFonts w:ascii="Arial" w:hAnsi="Arial" w:cs="Arial"/>
                <w:sz w:val="22"/>
                <w:szCs w:val="22"/>
              </w:rPr>
              <w:t>preventive measures through medication review and improved</w:t>
            </w:r>
            <w:r w:rsidRPr="00D53E67">
              <w:rPr>
                <w:rFonts w:ascii="Arial" w:hAnsi="Arial" w:cs="Arial"/>
                <w:sz w:val="22"/>
                <w:szCs w:val="22"/>
              </w:rPr>
              <w:t xml:space="preserve"> prescribing.</w:t>
            </w:r>
          </w:p>
        </w:tc>
      </w:tr>
      <w:tr w:rsidR="00F97F8C" w:rsidRPr="00D53E67" w14:paraId="386737AA" w14:textId="77777777" w:rsidTr="009058B0">
        <w:trPr>
          <w:trHeight w:val="2260"/>
        </w:trPr>
        <w:tc>
          <w:tcPr>
            <w:tcW w:w="1794" w:type="dxa"/>
            <w:vAlign w:val="center"/>
          </w:tcPr>
          <w:p w14:paraId="1F2DCABD" w14:textId="2F3DFB4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lastRenderedPageBreak/>
              <w:t>Marrow et al. (2024)</w:t>
            </w:r>
            <w:r w:rsidR="00496ED9" w:rsidRPr="00D53E67">
              <w:rPr>
                <w:rFonts w:ascii="Arial" w:eastAsia="Times New Roman" w:hAnsi="Arial" w:cs="Arial"/>
                <w:kern w:val="0"/>
                <w:sz w:val="22"/>
                <w:szCs w:val="22"/>
                <w14:ligatures w14:val="none"/>
              </w:rPr>
              <w:t>.</w:t>
            </w:r>
            <w:r w:rsidRPr="00D53E67">
              <w:rPr>
                <w:rFonts w:ascii="Arial" w:eastAsia="Times New Roman" w:hAnsi="Arial" w:cs="Arial"/>
                <w:kern w:val="0"/>
                <w:sz w:val="22"/>
                <w:szCs w:val="22"/>
                <w14:ligatures w14:val="none"/>
              </w:rPr>
              <w:t xml:space="preserve"> Gwernan-Jones et al. (2020)</w:t>
            </w:r>
          </w:p>
        </w:tc>
        <w:tc>
          <w:tcPr>
            <w:tcW w:w="1801" w:type="dxa"/>
          </w:tcPr>
          <w:p w14:paraId="3AC76B0F" w14:textId="0A0D9F75"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investigate patient and population involvement </w:t>
            </w:r>
            <w:r w:rsidR="00496ED9" w:rsidRPr="00D53E67">
              <w:rPr>
                <w:rFonts w:ascii="Arial" w:hAnsi="Arial" w:cs="Arial"/>
                <w:sz w:val="22"/>
                <w:szCs w:val="22"/>
              </w:rPr>
              <w:t>in</w:t>
            </w:r>
            <w:r w:rsidRPr="00D53E67">
              <w:rPr>
                <w:rFonts w:ascii="Arial" w:hAnsi="Arial" w:cs="Arial"/>
                <w:sz w:val="22"/>
                <w:szCs w:val="22"/>
              </w:rPr>
              <w:t xml:space="preserve"> dementia care in </w:t>
            </w:r>
            <w:proofErr w:type="gramStart"/>
            <w:r w:rsidRPr="00D53E67">
              <w:rPr>
                <w:rFonts w:ascii="Arial" w:hAnsi="Arial" w:cs="Arial"/>
                <w:sz w:val="22"/>
                <w:szCs w:val="22"/>
              </w:rPr>
              <w:t>the UK</w:t>
            </w:r>
            <w:proofErr w:type="gramEnd"/>
            <w:r w:rsidRPr="00D53E67">
              <w:rPr>
                <w:rFonts w:ascii="Arial" w:hAnsi="Arial" w:cs="Arial"/>
                <w:sz w:val="22"/>
                <w:szCs w:val="22"/>
              </w:rPr>
              <w:t xml:space="preserve"> hospitals.</w:t>
            </w:r>
          </w:p>
        </w:tc>
        <w:tc>
          <w:tcPr>
            <w:tcW w:w="1799" w:type="dxa"/>
          </w:tcPr>
          <w:p w14:paraId="0F62F359"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Participatory and qualitative research at the hospital.</w:t>
            </w:r>
          </w:p>
        </w:tc>
        <w:tc>
          <w:tcPr>
            <w:tcW w:w="1839" w:type="dxa"/>
          </w:tcPr>
          <w:p w14:paraId="621E4917" w14:textId="2A0F1078" w:rsidR="00F97F8C" w:rsidRPr="00D53E67" w:rsidRDefault="00F97F8C" w:rsidP="00FB05CA">
            <w:pPr>
              <w:spacing w:before="100" w:beforeAutospacing="1" w:after="100" w:afterAutospacing="1"/>
              <w:rPr>
                <w:rFonts w:ascii="Arial" w:hAnsi="Arial" w:cs="Arial"/>
                <w:sz w:val="22"/>
                <w:szCs w:val="22"/>
              </w:rPr>
            </w:pPr>
            <w:r w:rsidRPr="00D53E67">
              <w:rPr>
                <w:rFonts w:ascii="Arial" w:hAnsi="Arial" w:cs="Arial"/>
                <w:sz w:val="22"/>
                <w:szCs w:val="22"/>
              </w:rPr>
              <w:t xml:space="preserve">The dementia needs are not met in the context of </w:t>
            </w:r>
            <w:r w:rsidR="00F32C6E" w:rsidRPr="00D53E67">
              <w:rPr>
                <w:rFonts w:ascii="Arial" w:hAnsi="Arial" w:cs="Arial"/>
                <w:sz w:val="22"/>
                <w:szCs w:val="22"/>
              </w:rPr>
              <w:t>the hospital environment and staff practices; inconsistency in the application of dementia-friendly</w:t>
            </w:r>
            <w:r w:rsidRPr="00D53E67">
              <w:rPr>
                <w:rFonts w:ascii="Arial" w:hAnsi="Arial" w:cs="Arial"/>
                <w:sz w:val="22"/>
                <w:szCs w:val="22"/>
              </w:rPr>
              <w:t xml:space="preserve"> care.</w:t>
            </w:r>
          </w:p>
        </w:tc>
        <w:tc>
          <w:tcPr>
            <w:tcW w:w="1800" w:type="dxa"/>
          </w:tcPr>
          <w:p w14:paraId="3EE6D431"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Recognizes the necessity of employee education, better conditions, and individualized models of hospital care.</w:t>
            </w:r>
          </w:p>
        </w:tc>
      </w:tr>
      <w:tr w:rsidR="00F97F8C" w:rsidRPr="00D53E67" w14:paraId="12E0C96F" w14:textId="77777777" w:rsidTr="009058B0">
        <w:trPr>
          <w:trHeight w:val="142"/>
        </w:trPr>
        <w:tc>
          <w:tcPr>
            <w:tcW w:w="1794" w:type="dxa"/>
            <w:vAlign w:val="center"/>
          </w:tcPr>
          <w:p w14:paraId="6ACF42C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Quinn et al. (2025)</w:t>
            </w:r>
          </w:p>
        </w:tc>
        <w:tc>
          <w:tcPr>
            <w:tcW w:w="1801" w:type="dxa"/>
          </w:tcPr>
          <w:p w14:paraId="2C40E9B0"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understand the social care </w:t>
            </w:r>
            <w:proofErr w:type="gramStart"/>
            <w:r w:rsidRPr="00D53E67">
              <w:rPr>
                <w:rFonts w:ascii="Arial" w:hAnsi="Arial" w:cs="Arial"/>
                <w:sz w:val="22"/>
                <w:szCs w:val="22"/>
              </w:rPr>
              <w:t>professionals</w:t>
            </w:r>
            <w:proofErr w:type="gramEnd"/>
            <w:r w:rsidRPr="00D53E67">
              <w:rPr>
                <w:rFonts w:ascii="Arial" w:hAnsi="Arial" w:cs="Arial"/>
                <w:sz w:val="22"/>
                <w:szCs w:val="22"/>
              </w:rPr>
              <w:t xml:space="preserve"> view of young-onset dementia service.</w:t>
            </w:r>
          </w:p>
        </w:tc>
        <w:tc>
          <w:tcPr>
            <w:tcW w:w="1799" w:type="dxa"/>
          </w:tcPr>
          <w:p w14:paraId="5151DD47" w14:textId="5BB12324"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Social care </w:t>
            </w:r>
            <w:r w:rsidR="009D3EC5" w:rsidRPr="00D53E67">
              <w:rPr>
                <w:rFonts w:ascii="Arial" w:hAnsi="Arial" w:cs="Arial"/>
                <w:sz w:val="22"/>
                <w:szCs w:val="22"/>
              </w:rPr>
              <w:t>professionals'</w:t>
            </w:r>
            <w:r w:rsidRPr="00D53E67">
              <w:rPr>
                <w:rFonts w:ascii="Arial" w:hAnsi="Arial" w:cs="Arial"/>
                <w:sz w:val="22"/>
                <w:szCs w:val="22"/>
              </w:rPr>
              <w:t xml:space="preserve"> qualitative interviews.</w:t>
            </w:r>
          </w:p>
        </w:tc>
        <w:tc>
          <w:tcPr>
            <w:tcW w:w="1839" w:type="dxa"/>
          </w:tcPr>
          <w:p w14:paraId="4CA2CC8D"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Breaches of service provision to younger individuals with dementia; late diagnosis and absence of age-related care.</w:t>
            </w:r>
          </w:p>
        </w:tc>
        <w:tc>
          <w:tcPr>
            <w:tcW w:w="1800" w:type="dxa"/>
          </w:tcPr>
          <w:p w14:paraId="1C8E1C4F" w14:textId="0C3014B4"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Programs require </w:t>
            </w:r>
            <w:r w:rsidR="009D3EC5" w:rsidRPr="00D53E67">
              <w:rPr>
                <w:rFonts w:ascii="Arial" w:hAnsi="Arial" w:cs="Arial"/>
                <w:sz w:val="22"/>
                <w:szCs w:val="22"/>
              </w:rPr>
              <w:t>specialised</w:t>
            </w:r>
            <w:r w:rsidRPr="00D53E67">
              <w:rPr>
                <w:rFonts w:ascii="Arial" w:hAnsi="Arial" w:cs="Arial"/>
                <w:sz w:val="22"/>
                <w:szCs w:val="22"/>
              </w:rPr>
              <w:t xml:space="preserve"> services that meet the employment, family life, and social needs of younger patients.</w:t>
            </w:r>
          </w:p>
        </w:tc>
      </w:tr>
      <w:tr w:rsidR="008D775B" w:rsidRPr="00D53E67" w14:paraId="50B8D48E" w14:textId="77777777" w:rsidTr="009058B0">
        <w:trPr>
          <w:trHeight w:val="248"/>
        </w:trPr>
        <w:tc>
          <w:tcPr>
            <w:tcW w:w="1794" w:type="dxa"/>
            <w:vAlign w:val="center"/>
          </w:tcPr>
          <w:p w14:paraId="28141DBE" w14:textId="77777777" w:rsidR="008D775B" w:rsidRPr="00D53E67" w:rsidRDefault="008D775B" w:rsidP="00FB05CA">
            <w:pPr>
              <w:spacing w:before="100" w:beforeAutospacing="1" w:after="100" w:afterAutospacing="1"/>
              <w:rPr>
                <w:rFonts w:ascii="Arial" w:eastAsia="Times New Roman" w:hAnsi="Arial" w:cs="Arial"/>
                <w:kern w:val="0"/>
                <w:sz w:val="22"/>
                <w:szCs w:val="22"/>
                <w14:ligatures w14:val="none"/>
              </w:rPr>
            </w:pPr>
          </w:p>
        </w:tc>
        <w:tc>
          <w:tcPr>
            <w:tcW w:w="1801" w:type="dxa"/>
          </w:tcPr>
          <w:p w14:paraId="26C5C875" w14:textId="77777777" w:rsidR="008D775B" w:rsidRPr="00D53E67" w:rsidRDefault="008D775B" w:rsidP="00FB05CA">
            <w:pPr>
              <w:spacing w:before="100" w:beforeAutospacing="1" w:after="100" w:afterAutospacing="1"/>
              <w:rPr>
                <w:rFonts w:ascii="Arial" w:hAnsi="Arial" w:cs="Arial"/>
                <w:sz w:val="22"/>
                <w:szCs w:val="22"/>
              </w:rPr>
            </w:pPr>
          </w:p>
        </w:tc>
        <w:tc>
          <w:tcPr>
            <w:tcW w:w="1799" w:type="dxa"/>
          </w:tcPr>
          <w:p w14:paraId="0CA80075" w14:textId="77777777" w:rsidR="008D775B" w:rsidRPr="00D53E67" w:rsidRDefault="008D775B" w:rsidP="00FB05CA">
            <w:pPr>
              <w:spacing w:before="100" w:beforeAutospacing="1" w:after="100" w:afterAutospacing="1"/>
              <w:rPr>
                <w:rFonts w:ascii="Arial" w:hAnsi="Arial" w:cs="Arial"/>
                <w:sz w:val="22"/>
                <w:szCs w:val="22"/>
              </w:rPr>
            </w:pPr>
          </w:p>
        </w:tc>
        <w:tc>
          <w:tcPr>
            <w:tcW w:w="1839" w:type="dxa"/>
          </w:tcPr>
          <w:p w14:paraId="242634B7" w14:textId="77777777" w:rsidR="008D775B" w:rsidRPr="00D53E67" w:rsidRDefault="008D775B" w:rsidP="00FB05CA">
            <w:pPr>
              <w:spacing w:before="100" w:beforeAutospacing="1" w:after="100" w:afterAutospacing="1"/>
              <w:rPr>
                <w:rFonts w:ascii="Arial" w:hAnsi="Arial" w:cs="Arial"/>
                <w:sz w:val="22"/>
                <w:szCs w:val="22"/>
              </w:rPr>
            </w:pPr>
          </w:p>
        </w:tc>
        <w:tc>
          <w:tcPr>
            <w:tcW w:w="1800" w:type="dxa"/>
          </w:tcPr>
          <w:p w14:paraId="68C10A66" w14:textId="77777777" w:rsidR="008D775B" w:rsidRPr="00D53E67" w:rsidRDefault="008D775B" w:rsidP="00FB05CA">
            <w:pPr>
              <w:spacing w:before="100" w:beforeAutospacing="1" w:after="100" w:afterAutospacing="1"/>
              <w:rPr>
                <w:rFonts w:ascii="Arial" w:hAnsi="Arial" w:cs="Arial"/>
                <w:sz w:val="22"/>
                <w:szCs w:val="22"/>
              </w:rPr>
            </w:pPr>
          </w:p>
        </w:tc>
      </w:tr>
    </w:tbl>
    <w:p w14:paraId="7C24F8AD" w14:textId="77777777" w:rsidR="000E0A30" w:rsidRPr="00D53E67" w:rsidRDefault="000E0A30" w:rsidP="00ED2EA8">
      <w:pPr>
        <w:pStyle w:val="Heading1"/>
        <w:spacing w:before="0" w:after="0"/>
        <w:jc w:val="center"/>
        <w:rPr>
          <w:rFonts w:ascii="Arial" w:hAnsi="Arial" w:cs="Arial"/>
          <w:b/>
          <w:bCs/>
          <w:color w:val="auto"/>
          <w:sz w:val="22"/>
          <w:szCs w:val="22"/>
        </w:rPr>
      </w:pPr>
      <w:bookmarkStart w:id="13" w:name="_Toc222012457"/>
    </w:p>
    <w:p w14:paraId="080A3D4E" w14:textId="77777777" w:rsidR="000E0A30" w:rsidRPr="00D53E67" w:rsidRDefault="000E0A30" w:rsidP="00ED2EA8">
      <w:pPr>
        <w:pStyle w:val="Heading1"/>
        <w:spacing w:before="0" w:after="0"/>
        <w:jc w:val="center"/>
        <w:rPr>
          <w:rFonts w:ascii="Arial" w:hAnsi="Arial" w:cs="Arial"/>
          <w:b/>
          <w:bCs/>
          <w:color w:val="auto"/>
          <w:sz w:val="22"/>
          <w:szCs w:val="22"/>
        </w:rPr>
      </w:pPr>
    </w:p>
    <w:p w14:paraId="7545684A" w14:textId="77777777" w:rsidR="000E0A30" w:rsidRPr="00D53E67" w:rsidRDefault="000E0A30" w:rsidP="00ED2EA8">
      <w:pPr>
        <w:pStyle w:val="Heading1"/>
        <w:spacing w:before="0" w:after="0"/>
        <w:jc w:val="center"/>
        <w:rPr>
          <w:rFonts w:ascii="Arial" w:hAnsi="Arial" w:cs="Arial"/>
          <w:b/>
          <w:bCs/>
          <w:color w:val="auto"/>
          <w:sz w:val="22"/>
          <w:szCs w:val="22"/>
        </w:rPr>
      </w:pPr>
    </w:p>
    <w:p w14:paraId="47AE2303" w14:textId="5EE9090B" w:rsidR="00AD08F7" w:rsidRPr="00620C63" w:rsidRDefault="00AD08F7" w:rsidP="00620C63">
      <w:pPr>
        <w:pStyle w:val="Heading2"/>
        <w:jc w:val="center"/>
      </w:pPr>
      <w:bookmarkStart w:id="14" w:name="_Toc225185370"/>
      <w:r w:rsidRPr="00620C63">
        <w:t>Discussion</w:t>
      </w:r>
      <w:bookmarkEnd w:id="13"/>
      <w:bookmarkEnd w:id="14"/>
    </w:p>
    <w:p w14:paraId="100A35C8" w14:textId="77777777" w:rsidR="000E0A30" w:rsidRPr="00D53E67" w:rsidRDefault="000E0A30" w:rsidP="000E0A30">
      <w:pPr>
        <w:rPr>
          <w:rFonts w:ascii="Arial" w:hAnsi="Arial" w:cs="Arial"/>
          <w:sz w:val="22"/>
          <w:szCs w:val="22"/>
        </w:rPr>
      </w:pPr>
    </w:p>
    <w:p w14:paraId="7E81F9A9" w14:textId="5CB95071"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These five research studies all agree on </w:t>
      </w:r>
      <w:r w:rsidR="000E0A30" w:rsidRPr="00D53E67">
        <w:rPr>
          <w:rFonts w:ascii="Arial" w:hAnsi="Arial" w:cs="Arial"/>
          <w:color w:val="0E101A"/>
          <w:sz w:val="22"/>
          <w:szCs w:val="22"/>
        </w:rPr>
        <w:t>an overall picture of the UK dementia social care services as being in a multifaceted, interrelated predicament that creates</w:t>
      </w:r>
      <w:r w:rsidRPr="00D53E67">
        <w:rPr>
          <w:rFonts w:ascii="Arial" w:hAnsi="Arial" w:cs="Arial"/>
          <w:color w:val="0E101A"/>
          <w:sz w:val="22"/>
          <w:szCs w:val="22"/>
        </w:rPr>
        <w:t xml:space="preserve"> significant gaps in planning and provision. A few important themes can be </w:t>
      </w:r>
      <w:r w:rsidR="000E0A30" w:rsidRPr="00D53E67">
        <w:rPr>
          <w:rFonts w:ascii="Arial" w:hAnsi="Arial" w:cs="Arial"/>
          <w:color w:val="0E101A"/>
          <w:sz w:val="22"/>
          <w:szCs w:val="22"/>
        </w:rPr>
        <w:t>identified by</w:t>
      </w:r>
      <w:r w:rsidRPr="00D53E67">
        <w:rPr>
          <w:rFonts w:ascii="Arial" w:hAnsi="Arial" w:cs="Arial"/>
          <w:color w:val="0E101A"/>
          <w:sz w:val="22"/>
          <w:szCs w:val="22"/>
        </w:rPr>
        <w:t xml:space="preserve"> </w:t>
      </w:r>
      <w:proofErr w:type="spellStart"/>
      <w:r w:rsidRPr="00D53E67">
        <w:rPr>
          <w:rFonts w:ascii="Arial" w:hAnsi="Arial" w:cs="Arial"/>
          <w:color w:val="0E101A"/>
          <w:sz w:val="22"/>
          <w:szCs w:val="22"/>
        </w:rPr>
        <w:t>synthesising</w:t>
      </w:r>
      <w:proofErr w:type="spellEnd"/>
      <w:r w:rsidRPr="00D53E67">
        <w:rPr>
          <w:rFonts w:ascii="Arial" w:hAnsi="Arial" w:cs="Arial"/>
          <w:color w:val="0E101A"/>
          <w:sz w:val="22"/>
          <w:szCs w:val="22"/>
        </w:rPr>
        <w:t xml:space="preserve"> this evidence. To begin with, the </w:t>
      </w:r>
      <w:r w:rsidR="000E0A30" w:rsidRPr="00D53E67">
        <w:rPr>
          <w:rFonts w:ascii="Arial" w:hAnsi="Arial" w:cs="Arial"/>
          <w:color w:val="0E101A"/>
          <w:sz w:val="22"/>
          <w:szCs w:val="22"/>
        </w:rPr>
        <w:t>reversal of the decreasing trends in dementia incidence reported by Chen et al. (2023) poses a core challenge to the assumptions currently used in service planning</w:t>
      </w:r>
      <w:r w:rsidRPr="00D53E67">
        <w:rPr>
          <w:rFonts w:ascii="Arial" w:hAnsi="Arial" w:cs="Arial"/>
          <w:color w:val="0E101A"/>
          <w:sz w:val="22"/>
          <w:szCs w:val="22"/>
        </w:rPr>
        <w:t xml:space="preserve">. Numerous estimates and budgetary allocations were made in view of further incidence decrease, but evidence shows that the burden of dementia may be growing much more drastically than observed. The above finding </w:t>
      </w:r>
      <w:r w:rsidR="009128FC" w:rsidRPr="00D53E67">
        <w:rPr>
          <w:rFonts w:ascii="Arial" w:hAnsi="Arial" w:cs="Arial"/>
          <w:color w:val="0E101A"/>
          <w:sz w:val="22"/>
          <w:szCs w:val="22"/>
        </w:rPr>
        <w:t xml:space="preserve">underscores the dire need for greater capacity in social care and workforce development to keep pace with </w:t>
      </w:r>
      <w:r w:rsidRPr="00D53E67">
        <w:rPr>
          <w:rFonts w:ascii="Arial" w:hAnsi="Arial" w:cs="Arial"/>
          <w:color w:val="0E101A"/>
          <w:sz w:val="22"/>
          <w:szCs w:val="22"/>
        </w:rPr>
        <w:t xml:space="preserve">increasing demand. </w:t>
      </w:r>
    </w:p>
    <w:p w14:paraId="5B53C4D9" w14:textId="2D1D904F"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Secondly, the growing disparities in educational attainment </w:t>
      </w:r>
      <w:r w:rsidR="000E0A30" w:rsidRPr="00D53E67">
        <w:rPr>
          <w:rFonts w:ascii="Arial" w:hAnsi="Arial" w:cs="Arial"/>
          <w:color w:val="0E101A"/>
          <w:sz w:val="22"/>
          <w:szCs w:val="22"/>
        </w:rPr>
        <w:t>and dementia incidence pose essential questions about the social determinants of dementia risk</w:t>
      </w:r>
      <w:r w:rsidRPr="00D53E67">
        <w:rPr>
          <w:rFonts w:ascii="Arial" w:hAnsi="Arial" w:cs="Arial"/>
          <w:color w:val="0E101A"/>
          <w:sz w:val="22"/>
          <w:szCs w:val="22"/>
        </w:rPr>
        <w:t xml:space="preserve"> and the distribution of </w:t>
      </w:r>
      <w:r w:rsidRPr="00D53E67">
        <w:rPr>
          <w:rFonts w:ascii="Arial" w:hAnsi="Arial" w:cs="Arial"/>
          <w:color w:val="0E101A"/>
          <w:sz w:val="22"/>
          <w:szCs w:val="22"/>
        </w:rPr>
        <w:lastRenderedPageBreak/>
        <w:t>preventive interventions</w:t>
      </w:r>
      <w:r w:rsidR="0016497C" w:rsidRPr="00D53E67">
        <w:rPr>
          <w:rFonts w:ascii="Arial" w:hAnsi="Arial" w:cs="Arial"/>
          <w:color w:val="0E101A"/>
          <w:sz w:val="22"/>
          <w:szCs w:val="22"/>
        </w:rPr>
        <w:t xml:space="preserve"> (</w:t>
      </w:r>
      <w:proofErr w:type="spellStart"/>
      <w:r w:rsidR="0016497C" w:rsidRPr="00D53E67">
        <w:rPr>
          <w:rFonts w:ascii="Arial" w:hAnsi="Arial" w:cs="Arial"/>
          <w:color w:val="0E101A"/>
          <w:sz w:val="22"/>
          <w:szCs w:val="22"/>
        </w:rPr>
        <w:t>Cristofalo</w:t>
      </w:r>
      <w:proofErr w:type="spellEnd"/>
      <w:r w:rsidR="0016497C" w:rsidRPr="00D53E67">
        <w:rPr>
          <w:rFonts w:ascii="Arial" w:hAnsi="Arial" w:cs="Arial"/>
          <w:color w:val="0E101A"/>
          <w:sz w:val="22"/>
          <w:szCs w:val="22"/>
        </w:rPr>
        <w:t xml:space="preserve"> et al., 2025)</w:t>
      </w:r>
      <w:r w:rsidRPr="00D53E67">
        <w:rPr>
          <w:rFonts w:ascii="Arial" w:hAnsi="Arial" w:cs="Arial"/>
          <w:color w:val="0E101A"/>
          <w:sz w:val="22"/>
          <w:szCs w:val="22"/>
        </w:rPr>
        <w:t xml:space="preserve">. Individuals </w:t>
      </w:r>
      <w:r w:rsidR="000E0A30" w:rsidRPr="00D53E67">
        <w:rPr>
          <w:rFonts w:ascii="Arial" w:hAnsi="Arial" w:cs="Arial"/>
          <w:color w:val="0E101A"/>
          <w:sz w:val="22"/>
          <w:szCs w:val="22"/>
        </w:rPr>
        <w:t xml:space="preserve">with lower educational attainment experienced smaller initial decreases and larger subsequent increases in dementia incidence, implying that the factors that </w:t>
      </w:r>
      <w:r w:rsidRPr="00D53E67">
        <w:rPr>
          <w:rFonts w:ascii="Arial" w:hAnsi="Arial" w:cs="Arial"/>
          <w:color w:val="0E101A"/>
          <w:sz w:val="22"/>
          <w:szCs w:val="22"/>
        </w:rPr>
        <w:t xml:space="preserve">led to the previous gains did not necessarily benefit all groups. In contrast, risk factors that have driven </w:t>
      </w:r>
      <w:r w:rsidR="000E0A30" w:rsidRPr="00D53E67">
        <w:rPr>
          <w:rFonts w:ascii="Arial" w:hAnsi="Arial" w:cs="Arial"/>
          <w:color w:val="0E101A"/>
          <w:sz w:val="22"/>
          <w:szCs w:val="22"/>
        </w:rPr>
        <w:t>recent growth may disproportionately affect</w:t>
      </w:r>
      <w:r w:rsidRPr="00D53E67">
        <w:rPr>
          <w:rFonts w:ascii="Arial" w:hAnsi="Arial" w:cs="Arial"/>
          <w:color w:val="0E101A"/>
          <w:sz w:val="22"/>
          <w:szCs w:val="22"/>
        </w:rPr>
        <w:t xml:space="preserve"> disadvantaged populations. Second, as evidenced by informal carers</w:t>
      </w:r>
      <w:r w:rsidR="000E0A30" w:rsidRPr="00D53E67">
        <w:rPr>
          <w:rFonts w:ascii="Arial" w:hAnsi="Arial" w:cs="Arial"/>
          <w:color w:val="0E101A"/>
          <w:sz w:val="22"/>
          <w:szCs w:val="22"/>
        </w:rPr>
        <w:t>' testimonies reported by Francis and Hanna (2020), there are systemic deficiencies in how the community deals with individuals who provide most of the dementia care</w:t>
      </w:r>
      <w:r w:rsidRPr="00D53E67">
        <w:rPr>
          <w:rFonts w:ascii="Arial" w:hAnsi="Arial" w:cs="Arial"/>
          <w:color w:val="0E101A"/>
          <w:sz w:val="22"/>
          <w:szCs w:val="22"/>
        </w:rPr>
        <w:t xml:space="preserve">. The lapses in respite services, </w:t>
      </w:r>
      <w:r w:rsidR="000E0A30" w:rsidRPr="00D53E67">
        <w:rPr>
          <w:rFonts w:ascii="Arial" w:hAnsi="Arial" w:cs="Arial"/>
          <w:color w:val="0E101A"/>
          <w:sz w:val="22"/>
          <w:szCs w:val="22"/>
        </w:rPr>
        <w:t xml:space="preserve">information services, care coordination, and the funding system indicate broader structural issues in UK social care policy, which assumes unpaid family caregiving and lacks sufficient investment in </w:t>
      </w:r>
      <w:r w:rsidRPr="00D53E67">
        <w:rPr>
          <w:rFonts w:ascii="Arial" w:hAnsi="Arial" w:cs="Arial"/>
          <w:color w:val="0E101A"/>
          <w:sz w:val="22"/>
          <w:szCs w:val="22"/>
        </w:rPr>
        <w:t>carer support services. This is not sustainable and fair, considering that there are projections of rising dementia prevalence.</w:t>
      </w:r>
    </w:p>
    <w:p w14:paraId="37B3ADCC" w14:textId="4287EC7F"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Third, the identified medication-related dementia risks as described by Coupland et al. (2022) lead to missed prevention opportunities by improving the combination of prescribing habits and awareness of dementia risk. The evidence-to-practice gap </w:t>
      </w:r>
      <w:r w:rsidR="000E0A30" w:rsidRPr="00D53E67">
        <w:rPr>
          <w:rFonts w:ascii="Arial" w:hAnsi="Arial" w:cs="Arial"/>
          <w:color w:val="0E101A"/>
          <w:sz w:val="22"/>
          <w:szCs w:val="22"/>
        </w:rPr>
        <w:t xml:space="preserve">regarding the use of anticholinergic burden is one of many failures to translate knowledge into practice, underscoring the need for systems that facilitate medication </w:t>
      </w:r>
      <w:proofErr w:type="spellStart"/>
      <w:r w:rsidR="000E0A30" w:rsidRPr="00D53E67">
        <w:rPr>
          <w:rFonts w:ascii="Arial" w:hAnsi="Arial" w:cs="Arial"/>
          <w:color w:val="0E101A"/>
          <w:sz w:val="22"/>
          <w:szCs w:val="22"/>
        </w:rPr>
        <w:t>optimisation</w:t>
      </w:r>
      <w:proofErr w:type="spellEnd"/>
      <w:r w:rsidR="000E0A30" w:rsidRPr="00D53E67">
        <w:rPr>
          <w:rFonts w:ascii="Arial" w:hAnsi="Arial" w:cs="Arial"/>
          <w:color w:val="0E101A"/>
          <w:sz w:val="22"/>
          <w:szCs w:val="22"/>
        </w:rPr>
        <w:t xml:space="preserve"> as part</w:t>
      </w:r>
      <w:r w:rsidRPr="00D53E67">
        <w:rPr>
          <w:rFonts w:ascii="Arial" w:hAnsi="Arial" w:cs="Arial"/>
          <w:color w:val="0E101A"/>
          <w:sz w:val="22"/>
          <w:szCs w:val="22"/>
        </w:rPr>
        <w:t xml:space="preserve"> of overall dementia prevention plans. Fourth, the hospital care issues </w:t>
      </w:r>
      <w:r w:rsidR="000E0A30" w:rsidRPr="00D53E67">
        <w:rPr>
          <w:rFonts w:ascii="Arial" w:hAnsi="Arial" w:cs="Arial"/>
          <w:color w:val="0E101A"/>
          <w:sz w:val="22"/>
          <w:szCs w:val="22"/>
        </w:rPr>
        <w:t>reported by Marrow et al. (2024) demonstrate that, even with a policy focus on dementia-friendly care, implementation is uneven and often</w:t>
      </w:r>
      <w:r w:rsidRPr="00D53E67">
        <w:rPr>
          <w:rFonts w:ascii="Arial" w:hAnsi="Arial" w:cs="Arial"/>
          <w:color w:val="0E101A"/>
          <w:sz w:val="22"/>
          <w:szCs w:val="22"/>
        </w:rPr>
        <w:t xml:space="preserve"> insufficient. Most hospitals have not optimally </w:t>
      </w:r>
      <w:proofErr w:type="gramStart"/>
      <w:r w:rsidRPr="00D53E67">
        <w:rPr>
          <w:rFonts w:ascii="Arial" w:hAnsi="Arial" w:cs="Arial"/>
          <w:color w:val="0E101A"/>
          <w:sz w:val="22"/>
          <w:szCs w:val="22"/>
        </w:rPr>
        <w:t>adapted</w:t>
      </w:r>
      <w:proofErr w:type="gramEnd"/>
      <w:r w:rsidRPr="00D53E67">
        <w:rPr>
          <w:rFonts w:ascii="Arial" w:hAnsi="Arial" w:cs="Arial"/>
          <w:color w:val="0E101A"/>
          <w:sz w:val="22"/>
          <w:szCs w:val="22"/>
        </w:rPr>
        <w:t xml:space="preserve"> their physical environment, staff training, and care delivery methods to the needs of people with cognitive impairment, leading to worse outcomes and unpleasant experiences for patients and their families. Lastly, age-based service design exposing gaps to groups that fail to fit common demographic presuppositions is also demonstrated by the specialised needs of people with young-onset dementia identified by Quinn et al. (2025). The absence of </w:t>
      </w:r>
      <w:proofErr w:type="gramStart"/>
      <w:r w:rsidRPr="00D53E67">
        <w:rPr>
          <w:rFonts w:ascii="Arial" w:hAnsi="Arial" w:cs="Arial"/>
          <w:color w:val="0E101A"/>
          <w:sz w:val="22"/>
          <w:szCs w:val="22"/>
        </w:rPr>
        <w:t>a proper</w:t>
      </w:r>
      <w:proofErr w:type="gramEnd"/>
      <w:r w:rsidRPr="00D53E67">
        <w:rPr>
          <w:rFonts w:ascii="Arial" w:hAnsi="Arial" w:cs="Arial"/>
          <w:color w:val="0E101A"/>
          <w:sz w:val="22"/>
          <w:szCs w:val="22"/>
        </w:rPr>
        <w:t xml:space="preserve"> service delivery among the younger people with dementia, and their families, is a service gap, and a violation of the principles of person-</w:t>
      </w:r>
      <w:proofErr w:type="spellStart"/>
      <w:r w:rsidRPr="00D53E67">
        <w:rPr>
          <w:rFonts w:ascii="Arial" w:hAnsi="Arial" w:cs="Arial"/>
          <w:color w:val="0E101A"/>
          <w:sz w:val="22"/>
          <w:szCs w:val="22"/>
        </w:rPr>
        <w:t>centred</w:t>
      </w:r>
      <w:proofErr w:type="spellEnd"/>
      <w:r w:rsidRPr="00D53E67">
        <w:rPr>
          <w:rFonts w:ascii="Arial" w:hAnsi="Arial" w:cs="Arial"/>
          <w:color w:val="0E101A"/>
          <w:sz w:val="22"/>
          <w:szCs w:val="22"/>
        </w:rPr>
        <w:t xml:space="preserve"> care, which is meant to tailor the services to the needs of individuals and not to subject them to service designs. </w:t>
      </w:r>
    </w:p>
    <w:p w14:paraId="031F3358" w14:textId="0806DF48"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lastRenderedPageBreak/>
        <w:t xml:space="preserve">These results are consistent with the existing literature </w:t>
      </w:r>
      <w:r w:rsidR="000E0A30" w:rsidRPr="00D53E67">
        <w:rPr>
          <w:rFonts w:ascii="Arial" w:hAnsi="Arial" w:cs="Arial"/>
          <w:color w:val="0E101A"/>
          <w:sz w:val="22"/>
          <w:szCs w:val="22"/>
        </w:rPr>
        <w:t>on</w:t>
      </w:r>
      <w:r w:rsidRPr="00D53E67">
        <w:rPr>
          <w:rFonts w:ascii="Arial" w:hAnsi="Arial" w:cs="Arial"/>
          <w:color w:val="0E101A"/>
          <w:sz w:val="22"/>
          <w:szCs w:val="22"/>
        </w:rPr>
        <w:t xml:space="preserve"> dementia care in the UK. As highlighted by Rolandi et al. (2020), there is a </w:t>
      </w:r>
      <w:r w:rsidR="000E0A30" w:rsidRPr="00D53E67">
        <w:rPr>
          <w:rFonts w:ascii="Arial" w:hAnsi="Arial" w:cs="Arial"/>
          <w:color w:val="0E101A"/>
          <w:sz w:val="22"/>
          <w:szCs w:val="22"/>
        </w:rPr>
        <w:t>need to focus on dementia prevention by</w:t>
      </w:r>
      <w:r w:rsidRPr="00D53E67">
        <w:rPr>
          <w:rFonts w:ascii="Arial" w:hAnsi="Arial" w:cs="Arial"/>
          <w:color w:val="0E101A"/>
          <w:sz w:val="22"/>
          <w:szCs w:val="22"/>
        </w:rPr>
        <w:t xml:space="preserve"> removing modifiable risk factors. However, the gaps in </w:t>
      </w:r>
      <w:r w:rsidR="000E0A30" w:rsidRPr="00D53E67">
        <w:rPr>
          <w:rFonts w:ascii="Arial" w:hAnsi="Arial" w:cs="Arial"/>
          <w:color w:val="0E101A"/>
          <w:sz w:val="22"/>
          <w:szCs w:val="22"/>
        </w:rPr>
        <w:t>translating knowledge into systematic preventive programs remain</w:t>
      </w:r>
      <w:r w:rsidRPr="00D53E67">
        <w:rPr>
          <w:rFonts w:ascii="Arial" w:hAnsi="Arial" w:cs="Arial"/>
          <w:color w:val="0E101A"/>
          <w:sz w:val="22"/>
          <w:szCs w:val="22"/>
        </w:rPr>
        <w:t xml:space="preserve"> significant. The Lancet Commission on preventing, intervening, and caring for dementia identified </w:t>
      </w:r>
      <w:r w:rsidR="000E0A30" w:rsidRPr="00D53E67">
        <w:rPr>
          <w:rFonts w:ascii="Arial" w:hAnsi="Arial" w:cs="Arial"/>
          <w:color w:val="0E101A"/>
          <w:sz w:val="22"/>
          <w:szCs w:val="22"/>
        </w:rPr>
        <w:t>12 modifiable risk factors that account for about 40 per cent of dementia cases worldwide, providing a significant opportunity to prevent the disease if proper services and interventions are</w:t>
      </w:r>
      <w:r w:rsidRPr="00D53E67">
        <w:rPr>
          <w:rFonts w:ascii="Arial" w:hAnsi="Arial" w:cs="Arial"/>
          <w:color w:val="0E101A"/>
          <w:sz w:val="22"/>
          <w:szCs w:val="22"/>
        </w:rPr>
        <w:t xml:space="preserve"> put in place</w:t>
      </w:r>
      <w:r w:rsidR="0016497C" w:rsidRPr="00D53E67">
        <w:rPr>
          <w:rFonts w:ascii="Arial" w:hAnsi="Arial" w:cs="Arial"/>
          <w:color w:val="0E101A"/>
          <w:sz w:val="22"/>
          <w:szCs w:val="22"/>
        </w:rPr>
        <w:t xml:space="preserve"> (Dukelow et al., 2023)</w:t>
      </w:r>
      <w:r w:rsidRPr="00D53E67">
        <w:rPr>
          <w:rFonts w:ascii="Arial" w:hAnsi="Arial" w:cs="Arial"/>
          <w:color w:val="0E101A"/>
          <w:sz w:val="22"/>
          <w:szCs w:val="22"/>
        </w:rPr>
        <w:t>. The latter disjointed care pathways and lack of coordination between services reported in various studies are not new structural issues with the UK health and social care systems. The physical separation of the NHS healthcare delivery and means-tested social care provision by the local authority introduces obstacles to holistic person-</w:t>
      </w:r>
      <w:proofErr w:type="spellStart"/>
      <w:r w:rsidRPr="00D53E67">
        <w:rPr>
          <w:rFonts w:ascii="Arial" w:hAnsi="Arial" w:cs="Arial"/>
          <w:color w:val="0E101A"/>
          <w:sz w:val="22"/>
          <w:szCs w:val="22"/>
        </w:rPr>
        <w:t>centred</w:t>
      </w:r>
      <w:proofErr w:type="spellEnd"/>
      <w:r w:rsidRPr="00D53E67">
        <w:rPr>
          <w:rFonts w:ascii="Arial" w:hAnsi="Arial" w:cs="Arial"/>
          <w:color w:val="0E101A"/>
          <w:sz w:val="22"/>
          <w:szCs w:val="22"/>
        </w:rPr>
        <w:t xml:space="preserve"> care, especially in individuals with multifaceted conditions such as dementia that demand coordinated assistance in multiple domains.</w:t>
      </w:r>
    </w:p>
    <w:p w14:paraId="1E1DAC23" w14:textId="77777777" w:rsidR="000E0A30" w:rsidRPr="00D53E67" w:rsidRDefault="000E0A30" w:rsidP="00ED2EA8">
      <w:pPr>
        <w:pStyle w:val="NormalWeb"/>
        <w:spacing w:before="0" w:beforeAutospacing="0" w:after="0" w:afterAutospacing="0" w:line="480" w:lineRule="auto"/>
        <w:ind w:firstLine="720"/>
        <w:jc w:val="both"/>
        <w:rPr>
          <w:rFonts w:ascii="Arial" w:hAnsi="Arial" w:cs="Arial"/>
          <w:color w:val="0E101A"/>
          <w:sz w:val="22"/>
          <w:szCs w:val="22"/>
        </w:rPr>
      </w:pPr>
    </w:p>
    <w:p w14:paraId="5F016E57" w14:textId="77777777" w:rsidR="00AD08F7" w:rsidRDefault="00AD08F7" w:rsidP="00620C63">
      <w:pPr>
        <w:pStyle w:val="Heading2"/>
        <w:jc w:val="center"/>
        <w:rPr>
          <w:rStyle w:val="Strong"/>
          <w:b w:val="0"/>
          <w:bCs w:val="0"/>
        </w:rPr>
      </w:pPr>
      <w:bookmarkStart w:id="15" w:name="_Toc222012458"/>
      <w:bookmarkStart w:id="16" w:name="_Toc225185371"/>
      <w:r w:rsidRPr="00620C63">
        <w:rPr>
          <w:rStyle w:val="Strong"/>
          <w:b w:val="0"/>
          <w:bCs w:val="0"/>
        </w:rPr>
        <w:t>Recommendations</w:t>
      </w:r>
      <w:bookmarkEnd w:id="15"/>
      <w:bookmarkEnd w:id="16"/>
    </w:p>
    <w:p w14:paraId="24121786" w14:textId="77777777" w:rsidR="00620C63" w:rsidRPr="00620C63" w:rsidRDefault="00620C63" w:rsidP="00620C63"/>
    <w:p w14:paraId="5BE9F9E7" w14:textId="77777777" w:rsidR="00BA15B9" w:rsidRPr="00D53E67" w:rsidRDefault="00AD08F7" w:rsidP="00BA15B9">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According to the results of this scoping review, </w:t>
      </w:r>
      <w:proofErr w:type="gramStart"/>
      <w:r w:rsidRPr="00D53E67">
        <w:rPr>
          <w:rFonts w:ascii="Arial" w:hAnsi="Arial" w:cs="Arial"/>
          <w:color w:val="0E101A"/>
          <w:sz w:val="22"/>
          <w:szCs w:val="22"/>
        </w:rPr>
        <w:t>a number of</w:t>
      </w:r>
      <w:proofErr w:type="gramEnd"/>
      <w:r w:rsidRPr="00D53E67">
        <w:rPr>
          <w:rFonts w:ascii="Arial" w:hAnsi="Arial" w:cs="Arial"/>
          <w:color w:val="0E101A"/>
          <w:sz w:val="22"/>
          <w:szCs w:val="22"/>
        </w:rPr>
        <w:t xml:space="preserve"> recommendations appear to fill gaps in dementia social care planning and provision in the UK. </w:t>
      </w:r>
    </w:p>
    <w:p w14:paraId="04E2E3B4" w14:textId="7EF6C087" w:rsidR="00AD08F7" w:rsidRPr="00D53E67" w:rsidRDefault="00AD08F7" w:rsidP="00BA15B9">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Improved Service Planning and Capacity:</w:t>
      </w:r>
      <w:r w:rsidRPr="00D53E67">
        <w:rPr>
          <w:rFonts w:ascii="Arial" w:hAnsi="Arial" w:cs="Arial"/>
          <w:color w:val="0E101A"/>
          <w:sz w:val="22"/>
          <w:szCs w:val="22"/>
        </w:rPr>
        <w:t xml:space="preserve"> </w:t>
      </w:r>
      <w:r w:rsidR="000E0A30" w:rsidRPr="00D53E67">
        <w:rPr>
          <w:rFonts w:ascii="Arial" w:hAnsi="Arial" w:cs="Arial"/>
          <w:color w:val="0E101A"/>
          <w:sz w:val="22"/>
          <w:szCs w:val="22"/>
        </w:rPr>
        <w:t>Given the estimated rise in dementia cases to 1.7 million in 2040, assuming current incidence trends</w:t>
      </w:r>
      <w:r w:rsidRPr="00D53E67">
        <w:rPr>
          <w:rFonts w:ascii="Arial" w:hAnsi="Arial" w:cs="Arial"/>
          <w:color w:val="0E101A"/>
          <w:sz w:val="22"/>
          <w:szCs w:val="22"/>
        </w:rPr>
        <w:t xml:space="preserve"> continue, immediate intervention is required to increase social care capacity. This </w:t>
      </w:r>
      <w:r w:rsidR="000E0A30" w:rsidRPr="00D53E67">
        <w:rPr>
          <w:rFonts w:ascii="Arial" w:hAnsi="Arial" w:cs="Arial"/>
          <w:color w:val="0E101A"/>
          <w:sz w:val="22"/>
          <w:szCs w:val="22"/>
        </w:rPr>
        <w:t>requires a significant investment in care home facilities, community services, and workforce development to ensure sufficient supplies of trained personnel to meet</w:t>
      </w:r>
      <w:r w:rsidRPr="00D53E67">
        <w:rPr>
          <w:rFonts w:ascii="Arial" w:hAnsi="Arial" w:cs="Arial"/>
          <w:color w:val="0E101A"/>
          <w:sz w:val="22"/>
          <w:szCs w:val="22"/>
        </w:rPr>
        <w:t xml:space="preserve"> the increasing demand</w:t>
      </w:r>
      <w:r w:rsidR="00BA15B9" w:rsidRPr="00D53E67">
        <w:rPr>
          <w:rFonts w:ascii="Arial" w:hAnsi="Arial" w:cs="Arial"/>
          <w:color w:val="0E101A"/>
          <w:sz w:val="22"/>
          <w:szCs w:val="22"/>
        </w:rPr>
        <w:t xml:space="preserve"> </w:t>
      </w:r>
      <w:r w:rsidR="00BA15B9" w:rsidRPr="00D53E67">
        <w:rPr>
          <w:rFonts w:ascii="Arial" w:hAnsi="Arial" w:cs="Arial"/>
          <w:sz w:val="22"/>
          <w:szCs w:val="22"/>
        </w:rPr>
        <w:t>(Daly, 2025)</w:t>
      </w:r>
      <w:r w:rsidRPr="00D53E67">
        <w:rPr>
          <w:rFonts w:ascii="Arial" w:hAnsi="Arial" w:cs="Arial"/>
          <w:color w:val="0E101A"/>
          <w:sz w:val="22"/>
          <w:szCs w:val="22"/>
        </w:rPr>
        <w:t xml:space="preserve">. </w:t>
      </w:r>
      <w:r w:rsidR="000E0A30" w:rsidRPr="00D53E67">
        <w:rPr>
          <w:rFonts w:ascii="Arial" w:hAnsi="Arial" w:cs="Arial"/>
          <w:color w:val="0E101A"/>
          <w:sz w:val="22"/>
          <w:szCs w:val="22"/>
        </w:rPr>
        <w:t>Long-term workforce planning must consider the number of new employees and the professionalism required</w:t>
      </w:r>
      <w:r w:rsidRPr="00D53E67">
        <w:rPr>
          <w:rFonts w:ascii="Arial" w:hAnsi="Arial" w:cs="Arial"/>
          <w:color w:val="0E101A"/>
          <w:sz w:val="22"/>
          <w:szCs w:val="22"/>
        </w:rPr>
        <w:t xml:space="preserve"> to provide proper dementia care. </w:t>
      </w:r>
    </w:p>
    <w:p w14:paraId="0F4622AC" w14:textId="0CC5FE20"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lastRenderedPageBreak/>
        <w:t>Comprehensive Carer Support Services:</w:t>
      </w:r>
      <w:r w:rsidRPr="00D53E67">
        <w:rPr>
          <w:rFonts w:ascii="Arial" w:hAnsi="Arial" w:cs="Arial"/>
          <w:color w:val="0E101A"/>
          <w:sz w:val="22"/>
          <w:szCs w:val="22"/>
        </w:rPr>
        <w:t xml:space="preserve"> Informal carers need significantly greater support than the one offered currently, such as respite services made available to them, financial service models that assist in </w:t>
      </w:r>
      <w:proofErr w:type="spellStart"/>
      <w:r w:rsidRPr="00D53E67">
        <w:rPr>
          <w:rFonts w:ascii="Arial" w:hAnsi="Arial" w:cs="Arial"/>
          <w:color w:val="0E101A"/>
          <w:sz w:val="22"/>
          <w:szCs w:val="22"/>
        </w:rPr>
        <w:t>recognising</w:t>
      </w:r>
      <w:proofErr w:type="spellEnd"/>
      <w:r w:rsidRPr="00D53E67">
        <w:rPr>
          <w:rFonts w:ascii="Arial" w:hAnsi="Arial" w:cs="Arial"/>
          <w:color w:val="0E101A"/>
          <w:sz w:val="22"/>
          <w:szCs w:val="22"/>
        </w:rPr>
        <w:t xml:space="preserve"> the economic value of unpaid caregiving, detailed provision of guidance and information on working through care systems, and emotional and psychological support to work through the mental health implications of acting as a caregiver. These services are not meant to be means-tested</w:t>
      </w:r>
      <w:r w:rsidR="000E0A30" w:rsidRPr="00D53E67">
        <w:rPr>
          <w:rFonts w:ascii="Arial" w:hAnsi="Arial" w:cs="Arial"/>
          <w:color w:val="0E101A"/>
          <w:sz w:val="22"/>
          <w:szCs w:val="22"/>
        </w:rPr>
        <w:t xml:space="preserve"> but should instead be universally accessible, as carers are considered crucial partners in dementia care,</w:t>
      </w:r>
      <w:r w:rsidRPr="00D53E67">
        <w:rPr>
          <w:rFonts w:ascii="Arial" w:hAnsi="Arial" w:cs="Arial"/>
          <w:color w:val="0E101A"/>
          <w:sz w:val="22"/>
          <w:szCs w:val="22"/>
        </w:rPr>
        <w:t xml:space="preserve"> whose well-being is directly related to the sustainability of care arrangements. </w:t>
      </w:r>
    </w:p>
    <w:p w14:paraId="10ACCF65" w14:textId="78B6C063"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Integrated Prevention Strategies:</w:t>
      </w:r>
      <w:r w:rsidRPr="00D53E67">
        <w:rPr>
          <w:rFonts w:ascii="Arial" w:hAnsi="Arial" w:cs="Arial"/>
          <w:color w:val="0E101A"/>
          <w:sz w:val="22"/>
          <w:szCs w:val="22"/>
        </w:rPr>
        <w:t xml:space="preserve"> </w:t>
      </w:r>
      <w:r w:rsidR="000E0A30" w:rsidRPr="00D53E67">
        <w:rPr>
          <w:rFonts w:ascii="Arial" w:hAnsi="Arial" w:cs="Arial"/>
          <w:color w:val="0E101A"/>
          <w:sz w:val="22"/>
          <w:szCs w:val="22"/>
        </w:rPr>
        <w:t>Current evidence on modifiable risk factors, such as medication-related risks, indicates that there are existing opportunities for dementia prevention that have</w:t>
      </w:r>
      <w:r w:rsidRPr="00D53E67">
        <w:rPr>
          <w:rFonts w:ascii="Arial" w:hAnsi="Arial" w:cs="Arial"/>
          <w:color w:val="0E101A"/>
          <w:sz w:val="22"/>
          <w:szCs w:val="22"/>
        </w:rPr>
        <w:t xml:space="preserve"> yet to be pursued systematically. Medication review processes, which take into consideration anticholinergic burden and dementia risk, especially in primary care, public health programs that focus on social determinants of dementia risk with special emphasis on reducing disparities, and systematic management of cardiovascular and metabolic risk factors that have been identified to cause dementia development, should be integrated into the prevention approaches. </w:t>
      </w:r>
    </w:p>
    <w:p w14:paraId="509CFDED" w14:textId="754AD262"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Services in Special Provision of Diverse Populations also need to be adjusted to meet the needs of diverse populations, including people with young-onset dementia, people of other cultural and lingual backgrounds, and people with dementia in socioeconomically disadvantaged communities, which are overrepresented. This means that the one-size-fits-all methodology should be abandoned in </w:t>
      </w:r>
      <w:proofErr w:type="spellStart"/>
      <w:r w:rsidRPr="00D53E67">
        <w:rPr>
          <w:rFonts w:ascii="Arial" w:hAnsi="Arial" w:cs="Arial"/>
          <w:color w:val="0E101A"/>
          <w:sz w:val="22"/>
          <w:szCs w:val="22"/>
        </w:rPr>
        <w:t>favour</w:t>
      </w:r>
      <w:proofErr w:type="spellEnd"/>
      <w:r w:rsidRPr="00D53E67">
        <w:rPr>
          <w:rFonts w:ascii="Arial" w:hAnsi="Arial" w:cs="Arial"/>
          <w:color w:val="0E101A"/>
          <w:sz w:val="22"/>
          <w:szCs w:val="22"/>
        </w:rPr>
        <w:t xml:space="preserve"> of flexibility and person-oriented services</w:t>
      </w:r>
      <w:r w:rsidR="000E0A30" w:rsidRPr="00D53E67">
        <w:rPr>
          <w:rFonts w:ascii="Arial" w:hAnsi="Arial" w:cs="Arial"/>
          <w:color w:val="0E101A"/>
          <w:sz w:val="22"/>
          <w:szCs w:val="22"/>
        </w:rPr>
        <w:t xml:space="preserve"> that adapt</w:t>
      </w:r>
      <w:r w:rsidRPr="00D53E67">
        <w:rPr>
          <w:rFonts w:ascii="Arial" w:hAnsi="Arial" w:cs="Arial"/>
          <w:color w:val="0E101A"/>
          <w:sz w:val="22"/>
          <w:szCs w:val="22"/>
        </w:rPr>
        <w:t xml:space="preserve"> to various situations and tastes. </w:t>
      </w:r>
    </w:p>
    <w:p w14:paraId="31C65BB1" w14:textId="04CBFB55"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Adoption of Evidence-Based Practice:</w:t>
      </w:r>
      <w:r w:rsidRPr="00D53E67">
        <w:rPr>
          <w:rFonts w:ascii="Arial" w:hAnsi="Arial" w:cs="Arial"/>
          <w:color w:val="0E101A"/>
          <w:sz w:val="22"/>
          <w:szCs w:val="22"/>
        </w:rPr>
        <w:t xml:space="preserve"> There </w:t>
      </w:r>
      <w:r w:rsidR="000E0A30" w:rsidRPr="00D53E67">
        <w:rPr>
          <w:rFonts w:ascii="Arial" w:hAnsi="Arial" w:cs="Arial"/>
          <w:color w:val="0E101A"/>
          <w:sz w:val="22"/>
          <w:szCs w:val="22"/>
        </w:rPr>
        <w:t>must be an action linking clinical practice and research evidence, implemented systematically to translate</w:t>
      </w:r>
      <w:r w:rsidRPr="00D53E67">
        <w:rPr>
          <w:rFonts w:ascii="Arial" w:hAnsi="Arial" w:cs="Arial"/>
          <w:color w:val="0E101A"/>
          <w:sz w:val="22"/>
          <w:szCs w:val="22"/>
        </w:rPr>
        <w:t xml:space="preserve"> research into routine care. This consists of training programs, which prepare the healthcare and social care professionals with the current knowledge in dementia care best practices, quality improvement programs that </w:t>
      </w:r>
      <w:r w:rsidRPr="00D53E67">
        <w:rPr>
          <w:rFonts w:ascii="Arial" w:hAnsi="Arial" w:cs="Arial"/>
          <w:color w:val="0E101A"/>
          <w:sz w:val="22"/>
          <w:szCs w:val="22"/>
        </w:rPr>
        <w:lastRenderedPageBreak/>
        <w:t xml:space="preserve">monitor and improve care delivery in hospitals and communities, and assessment frameworks that determine whether the services are bringing about the desired outcomes to the people with dementia and their families. </w:t>
      </w:r>
    </w:p>
    <w:p w14:paraId="023275BE"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58DB6D59"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6D153BE1"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21B8730A" w14:textId="77777777" w:rsidR="00AD08F7" w:rsidRPr="00620C63" w:rsidRDefault="00AD08F7" w:rsidP="00620C63">
      <w:pPr>
        <w:pStyle w:val="Heading2"/>
        <w:jc w:val="center"/>
      </w:pPr>
      <w:bookmarkStart w:id="17" w:name="_Toc222012459"/>
      <w:bookmarkStart w:id="18" w:name="_Toc225185372"/>
      <w:r w:rsidRPr="00620C63">
        <w:rPr>
          <w:rStyle w:val="Strong"/>
          <w:b w:val="0"/>
          <w:bCs w:val="0"/>
        </w:rPr>
        <w:t>Conclusion</w:t>
      </w:r>
      <w:bookmarkEnd w:id="17"/>
      <w:bookmarkEnd w:id="18"/>
    </w:p>
    <w:p w14:paraId="3C220307" w14:textId="13EFA9DC"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This scoping literature review has reviewed the peer-reviewed studies on dementia care in the UK, showing that there exist significant gaps in social care planning and provision that pose risks to the well-being of individuals with dementia and their families. The 10-year turnaround in itinerating dementia incidence rates indicated by longitudinal data suggests that the burden of dementia is going to grow much more rapidly than assumed before and necessitate immediate concern in increasing care capacity and services. The informal carers are not adequately supported in several aspects, the risks linked to </w:t>
      </w:r>
      <w:proofErr w:type="gramStart"/>
      <w:r w:rsidRPr="00D53E67">
        <w:rPr>
          <w:rFonts w:ascii="Arial" w:hAnsi="Arial" w:cs="Arial"/>
          <w:color w:val="0E101A"/>
          <w:sz w:val="22"/>
          <w:szCs w:val="22"/>
        </w:rPr>
        <w:t>the dementia</w:t>
      </w:r>
      <w:proofErr w:type="gramEnd"/>
      <w:r w:rsidRPr="00D53E67">
        <w:rPr>
          <w:rFonts w:ascii="Arial" w:hAnsi="Arial" w:cs="Arial"/>
          <w:color w:val="0E101A"/>
          <w:sz w:val="22"/>
          <w:szCs w:val="22"/>
        </w:rPr>
        <w:t xml:space="preserve"> related to medication are not addressed systematically, the needs of people with intellectual impairment are not addressed within the hospitals and special groups of people, such as individuals with young-onset dementia, are not provided with the right services. </w:t>
      </w:r>
      <w:r w:rsidR="000E0A30" w:rsidRPr="00D53E67">
        <w:rPr>
          <w:rFonts w:ascii="Arial" w:hAnsi="Arial" w:cs="Arial"/>
          <w:color w:val="0E101A"/>
          <w:sz w:val="22"/>
          <w:szCs w:val="22"/>
        </w:rPr>
        <w:t xml:space="preserve">To close these gaps, the </w:t>
      </w:r>
      <w:proofErr w:type="spellStart"/>
      <w:r w:rsidR="000E0A30" w:rsidRPr="00D53E67">
        <w:rPr>
          <w:rFonts w:ascii="Arial" w:hAnsi="Arial" w:cs="Arial"/>
          <w:color w:val="0E101A"/>
          <w:sz w:val="22"/>
          <w:szCs w:val="22"/>
        </w:rPr>
        <w:t>conceptualisation</w:t>
      </w:r>
      <w:proofErr w:type="spellEnd"/>
      <w:r w:rsidR="000E0A30" w:rsidRPr="00D53E67">
        <w:rPr>
          <w:rFonts w:ascii="Arial" w:hAnsi="Arial" w:cs="Arial"/>
          <w:color w:val="0E101A"/>
          <w:sz w:val="22"/>
          <w:szCs w:val="22"/>
        </w:rPr>
        <w:t xml:space="preserve">, funding, and provision of dementia care </w:t>
      </w:r>
      <w:r w:rsidR="00A97BDB" w:rsidRPr="00D53E67">
        <w:rPr>
          <w:rFonts w:ascii="Arial" w:hAnsi="Arial" w:cs="Arial"/>
          <w:color w:val="0E101A"/>
          <w:sz w:val="22"/>
          <w:szCs w:val="22"/>
        </w:rPr>
        <w:t>in the UK need to be fundamentally changed</w:t>
      </w:r>
      <w:r w:rsidRPr="00D53E67">
        <w:rPr>
          <w:rFonts w:ascii="Arial" w:hAnsi="Arial" w:cs="Arial"/>
          <w:color w:val="0E101A"/>
          <w:sz w:val="22"/>
          <w:szCs w:val="22"/>
        </w:rPr>
        <w:t xml:space="preserve">. The unpaid family caregiving without proper support is not sustainable </w:t>
      </w:r>
      <w:proofErr w:type="gramStart"/>
      <w:r w:rsidRPr="00D53E67">
        <w:rPr>
          <w:rFonts w:ascii="Arial" w:hAnsi="Arial" w:cs="Arial"/>
          <w:color w:val="0E101A"/>
          <w:sz w:val="22"/>
          <w:szCs w:val="22"/>
        </w:rPr>
        <w:t>in light of</w:t>
      </w:r>
      <w:proofErr w:type="gramEnd"/>
      <w:r w:rsidRPr="00D53E67">
        <w:rPr>
          <w:rFonts w:ascii="Arial" w:hAnsi="Arial" w:cs="Arial"/>
          <w:color w:val="0E101A"/>
          <w:sz w:val="22"/>
          <w:szCs w:val="22"/>
        </w:rPr>
        <w:t xml:space="preserve"> expected rises in the dementia rates. The disintegration of </w:t>
      </w:r>
      <w:r w:rsidR="000E0A30" w:rsidRPr="00D53E67">
        <w:rPr>
          <w:rFonts w:ascii="Arial" w:hAnsi="Arial" w:cs="Arial"/>
          <w:color w:val="0E101A"/>
          <w:sz w:val="22"/>
          <w:szCs w:val="22"/>
        </w:rPr>
        <w:t>care pathways and ineffective coordination among services undermine</w:t>
      </w:r>
      <w:r w:rsidRPr="00D53E67">
        <w:rPr>
          <w:rFonts w:ascii="Arial" w:hAnsi="Arial" w:cs="Arial"/>
          <w:color w:val="0E101A"/>
          <w:sz w:val="22"/>
          <w:szCs w:val="22"/>
        </w:rPr>
        <w:t xml:space="preserve"> the principles of person-</w:t>
      </w:r>
      <w:proofErr w:type="spellStart"/>
      <w:r w:rsidRPr="00D53E67">
        <w:rPr>
          <w:rFonts w:ascii="Arial" w:hAnsi="Arial" w:cs="Arial"/>
          <w:color w:val="0E101A"/>
          <w:sz w:val="22"/>
          <w:szCs w:val="22"/>
        </w:rPr>
        <w:t>centred</w:t>
      </w:r>
      <w:proofErr w:type="spellEnd"/>
      <w:r w:rsidRPr="00D53E67">
        <w:rPr>
          <w:rFonts w:ascii="Arial" w:hAnsi="Arial" w:cs="Arial"/>
          <w:color w:val="0E101A"/>
          <w:sz w:val="22"/>
          <w:szCs w:val="22"/>
        </w:rPr>
        <w:t xml:space="preserve"> care. The gap between the translation of research evidence on prevention and intervention into systematic use is a loss of opportunities to lessen the heavy load of dementia and enhance results. </w:t>
      </w:r>
      <w:r w:rsidR="000E0A30" w:rsidRPr="00D53E67">
        <w:rPr>
          <w:rFonts w:ascii="Arial" w:hAnsi="Arial" w:cs="Arial"/>
          <w:color w:val="0E101A"/>
          <w:sz w:val="22"/>
          <w:szCs w:val="22"/>
        </w:rPr>
        <w:t>Further trends in the incidence of dementia will need to be observed to inform decisions regarding social care policy and resource allocation</w:t>
      </w:r>
      <w:r w:rsidRPr="00D53E67">
        <w:rPr>
          <w:rFonts w:ascii="Arial" w:hAnsi="Arial" w:cs="Arial"/>
          <w:color w:val="0E101A"/>
          <w:sz w:val="22"/>
          <w:szCs w:val="22"/>
        </w:rPr>
        <w:t xml:space="preserve">. The increasing educational attainment disparities in dementia incidence should be addressed in terms of social </w:t>
      </w:r>
      <w:r w:rsidRPr="00D53E67">
        <w:rPr>
          <w:rFonts w:ascii="Arial" w:hAnsi="Arial" w:cs="Arial"/>
          <w:color w:val="0E101A"/>
          <w:sz w:val="22"/>
          <w:szCs w:val="22"/>
        </w:rPr>
        <w:lastRenderedPageBreak/>
        <w:t xml:space="preserve">determinants and an equal allocation of preventive measures. The unique provisions of different groups necessitate dynamic, flexible services </w:t>
      </w:r>
      <w:r w:rsidR="000E0A30" w:rsidRPr="00D53E67">
        <w:rPr>
          <w:rFonts w:ascii="Arial" w:hAnsi="Arial" w:cs="Arial"/>
          <w:color w:val="0E101A"/>
          <w:sz w:val="22"/>
          <w:szCs w:val="22"/>
        </w:rPr>
        <w:t xml:space="preserve">rather than </w:t>
      </w:r>
      <w:proofErr w:type="spellStart"/>
      <w:r w:rsidR="000E0A30" w:rsidRPr="00D53E67">
        <w:rPr>
          <w:rFonts w:ascii="Arial" w:hAnsi="Arial" w:cs="Arial"/>
          <w:color w:val="0E101A"/>
          <w:sz w:val="22"/>
          <w:szCs w:val="22"/>
        </w:rPr>
        <w:t>standardised</w:t>
      </w:r>
      <w:proofErr w:type="spellEnd"/>
      <w:r w:rsidR="000E0A30" w:rsidRPr="00D53E67">
        <w:rPr>
          <w:rFonts w:ascii="Arial" w:hAnsi="Arial" w:cs="Arial"/>
          <w:color w:val="0E101A"/>
          <w:sz w:val="22"/>
          <w:szCs w:val="22"/>
        </w:rPr>
        <w:t xml:space="preserve"> ones intended for</w:t>
      </w:r>
      <w:r w:rsidRPr="00D53E67">
        <w:rPr>
          <w:rFonts w:ascii="Arial" w:hAnsi="Arial" w:cs="Arial"/>
          <w:color w:val="0E101A"/>
          <w:sz w:val="22"/>
          <w:szCs w:val="22"/>
        </w:rPr>
        <w:t xml:space="preserve"> perceived standard cases. Finally, the identified gaps in dementia social care planning and provision that have been reported in this review will not be eliminated without long-term political willingness, significant feedback of services and workforce investment, structural changes to bring together health and social care, and actual application of person-centered care principles that will keep the needs and preferences of people with dementia and their families in the center of service design and delivery. Otherwise, the projected rise in the burden of dementia will overwhelm the present services with devastating implications on individuals, families, and communities throughout the UK.</w:t>
      </w:r>
    </w:p>
    <w:p w14:paraId="3A6BD804" w14:textId="10CCA441" w:rsidR="007F6F4D" w:rsidRPr="00D53E67" w:rsidRDefault="007F6F4D" w:rsidP="00AD08F7">
      <w:pPr>
        <w:spacing w:after="0" w:line="480" w:lineRule="auto"/>
        <w:ind w:firstLine="720"/>
        <w:jc w:val="both"/>
        <w:rPr>
          <w:rFonts w:ascii="Arial" w:hAnsi="Arial" w:cs="Arial"/>
          <w:sz w:val="22"/>
          <w:szCs w:val="22"/>
        </w:rPr>
      </w:pPr>
    </w:p>
    <w:p w14:paraId="04D2C4E6" w14:textId="77777777" w:rsidR="00EA32EA" w:rsidRPr="00D53E67" w:rsidRDefault="00EA32EA" w:rsidP="00AD08F7">
      <w:pPr>
        <w:spacing w:after="0" w:line="480" w:lineRule="auto"/>
        <w:ind w:firstLine="720"/>
        <w:jc w:val="both"/>
        <w:rPr>
          <w:rFonts w:ascii="Arial" w:hAnsi="Arial" w:cs="Arial"/>
          <w:sz w:val="22"/>
          <w:szCs w:val="22"/>
        </w:rPr>
      </w:pPr>
    </w:p>
    <w:p w14:paraId="1C07847A" w14:textId="77777777" w:rsidR="00EA32EA" w:rsidRPr="00D53E67" w:rsidRDefault="00EA32EA" w:rsidP="00AD08F7">
      <w:pPr>
        <w:spacing w:after="0" w:line="480" w:lineRule="auto"/>
        <w:ind w:firstLine="720"/>
        <w:jc w:val="both"/>
        <w:rPr>
          <w:rFonts w:ascii="Arial" w:hAnsi="Arial" w:cs="Arial"/>
          <w:sz w:val="22"/>
          <w:szCs w:val="22"/>
        </w:rPr>
      </w:pPr>
    </w:p>
    <w:p w14:paraId="7A7BA737" w14:textId="77777777" w:rsidR="00EA32EA" w:rsidRPr="00D53E67" w:rsidRDefault="00EA32EA" w:rsidP="00AD08F7">
      <w:pPr>
        <w:spacing w:after="0" w:line="480" w:lineRule="auto"/>
        <w:ind w:firstLine="720"/>
        <w:jc w:val="both"/>
        <w:rPr>
          <w:rFonts w:ascii="Arial" w:hAnsi="Arial" w:cs="Arial"/>
          <w:sz w:val="22"/>
          <w:szCs w:val="22"/>
        </w:rPr>
      </w:pPr>
    </w:p>
    <w:p w14:paraId="79137067" w14:textId="77777777" w:rsidR="00ED2EA8" w:rsidRPr="00D53E67" w:rsidRDefault="00ED2EA8" w:rsidP="00C34EAB">
      <w:pPr>
        <w:pStyle w:val="Heading1"/>
        <w:jc w:val="center"/>
        <w:rPr>
          <w:rFonts w:ascii="Arial" w:hAnsi="Arial" w:cs="Arial"/>
          <w:b/>
          <w:bCs/>
          <w:color w:val="auto"/>
          <w:sz w:val="22"/>
          <w:szCs w:val="22"/>
        </w:rPr>
      </w:pPr>
      <w:bookmarkStart w:id="19" w:name="_Toc222012460"/>
    </w:p>
    <w:p w14:paraId="26E308B7" w14:textId="77777777" w:rsidR="00ED2EA8" w:rsidRPr="00D53E67" w:rsidRDefault="00ED2EA8" w:rsidP="00ED2EA8">
      <w:pPr>
        <w:rPr>
          <w:rFonts w:ascii="Arial" w:hAnsi="Arial" w:cs="Arial"/>
          <w:sz w:val="22"/>
          <w:szCs w:val="22"/>
        </w:rPr>
      </w:pPr>
    </w:p>
    <w:p w14:paraId="0D2E7529" w14:textId="77777777" w:rsidR="00ED2EA8" w:rsidRPr="00D53E67" w:rsidRDefault="00ED2EA8" w:rsidP="00ED2EA8">
      <w:pPr>
        <w:rPr>
          <w:rFonts w:ascii="Arial" w:hAnsi="Arial" w:cs="Arial"/>
          <w:sz w:val="22"/>
          <w:szCs w:val="22"/>
        </w:rPr>
      </w:pPr>
    </w:p>
    <w:p w14:paraId="3C5F5F2B" w14:textId="77777777" w:rsidR="00ED2EA8" w:rsidRPr="00D53E67" w:rsidRDefault="00ED2EA8" w:rsidP="00ED2EA8">
      <w:pPr>
        <w:rPr>
          <w:rFonts w:ascii="Arial" w:hAnsi="Arial" w:cs="Arial"/>
          <w:sz w:val="22"/>
          <w:szCs w:val="22"/>
        </w:rPr>
      </w:pPr>
    </w:p>
    <w:p w14:paraId="722630A4" w14:textId="77777777" w:rsidR="00F97F8C" w:rsidRPr="00D53E67" w:rsidRDefault="00F97F8C" w:rsidP="00C34EAB">
      <w:pPr>
        <w:pStyle w:val="Heading1"/>
        <w:jc w:val="center"/>
        <w:rPr>
          <w:rFonts w:ascii="Arial" w:hAnsi="Arial" w:cs="Arial"/>
          <w:b/>
          <w:bCs/>
          <w:color w:val="auto"/>
          <w:sz w:val="22"/>
          <w:szCs w:val="22"/>
        </w:rPr>
      </w:pPr>
    </w:p>
    <w:p w14:paraId="2AE41A70" w14:textId="77777777" w:rsidR="00F97F8C" w:rsidRPr="00D53E67" w:rsidRDefault="00F97F8C" w:rsidP="00F97F8C">
      <w:pPr>
        <w:rPr>
          <w:rFonts w:ascii="Arial" w:hAnsi="Arial" w:cs="Arial"/>
          <w:sz w:val="22"/>
          <w:szCs w:val="22"/>
        </w:rPr>
      </w:pPr>
    </w:p>
    <w:p w14:paraId="55B6EB27" w14:textId="77777777" w:rsidR="00F97F8C" w:rsidRPr="00D53E67" w:rsidRDefault="00F97F8C" w:rsidP="00F97F8C">
      <w:pPr>
        <w:rPr>
          <w:rFonts w:ascii="Arial" w:hAnsi="Arial" w:cs="Arial"/>
          <w:sz w:val="22"/>
          <w:szCs w:val="22"/>
        </w:rPr>
      </w:pPr>
    </w:p>
    <w:p w14:paraId="668092F4" w14:textId="77777777" w:rsidR="00F97F8C" w:rsidRPr="00D53E67" w:rsidRDefault="00F97F8C" w:rsidP="00F97F8C">
      <w:pPr>
        <w:rPr>
          <w:rFonts w:ascii="Arial" w:hAnsi="Arial" w:cs="Arial"/>
          <w:sz w:val="22"/>
          <w:szCs w:val="22"/>
        </w:rPr>
      </w:pPr>
    </w:p>
    <w:p w14:paraId="2A7C56F7" w14:textId="77777777" w:rsidR="00F97F8C" w:rsidRPr="00D53E67" w:rsidRDefault="00F97F8C" w:rsidP="00F97F8C">
      <w:pPr>
        <w:rPr>
          <w:rFonts w:ascii="Arial" w:hAnsi="Arial" w:cs="Arial"/>
          <w:sz w:val="22"/>
          <w:szCs w:val="22"/>
        </w:rPr>
      </w:pPr>
    </w:p>
    <w:p w14:paraId="2424A712" w14:textId="467ADABC" w:rsidR="00EA32EA" w:rsidRPr="00D53E67" w:rsidRDefault="00EA32EA" w:rsidP="00620C63">
      <w:pPr>
        <w:pStyle w:val="Heading2"/>
        <w:jc w:val="center"/>
      </w:pPr>
      <w:bookmarkStart w:id="20" w:name="_Toc225185373"/>
      <w:r w:rsidRPr="00D53E67">
        <w:lastRenderedPageBreak/>
        <w:t>References</w:t>
      </w:r>
      <w:bookmarkEnd w:id="19"/>
      <w:bookmarkEnd w:id="20"/>
    </w:p>
    <w:p w14:paraId="25C9B786" w14:textId="673486A5"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Arksey, H.</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O’Malley, L. (2003) Scoping studies: Towards a Methodological Framework. </w:t>
      </w:r>
      <w:r w:rsidRPr="00D53E67">
        <w:rPr>
          <w:rFonts w:ascii="Arial" w:hAnsi="Arial" w:cs="Arial"/>
          <w:i/>
          <w:iCs/>
          <w:sz w:val="22"/>
          <w:szCs w:val="22"/>
        </w:rPr>
        <w:t>International Journal of Social Research Methodology</w:t>
      </w:r>
      <w:r w:rsidRPr="00D53E67">
        <w:rPr>
          <w:rFonts w:ascii="Arial" w:hAnsi="Arial" w:cs="Arial"/>
          <w:sz w:val="22"/>
          <w:szCs w:val="22"/>
        </w:rPr>
        <w:t xml:space="preserve">, [online] 8(1), pp.19–32. doi: </w:t>
      </w:r>
      <w:hyperlink r:id="rId9" w:history="1">
        <w:r w:rsidRPr="00D53E67">
          <w:rPr>
            <w:rStyle w:val="Hyperlink"/>
            <w:rFonts w:ascii="Arial" w:hAnsi="Arial" w:cs="Arial"/>
            <w:sz w:val="22"/>
            <w:szCs w:val="22"/>
          </w:rPr>
          <w:t>https://doi.org/10.1080/1364557032000119616</w:t>
        </w:r>
      </w:hyperlink>
      <w:r w:rsidRPr="00D53E67">
        <w:rPr>
          <w:rFonts w:ascii="Arial" w:hAnsi="Arial" w:cs="Arial"/>
          <w:sz w:val="22"/>
          <w:szCs w:val="22"/>
        </w:rPr>
        <w:t xml:space="preserve">. </w:t>
      </w:r>
    </w:p>
    <w:p w14:paraId="46924C85" w14:textId="3A9452AD"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Aveyard, H. (2014). </w:t>
      </w:r>
      <w:r w:rsidRPr="00D53E67">
        <w:rPr>
          <w:rFonts w:ascii="Arial" w:hAnsi="Arial" w:cs="Arial"/>
          <w:i/>
          <w:iCs/>
          <w:sz w:val="22"/>
          <w:szCs w:val="22"/>
        </w:rPr>
        <w:t>Aveyard, H. (2014) Doing a Literature Review in Health and Social Care. A Practical Guide. 3rd Edition, Open University Press, London. - References - Scientific Research Publishing</w:t>
      </w:r>
      <w:r w:rsidRPr="00D53E67">
        <w:rPr>
          <w:rFonts w:ascii="Arial" w:hAnsi="Arial" w:cs="Arial"/>
          <w:sz w:val="22"/>
          <w:szCs w:val="22"/>
        </w:rPr>
        <w:t xml:space="preserve">. [online] www.scirp.org. Available at: </w:t>
      </w:r>
      <w:hyperlink r:id="rId10" w:history="1">
        <w:r w:rsidRPr="00D53E67">
          <w:rPr>
            <w:rStyle w:val="Hyperlink"/>
            <w:rFonts w:ascii="Arial" w:hAnsi="Arial" w:cs="Arial"/>
            <w:sz w:val="22"/>
            <w:szCs w:val="22"/>
          </w:rPr>
          <w:t>https://www.scirp.org/reference/ReferencesPapers?ReferenceID=1528138</w:t>
        </w:r>
      </w:hyperlink>
      <w:r w:rsidRPr="00D53E67">
        <w:rPr>
          <w:rFonts w:ascii="Arial" w:hAnsi="Arial" w:cs="Arial"/>
          <w:sz w:val="22"/>
          <w:szCs w:val="22"/>
        </w:rPr>
        <w:t xml:space="preserve">. </w:t>
      </w:r>
    </w:p>
    <w:p w14:paraId="758E7709" w14:textId="1D12D366"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Chen, Y., </w:t>
      </w:r>
      <w:proofErr w:type="spellStart"/>
      <w:r w:rsidRPr="00D53E67">
        <w:rPr>
          <w:rFonts w:ascii="Arial" w:hAnsi="Arial" w:cs="Arial"/>
          <w:sz w:val="22"/>
          <w:szCs w:val="22"/>
        </w:rPr>
        <w:t>Bandosz</w:t>
      </w:r>
      <w:proofErr w:type="spellEnd"/>
      <w:r w:rsidRPr="00D53E67">
        <w:rPr>
          <w:rFonts w:ascii="Arial" w:hAnsi="Arial" w:cs="Arial"/>
          <w:sz w:val="22"/>
          <w:szCs w:val="22"/>
        </w:rPr>
        <w:t>, P., Stoye, G., Liu, Y., Wu, Y., Lobanov-Rostovsky, S., French, E., Kivimäki, M., Livingston, G., Liao, J.</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Brunner, E.J. (2023). Dementia incidence trend in England and Wales, 2002-19, and projection for dementia burden to 2040: analysis of data from the English Longitudinal Study of Ageing. </w:t>
      </w:r>
      <w:r w:rsidRPr="00D53E67">
        <w:rPr>
          <w:rFonts w:ascii="Arial" w:hAnsi="Arial" w:cs="Arial"/>
          <w:i/>
          <w:iCs/>
          <w:sz w:val="22"/>
          <w:szCs w:val="22"/>
        </w:rPr>
        <w:t>PubMed</w:t>
      </w:r>
      <w:r w:rsidRPr="00D53E67">
        <w:rPr>
          <w:rFonts w:ascii="Arial" w:hAnsi="Arial" w:cs="Arial"/>
          <w:sz w:val="22"/>
          <w:szCs w:val="22"/>
        </w:rPr>
        <w:t xml:space="preserve">, 8(11), </w:t>
      </w:r>
      <w:proofErr w:type="gramStart"/>
      <w:r w:rsidRPr="00D53E67">
        <w:rPr>
          <w:rFonts w:ascii="Arial" w:hAnsi="Arial" w:cs="Arial"/>
          <w:sz w:val="22"/>
          <w:szCs w:val="22"/>
        </w:rPr>
        <w:t>pp.e</w:t>
      </w:r>
      <w:proofErr w:type="gramEnd"/>
      <w:r w:rsidRPr="00D53E67">
        <w:rPr>
          <w:rFonts w:ascii="Arial" w:hAnsi="Arial" w:cs="Arial"/>
          <w:sz w:val="22"/>
          <w:szCs w:val="22"/>
        </w:rPr>
        <w:t xml:space="preserve">859–e867. doi: </w:t>
      </w:r>
      <w:hyperlink r:id="rId11" w:history="1">
        <w:r w:rsidRPr="00D53E67">
          <w:rPr>
            <w:rStyle w:val="Hyperlink"/>
            <w:rFonts w:ascii="Arial" w:hAnsi="Arial" w:cs="Arial"/>
            <w:sz w:val="22"/>
            <w:szCs w:val="22"/>
          </w:rPr>
          <w:t>https://doi.org/10.1016/s2468-2667(23)00214-1</w:t>
        </w:r>
      </w:hyperlink>
      <w:r w:rsidRPr="00D53E67">
        <w:rPr>
          <w:rFonts w:ascii="Arial" w:hAnsi="Arial" w:cs="Arial"/>
          <w:sz w:val="22"/>
          <w:szCs w:val="22"/>
        </w:rPr>
        <w:t xml:space="preserve">. </w:t>
      </w:r>
    </w:p>
    <w:p w14:paraId="7579839C"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lang w:val="it-IT"/>
        </w:rPr>
      </w:pPr>
      <w:r w:rsidRPr="00D53E67">
        <w:rPr>
          <w:rFonts w:ascii="Arial" w:hAnsi="Arial" w:cs="Arial"/>
          <w:sz w:val="22"/>
          <w:szCs w:val="22"/>
        </w:rPr>
        <w:t xml:space="preserve">Coupland, C. A. C., Hill, T., Dening, T., Morriss, R., Moore, M., &amp; Hippisley-Cox, J. (2022). Anticholinergic Drug Exposure and the Risk of Dementia. </w:t>
      </w:r>
      <w:r w:rsidRPr="00D53E67">
        <w:rPr>
          <w:rFonts w:ascii="Arial" w:hAnsi="Arial" w:cs="Arial"/>
          <w:i/>
          <w:iCs/>
          <w:sz w:val="22"/>
          <w:szCs w:val="22"/>
        </w:rPr>
        <w:t>JAMA Internal Medicine</w:t>
      </w:r>
      <w:r w:rsidRPr="00D53E67">
        <w:rPr>
          <w:rFonts w:ascii="Arial" w:hAnsi="Arial" w:cs="Arial"/>
          <w:sz w:val="22"/>
          <w:szCs w:val="22"/>
        </w:rPr>
        <w:t xml:space="preserve">, </w:t>
      </w:r>
      <w:r w:rsidRPr="00D53E67">
        <w:rPr>
          <w:rFonts w:ascii="Arial" w:hAnsi="Arial" w:cs="Arial"/>
          <w:i/>
          <w:iCs/>
          <w:sz w:val="22"/>
          <w:szCs w:val="22"/>
        </w:rPr>
        <w:t>179</w:t>
      </w:r>
      <w:r w:rsidRPr="00D53E67">
        <w:rPr>
          <w:rFonts w:ascii="Arial" w:hAnsi="Arial" w:cs="Arial"/>
          <w:sz w:val="22"/>
          <w:szCs w:val="22"/>
        </w:rPr>
        <w:t xml:space="preserve">(8), 1084. </w:t>
      </w:r>
      <w:hyperlink r:id="rId12" w:history="1">
        <w:r w:rsidRPr="00D53E67">
          <w:rPr>
            <w:rStyle w:val="Hyperlink"/>
            <w:rFonts w:ascii="Arial" w:hAnsi="Arial" w:cs="Arial"/>
            <w:sz w:val="22"/>
            <w:szCs w:val="22"/>
            <w:lang w:val="it-IT"/>
          </w:rPr>
          <w:t>https://doi.org/10.1001/jamainternmed.2019.0677</w:t>
        </w:r>
      </w:hyperlink>
      <w:r w:rsidRPr="00D53E67">
        <w:rPr>
          <w:rFonts w:ascii="Arial" w:hAnsi="Arial" w:cs="Arial"/>
          <w:sz w:val="22"/>
          <w:szCs w:val="22"/>
          <w:lang w:val="it-IT"/>
        </w:rPr>
        <w:t xml:space="preserve">  </w:t>
      </w:r>
    </w:p>
    <w:p w14:paraId="51BAF4E0" w14:textId="27595D51"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Cristofalo, A., Cascini, S., Cesaroni, G., Trappolini, E., Agabiti, N.</w:t>
      </w:r>
      <w:r w:rsidR="000E0A30" w:rsidRPr="00D53E67">
        <w:rPr>
          <w:rFonts w:ascii="Arial" w:hAnsi="Arial" w:cs="Arial"/>
          <w:sz w:val="22"/>
          <w:szCs w:val="22"/>
          <w:lang w:val="it-IT"/>
        </w:rPr>
        <w:t>,</w:t>
      </w:r>
      <w:r w:rsidRPr="00D53E67">
        <w:rPr>
          <w:rFonts w:ascii="Arial" w:hAnsi="Arial" w:cs="Arial"/>
          <w:sz w:val="22"/>
          <w:szCs w:val="22"/>
          <w:lang w:val="it-IT"/>
        </w:rPr>
        <w:t xml:space="preserve"> </w:t>
      </w:r>
      <w:r w:rsidR="000E0A30" w:rsidRPr="00D53E67">
        <w:rPr>
          <w:rFonts w:ascii="Arial" w:hAnsi="Arial" w:cs="Arial"/>
          <w:sz w:val="22"/>
          <w:szCs w:val="22"/>
          <w:lang w:val="it-IT"/>
        </w:rPr>
        <w:t>&amp;</w:t>
      </w:r>
      <w:r w:rsidRPr="00D53E67">
        <w:rPr>
          <w:rFonts w:ascii="Arial" w:hAnsi="Arial" w:cs="Arial"/>
          <w:sz w:val="22"/>
          <w:szCs w:val="22"/>
          <w:lang w:val="it-IT"/>
        </w:rPr>
        <w:t xml:space="preserve"> Bargagli, A.M. (2025). </w:t>
      </w:r>
      <w:r w:rsidRPr="00D53E67">
        <w:rPr>
          <w:rFonts w:ascii="Arial" w:hAnsi="Arial" w:cs="Arial"/>
          <w:sz w:val="22"/>
          <w:szCs w:val="22"/>
        </w:rPr>
        <w:t xml:space="preserve">Educational disparities in dementia incidence and healthcare </w:t>
      </w:r>
      <w:proofErr w:type="spellStart"/>
      <w:r w:rsidR="000E0A30" w:rsidRPr="00D53E67">
        <w:rPr>
          <w:rFonts w:ascii="Arial" w:hAnsi="Arial" w:cs="Arial"/>
          <w:sz w:val="22"/>
          <w:szCs w:val="22"/>
        </w:rPr>
        <w:t>utilisation</w:t>
      </w:r>
      <w:proofErr w:type="spellEnd"/>
      <w:r w:rsidRPr="00D53E67">
        <w:rPr>
          <w:rFonts w:ascii="Arial" w:hAnsi="Arial" w:cs="Arial"/>
          <w:sz w:val="22"/>
          <w:szCs w:val="22"/>
        </w:rPr>
        <w:t xml:space="preserve">: evidence from a cohort study in Italy. </w:t>
      </w:r>
      <w:r w:rsidRPr="00D53E67">
        <w:rPr>
          <w:rFonts w:ascii="Arial" w:hAnsi="Arial" w:cs="Arial"/>
          <w:i/>
          <w:iCs/>
          <w:sz w:val="22"/>
          <w:szCs w:val="22"/>
        </w:rPr>
        <w:t>Social Science &amp; Medicine</w:t>
      </w:r>
      <w:r w:rsidRPr="00D53E67">
        <w:rPr>
          <w:rFonts w:ascii="Arial" w:hAnsi="Arial" w:cs="Arial"/>
          <w:sz w:val="22"/>
          <w:szCs w:val="22"/>
        </w:rPr>
        <w:t xml:space="preserve">, 380, p.118233. doi:  </w:t>
      </w:r>
      <w:hyperlink r:id="rId13" w:history="1">
        <w:r w:rsidRPr="00D53E67">
          <w:rPr>
            <w:rStyle w:val="Hyperlink"/>
            <w:rFonts w:ascii="Arial" w:hAnsi="Arial" w:cs="Arial"/>
            <w:sz w:val="22"/>
            <w:szCs w:val="22"/>
          </w:rPr>
          <w:t>https://doi.org/10.1016/j.socscimed.2025.118233</w:t>
        </w:r>
      </w:hyperlink>
      <w:r w:rsidRPr="00D53E67">
        <w:rPr>
          <w:rFonts w:ascii="Arial" w:hAnsi="Arial" w:cs="Arial"/>
          <w:sz w:val="22"/>
          <w:szCs w:val="22"/>
        </w:rPr>
        <w:t xml:space="preserve"> </w:t>
      </w:r>
    </w:p>
    <w:p w14:paraId="0C51234C"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Daly, T.J. (2025). The impact of staffing structures in long-term care homes on the quality of work-life and work outcomes of care-workers: A narrative scoping review. </w:t>
      </w:r>
      <w:r w:rsidRPr="00D53E67">
        <w:rPr>
          <w:rFonts w:ascii="Arial" w:hAnsi="Arial" w:cs="Arial"/>
          <w:i/>
          <w:iCs/>
          <w:sz w:val="22"/>
          <w:szCs w:val="22"/>
        </w:rPr>
        <w:t>International Journal of Nursing Studies</w:t>
      </w:r>
      <w:r w:rsidRPr="00D53E67">
        <w:rPr>
          <w:rFonts w:ascii="Arial" w:hAnsi="Arial" w:cs="Arial"/>
          <w:sz w:val="22"/>
          <w:szCs w:val="22"/>
        </w:rPr>
        <w:t xml:space="preserve">, 174, pp.105304–105304. doi: </w:t>
      </w:r>
      <w:hyperlink r:id="rId14" w:history="1">
        <w:r w:rsidRPr="00D53E67">
          <w:rPr>
            <w:rStyle w:val="Hyperlink"/>
            <w:rFonts w:ascii="Arial" w:hAnsi="Arial" w:cs="Arial"/>
            <w:sz w:val="22"/>
            <w:szCs w:val="22"/>
          </w:rPr>
          <w:t>https://doi.org/10.1016/j.ijnurstu.2025.105304</w:t>
        </w:r>
      </w:hyperlink>
      <w:r w:rsidRPr="00D53E67">
        <w:rPr>
          <w:rFonts w:ascii="Arial" w:hAnsi="Arial" w:cs="Arial"/>
          <w:sz w:val="22"/>
          <w:szCs w:val="22"/>
        </w:rPr>
        <w:t xml:space="preserve"> </w:t>
      </w:r>
    </w:p>
    <w:p w14:paraId="1FC3DFFF" w14:textId="27B801AF"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Dukelow, T., Lawrence, E.G., Jacobson, L., Vassilev, P., Koychev, I., Muhammed, K.</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Kennelly, S.P. (2023). Modifiable risk factors for dementia, and awareness of brain </w:t>
      </w:r>
      <w:r w:rsidRPr="00D53E67">
        <w:rPr>
          <w:rFonts w:ascii="Arial" w:hAnsi="Arial" w:cs="Arial"/>
          <w:sz w:val="22"/>
          <w:szCs w:val="22"/>
        </w:rPr>
        <w:lastRenderedPageBreak/>
        <w:t xml:space="preserve">health </w:t>
      </w:r>
      <w:proofErr w:type="spellStart"/>
      <w:r w:rsidR="000E0A30" w:rsidRPr="00D53E67">
        <w:rPr>
          <w:rFonts w:ascii="Arial" w:hAnsi="Arial" w:cs="Arial"/>
          <w:sz w:val="22"/>
          <w:szCs w:val="22"/>
        </w:rPr>
        <w:t>behaviours</w:t>
      </w:r>
      <w:proofErr w:type="spellEnd"/>
      <w:r w:rsidRPr="00D53E67">
        <w:rPr>
          <w:rFonts w:ascii="Arial" w:hAnsi="Arial" w:cs="Arial"/>
          <w:sz w:val="22"/>
          <w:szCs w:val="22"/>
        </w:rPr>
        <w:t xml:space="preserve">: Results from the Five Lives Brain Health Ireland Survey (FLBHIS). </w:t>
      </w:r>
      <w:r w:rsidRPr="00D53E67">
        <w:rPr>
          <w:rFonts w:ascii="Arial" w:hAnsi="Arial" w:cs="Arial"/>
          <w:i/>
          <w:iCs/>
          <w:sz w:val="22"/>
          <w:szCs w:val="22"/>
        </w:rPr>
        <w:t>Frontiers in Psychology</w:t>
      </w:r>
      <w:r w:rsidRPr="00D53E67">
        <w:rPr>
          <w:rFonts w:ascii="Arial" w:hAnsi="Arial" w:cs="Arial"/>
          <w:sz w:val="22"/>
          <w:szCs w:val="22"/>
        </w:rPr>
        <w:t xml:space="preserve">, [online] 13. doi: </w:t>
      </w:r>
      <w:hyperlink r:id="rId15" w:history="1">
        <w:r w:rsidRPr="00D53E67">
          <w:rPr>
            <w:rStyle w:val="Hyperlink"/>
            <w:rFonts w:ascii="Arial" w:hAnsi="Arial" w:cs="Arial"/>
            <w:sz w:val="22"/>
            <w:szCs w:val="22"/>
          </w:rPr>
          <w:t>https://doi.org/10.3389/fpsyg.2022.1070259</w:t>
        </w:r>
      </w:hyperlink>
      <w:r w:rsidRPr="00D53E67">
        <w:rPr>
          <w:rFonts w:ascii="Arial" w:hAnsi="Arial" w:cs="Arial"/>
          <w:sz w:val="22"/>
          <w:szCs w:val="22"/>
        </w:rPr>
        <w:t xml:space="preserve"> </w:t>
      </w:r>
    </w:p>
    <w:p w14:paraId="3874F4C2" w14:textId="469C04B4"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Engel, L., Loxton, A., </w:t>
      </w:r>
      <w:proofErr w:type="spellStart"/>
      <w:r w:rsidRPr="00D53E67">
        <w:rPr>
          <w:rFonts w:ascii="Arial" w:hAnsi="Arial" w:cs="Arial"/>
          <w:sz w:val="22"/>
          <w:szCs w:val="22"/>
        </w:rPr>
        <w:t>Bucholc</w:t>
      </w:r>
      <w:proofErr w:type="spellEnd"/>
      <w:r w:rsidRPr="00D53E67">
        <w:rPr>
          <w:rFonts w:ascii="Arial" w:hAnsi="Arial" w:cs="Arial"/>
          <w:sz w:val="22"/>
          <w:szCs w:val="22"/>
        </w:rPr>
        <w:t>, J., Muldowney, A., Mihalopoulos, C.</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McCaffrey, N. (2022). Providing informal care to a person living with dementia: the experiences of informal carers in Australia. </w:t>
      </w:r>
      <w:r w:rsidRPr="00D53E67">
        <w:rPr>
          <w:rFonts w:ascii="Arial" w:hAnsi="Arial" w:cs="Arial"/>
          <w:i/>
          <w:iCs/>
          <w:sz w:val="22"/>
          <w:szCs w:val="22"/>
        </w:rPr>
        <w:t>Archives of Gerontology and Geriatrics</w:t>
      </w:r>
      <w:r w:rsidRPr="00D53E67">
        <w:rPr>
          <w:rFonts w:ascii="Arial" w:hAnsi="Arial" w:cs="Arial"/>
          <w:sz w:val="22"/>
          <w:szCs w:val="22"/>
        </w:rPr>
        <w:t xml:space="preserve">, 102, p.104742. doi: </w:t>
      </w:r>
      <w:hyperlink r:id="rId16" w:history="1">
        <w:r w:rsidRPr="00D53E67">
          <w:rPr>
            <w:rStyle w:val="Hyperlink"/>
            <w:rFonts w:ascii="Arial" w:hAnsi="Arial" w:cs="Arial"/>
            <w:sz w:val="22"/>
            <w:szCs w:val="22"/>
          </w:rPr>
          <w:t>https://doi.org/10.1016/j.archger.2022.104742</w:t>
        </w:r>
      </w:hyperlink>
      <w:r w:rsidRPr="00D53E67">
        <w:rPr>
          <w:rFonts w:ascii="Arial" w:hAnsi="Arial" w:cs="Arial"/>
          <w:sz w:val="22"/>
          <w:szCs w:val="22"/>
        </w:rPr>
        <w:t xml:space="preserve"> </w:t>
      </w:r>
    </w:p>
    <w:p w14:paraId="79DE7603" w14:textId="69EDDF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Francis, N.</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Hanna, P. (2020). Informal carer experiences of UK dementia services – a systematic review. </w:t>
      </w:r>
      <w:r w:rsidRPr="00D53E67">
        <w:rPr>
          <w:rFonts w:ascii="Arial" w:hAnsi="Arial" w:cs="Arial"/>
          <w:i/>
          <w:iCs/>
          <w:sz w:val="22"/>
          <w:szCs w:val="22"/>
        </w:rPr>
        <w:t>Journal of Psychiatric and Mental Health Nursing</w:t>
      </w:r>
      <w:r w:rsidRPr="00D53E67">
        <w:rPr>
          <w:rFonts w:ascii="Arial" w:hAnsi="Arial" w:cs="Arial"/>
          <w:sz w:val="22"/>
          <w:szCs w:val="22"/>
        </w:rPr>
        <w:t xml:space="preserve">, 29(1). doi: </w:t>
      </w:r>
      <w:hyperlink r:id="rId17" w:history="1">
        <w:r w:rsidRPr="00D53E67">
          <w:rPr>
            <w:rStyle w:val="Hyperlink"/>
            <w:rFonts w:ascii="Arial" w:hAnsi="Arial" w:cs="Arial"/>
            <w:sz w:val="22"/>
            <w:szCs w:val="22"/>
          </w:rPr>
          <w:t>https://doi.org/10.1111/jpm.12698</w:t>
        </w:r>
      </w:hyperlink>
      <w:r w:rsidRPr="00D53E67">
        <w:rPr>
          <w:rFonts w:ascii="Arial" w:hAnsi="Arial" w:cs="Arial"/>
          <w:sz w:val="22"/>
          <w:szCs w:val="22"/>
        </w:rPr>
        <w:t xml:space="preserve">. </w:t>
      </w:r>
    </w:p>
    <w:p w14:paraId="6662527D"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Gov.uk (2025). </w:t>
      </w:r>
      <w:r w:rsidRPr="00D53E67">
        <w:rPr>
          <w:rFonts w:ascii="Arial" w:hAnsi="Arial" w:cs="Arial"/>
          <w:i/>
          <w:iCs/>
          <w:sz w:val="22"/>
          <w:szCs w:val="22"/>
        </w:rPr>
        <w:t>Dementia profile: prevalence and supporting well topics statistical commentary, March 2025</w:t>
      </w:r>
      <w:r w:rsidRPr="00D53E67">
        <w:rPr>
          <w:rFonts w:ascii="Arial" w:hAnsi="Arial" w:cs="Arial"/>
          <w:sz w:val="22"/>
          <w:szCs w:val="22"/>
        </w:rPr>
        <w:t xml:space="preserve">. [online] GOV.UK. Available at: </w:t>
      </w:r>
      <w:hyperlink r:id="rId18" w:history="1">
        <w:r w:rsidRPr="00D53E67">
          <w:rPr>
            <w:rStyle w:val="Hyperlink"/>
            <w:rFonts w:ascii="Arial" w:hAnsi="Arial" w:cs="Arial"/>
            <w:sz w:val="22"/>
            <w:szCs w:val="22"/>
          </w:rPr>
          <w:t>https://www.gov.uk/government/statistics/dementia-profile-march-2025-update/dementia-profile-prevalence-and-supporting-well-topics-statistical-commentary-march-2025</w:t>
        </w:r>
      </w:hyperlink>
      <w:r w:rsidRPr="00D53E67">
        <w:rPr>
          <w:rFonts w:ascii="Arial" w:hAnsi="Arial" w:cs="Arial"/>
          <w:sz w:val="22"/>
          <w:szCs w:val="22"/>
        </w:rPr>
        <w:t xml:space="preserve">. </w:t>
      </w:r>
    </w:p>
    <w:p w14:paraId="650379EC"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Gwernan-Jones, R., </w:t>
      </w:r>
      <w:proofErr w:type="spellStart"/>
      <w:r w:rsidRPr="00D53E67">
        <w:rPr>
          <w:rFonts w:ascii="Arial" w:hAnsi="Arial" w:cs="Arial"/>
          <w:sz w:val="22"/>
          <w:szCs w:val="22"/>
        </w:rPr>
        <w:t>Lourida</w:t>
      </w:r>
      <w:proofErr w:type="spellEnd"/>
      <w:r w:rsidRPr="00D53E67">
        <w:rPr>
          <w:rFonts w:ascii="Arial" w:hAnsi="Arial" w:cs="Arial"/>
          <w:sz w:val="22"/>
          <w:szCs w:val="22"/>
        </w:rPr>
        <w:t xml:space="preserve">, I., Abbott, R.A., Rogers, M., Green, C., Ball, S., Hemsley, A., Cheeseman, D., Clare, L., Moore, D., Burton, J., Lawrence, S., Rogers, M., Hussey, C., Coxon, G., Llewellyn, D.J., Naldrett, T. and Thompson Coon, J. (2020). Understanding and improving experiences of care in hospital for people living with dementia, their </w:t>
      </w:r>
      <w:proofErr w:type="spellStart"/>
      <w:r w:rsidRPr="00D53E67">
        <w:rPr>
          <w:rFonts w:ascii="Arial" w:hAnsi="Arial" w:cs="Arial"/>
          <w:sz w:val="22"/>
          <w:szCs w:val="22"/>
        </w:rPr>
        <w:t>carers</w:t>
      </w:r>
      <w:proofErr w:type="spellEnd"/>
      <w:r w:rsidRPr="00D53E67">
        <w:rPr>
          <w:rFonts w:ascii="Arial" w:hAnsi="Arial" w:cs="Arial"/>
          <w:sz w:val="22"/>
          <w:szCs w:val="22"/>
        </w:rPr>
        <w:t xml:space="preserve"> and staff: three systematic reviews. </w:t>
      </w:r>
      <w:r w:rsidRPr="00D53E67">
        <w:rPr>
          <w:rFonts w:ascii="Arial" w:hAnsi="Arial" w:cs="Arial"/>
          <w:i/>
          <w:iCs/>
          <w:sz w:val="22"/>
          <w:szCs w:val="22"/>
        </w:rPr>
        <w:t>Health Services and Delivery Research</w:t>
      </w:r>
      <w:r w:rsidRPr="00D53E67">
        <w:rPr>
          <w:rFonts w:ascii="Arial" w:hAnsi="Arial" w:cs="Arial"/>
          <w:sz w:val="22"/>
          <w:szCs w:val="22"/>
        </w:rPr>
        <w:t xml:space="preserve">, 8(43), pp.1–248. doi: </w:t>
      </w:r>
      <w:hyperlink r:id="rId19" w:history="1">
        <w:r w:rsidRPr="00D53E67">
          <w:rPr>
            <w:rStyle w:val="Hyperlink"/>
            <w:rFonts w:ascii="Arial" w:hAnsi="Arial" w:cs="Arial"/>
            <w:sz w:val="22"/>
            <w:szCs w:val="22"/>
          </w:rPr>
          <w:t>https://doi.org/10.3310/hsdr08430</w:t>
        </w:r>
      </w:hyperlink>
      <w:r w:rsidRPr="00D53E67">
        <w:rPr>
          <w:rFonts w:ascii="Arial" w:hAnsi="Arial" w:cs="Arial"/>
          <w:sz w:val="22"/>
          <w:szCs w:val="22"/>
        </w:rPr>
        <w:t xml:space="preserve"> </w:t>
      </w:r>
    </w:p>
    <w:p w14:paraId="51693DE2" w14:textId="70546462"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proofErr w:type="spellStart"/>
      <w:r w:rsidRPr="00D53E67">
        <w:rPr>
          <w:rFonts w:ascii="Arial" w:hAnsi="Arial" w:cs="Arial"/>
          <w:sz w:val="22"/>
          <w:szCs w:val="22"/>
        </w:rPr>
        <w:t>Karacsony</w:t>
      </w:r>
      <w:proofErr w:type="spellEnd"/>
      <w:r w:rsidRPr="00D53E67">
        <w:rPr>
          <w:rFonts w:ascii="Arial" w:hAnsi="Arial" w:cs="Arial"/>
          <w:sz w:val="22"/>
          <w:szCs w:val="22"/>
        </w:rPr>
        <w:t xml:space="preserve">, S., Merl, H., O’Brien, J., Maxwell, H., Andrews, S., Greenwood, M., </w:t>
      </w:r>
      <w:proofErr w:type="gramStart"/>
      <w:r w:rsidRPr="00D53E67">
        <w:rPr>
          <w:rFonts w:ascii="Arial" w:hAnsi="Arial" w:cs="Arial"/>
          <w:sz w:val="22"/>
          <w:szCs w:val="22"/>
        </w:rPr>
        <w:t>Rouhi</w:t>
      </w:r>
      <w:proofErr w:type="gramEnd"/>
      <w:r w:rsidRPr="00D53E67">
        <w:rPr>
          <w:rFonts w:ascii="Arial" w:hAnsi="Arial" w:cs="Arial"/>
          <w:sz w:val="22"/>
          <w:szCs w:val="22"/>
        </w:rPr>
        <w:t>, M., McCann, D.</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Stirling, C. (2022). What are the Clinical and Social Outcomes of Integrated Care for Older People? A Qualitative Systematic Review. </w:t>
      </w:r>
      <w:r w:rsidRPr="00D53E67">
        <w:rPr>
          <w:rFonts w:ascii="Arial" w:hAnsi="Arial" w:cs="Arial"/>
          <w:i/>
          <w:iCs/>
          <w:sz w:val="22"/>
          <w:szCs w:val="22"/>
        </w:rPr>
        <w:t>International Journal of Integrated Care</w:t>
      </w:r>
      <w:r w:rsidRPr="00D53E67">
        <w:rPr>
          <w:rFonts w:ascii="Arial" w:hAnsi="Arial" w:cs="Arial"/>
          <w:sz w:val="22"/>
          <w:szCs w:val="22"/>
        </w:rPr>
        <w:t xml:space="preserve">, 22(3), p.14. doi: </w:t>
      </w:r>
      <w:hyperlink r:id="rId20" w:history="1">
        <w:r w:rsidRPr="00D53E67">
          <w:rPr>
            <w:rStyle w:val="Hyperlink"/>
            <w:rFonts w:ascii="Arial" w:hAnsi="Arial" w:cs="Arial"/>
            <w:sz w:val="22"/>
            <w:szCs w:val="22"/>
          </w:rPr>
          <w:t>https://doi.org/10.5334/ijic.6469</w:t>
        </w:r>
      </w:hyperlink>
      <w:r w:rsidRPr="00D53E67">
        <w:rPr>
          <w:rFonts w:ascii="Arial" w:hAnsi="Arial" w:cs="Arial"/>
          <w:sz w:val="22"/>
          <w:szCs w:val="22"/>
        </w:rPr>
        <w:t xml:space="preserve">.   </w:t>
      </w:r>
    </w:p>
    <w:p w14:paraId="4D77D733"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lastRenderedPageBreak/>
        <w:t xml:space="preserve">Marrow, R. K., Cronin, C., Ashby, V., Currid, T., &amp; Alexander, M. (2024). A Patient and Public Engagement Project to Inform Dementia Care in a UK Hospital Trust. </w:t>
      </w:r>
      <w:r w:rsidRPr="00D53E67">
        <w:rPr>
          <w:rFonts w:ascii="Arial" w:hAnsi="Arial" w:cs="Arial"/>
          <w:i/>
          <w:iCs/>
          <w:sz w:val="22"/>
          <w:szCs w:val="22"/>
        </w:rPr>
        <w:t>Health Expectations</w:t>
      </w:r>
      <w:r w:rsidRPr="00D53E67">
        <w:rPr>
          <w:rFonts w:ascii="Arial" w:hAnsi="Arial" w:cs="Arial"/>
          <w:sz w:val="22"/>
          <w:szCs w:val="22"/>
        </w:rPr>
        <w:t xml:space="preserve">, </w:t>
      </w:r>
      <w:r w:rsidRPr="00D53E67">
        <w:rPr>
          <w:rFonts w:ascii="Arial" w:hAnsi="Arial" w:cs="Arial"/>
          <w:i/>
          <w:iCs/>
          <w:sz w:val="22"/>
          <w:szCs w:val="22"/>
        </w:rPr>
        <w:t>27</w:t>
      </w:r>
      <w:r w:rsidRPr="00D53E67">
        <w:rPr>
          <w:rFonts w:ascii="Arial" w:hAnsi="Arial" w:cs="Arial"/>
          <w:sz w:val="22"/>
          <w:szCs w:val="22"/>
        </w:rPr>
        <w:t xml:space="preserve">(5). </w:t>
      </w:r>
      <w:hyperlink r:id="rId21" w:history="1">
        <w:r w:rsidRPr="00D53E67">
          <w:rPr>
            <w:rStyle w:val="Hyperlink"/>
            <w:rFonts w:ascii="Arial" w:hAnsi="Arial" w:cs="Arial"/>
            <w:sz w:val="22"/>
            <w:szCs w:val="22"/>
          </w:rPr>
          <w:t>https://doi.org/10.1111/hex.70024</w:t>
        </w:r>
      </w:hyperlink>
      <w:r w:rsidRPr="00D53E67">
        <w:rPr>
          <w:rFonts w:ascii="Arial" w:hAnsi="Arial" w:cs="Arial"/>
          <w:sz w:val="22"/>
          <w:szCs w:val="22"/>
        </w:rPr>
        <w:t xml:space="preserve"> </w:t>
      </w:r>
    </w:p>
    <w:p w14:paraId="0987A00A"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proofErr w:type="spellStart"/>
      <w:r w:rsidRPr="00D53E67">
        <w:rPr>
          <w:rFonts w:ascii="Arial" w:hAnsi="Arial" w:cs="Arial"/>
          <w:sz w:val="22"/>
          <w:szCs w:val="22"/>
        </w:rPr>
        <w:t>Nwadiugwu</w:t>
      </w:r>
      <w:proofErr w:type="spellEnd"/>
      <w:r w:rsidRPr="00D53E67">
        <w:rPr>
          <w:rFonts w:ascii="Arial" w:hAnsi="Arial" w:cs="Arial"/>
          <w:sz w:val="22"/>
          <w:szCs w:val="22"/>
        </w:rPr>
        <w:t>, M. (2020). Early-onset dementia: key issues using a relationship-</w:t>
      </w:r>
      <w:proofErr w:type="spellStart"/>
      <w:r w:rsidRPr="00D53E67">
        <w:rPr>
          <w:rFonts w:ascii="Arial" w:hAnsi="Arial" w:cs="Arial"/>
          <w:sz w:val="22"/>
          <w:szCs w:val="22"/>
        </w:rPr>
        <w:t>centred</w:t>
      </w:r>
      <w:proofErr w:type="spellEnd"/>
      <w:r w:rsidRPr="00D53E67">
        <w:rPr>
          <w:rFonts w:ascii="Arial" w:hAnsi="Arial" w:cs="Arial"/>
          <w:sz w:val="22"/>
          <w:szCs w:val="22"/>
        </w:rPr>
        <w:t xml:space="preserve"> care approach. </w:t>
      </w:r>
      <w:r w:rsidRPr="00D53E67">
        <w:rPr>
          <w:rFonts w:ascii="Arial" w:hAnsi="Arial" w:cs="Arial"/>
          <w:i/>
          <w:iCs/>
          <w:sz w:val="22"/>
          <w:szCs w:val="22"/>
        </w:rPr>
        <w:t>Postgraduate Medical Journal</w:t>
      </w:r>
      <w:r w:rsidRPr="00D53E67">
        <w:rPr>
          <w:rFonts w:ascii="Arial" w:hAnsi="Arial" w:cs="Arial"/>
          <w:sz w:val="22"/>
          <w:szCs w:val="22"/>
        </w:rPr>
        <w:t xml:space="preserve">, 97(1151), </w:t>
      </w:r>
      <w:proofErr w:type="gramStart"/>
      <w:r w:rsidRPr="00D53E67">
        <w:rPr>
          <w:rFonts w:ascii="Arial" w:hAnsi="Arial" w:cs="Arial"/>
          <w:sz w:val="22"/>
          <w:szCs w:val="22"/>
        </w:rPr>
        <w:t>p.postgradmedj</w:t>
      </w:r>
      <w:proofErr w:type="gramEnd"/>
      <w:r w:rsidRPr="00D53E67">
        <w:rPr>
          <w:rFonts w:ascii="Arial" w:hAnsi="Arial" w:cs="Arial"/>
          <w:sz w:val="22"/>
          <w:szCs w:val="22"/>
        </w:rPr>
        <w:t xml:space="preserve">-2020-138517. doi: </w:t>
      </w:r>
      <w:hyperlink r:id="rId22" w:history="1">
        <w:r w:rsidRPr="00D53E67">
          <w:rPr>
            <w:rStyle w:val="Hyperlink"/>
            <w:rFonts w:ascii="Arial" w:hAnsi="Arial" w:cs="Arial"/>
            <w:sz w:val="22"/>
            <w:szCs w:val="22"/>
          </w:rPr>
          <w:t>https://doi.org/10.1136/postgradmedj-2020-138517</w:t>
        </w:r>
      </w:hyperlink>
      <w:r w:rsidRPr="00D53E67">
        <w:rPr>
          <w:rFonts w:ascii="Arial" w:hAnsi="Arial" w:cs="Arial"/>
          <w:sz w:val="22"/>
          <w:szCs w:val="22"/>
        </w:rPr>
        <w:t xml:space="preserve"> </w:t>
      </w:r>
    </w:p>
    <w:p w14:paraId="33135150" w14:textId="18B35AAC"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Oba, H., Kadoya, Y., Okamoto, H., Matsuoka, T., Abe, Y., Shibata, K.</w:t>
      </w:r>
      <w:r w:rsidR="004F53BF" w:rsidRPr="00D53E67">
        <w:rPr>
          <w:rFonts w:ascii="Arial" w:hAnsi="Arial" w:cs="Arial"/>
          <w:sz w:val="22"/>
          <w:szCs w:val="22"/>
          <w:lang w:val="it-IT"/>
        </w:rPr>
        <w:t>,</w:t>
      </w:r>
      <w:r w:rsidRPr="00D53E67">
        <w:rPr>
          <w:rFonts w:ascii="Arial" w:hAnsi="Arial" w:cs="Arial"/>
          <w:sz w:val="22"/>
          <w:szCs w:val="22"/>
          <w:lang w:val="it-IT"/>
        </w:rPr>
        <w:t xml:space="preserve"> </w:t>
      </w:r>
      <w:r w:rsidR="004F53BF" w:rsidRPr="00D53E67">
        <w:rPr>
          <w:rFonts w:ascii="Arial" w:hAnsi="Arial" w:cs="Arial"/>
          <w:sz w:val="22"/>
          <w:szCs w:val="22"/>
          <w:lang w:val="it-IT"/>
        </w:rPr>
        <w:t>&amp;</w:t>
      </w:r>
      <w:r w:rsidRPr="00D53E67">
        <w:rPr>
          <w:rFonts w:ascii="Arial" w:hAnsi="Arial" w:cs="Arial"/>
          <w:sz w:val="22"/>
          <w:szCs w:val="22"/>
          <w:lang w:val="it-IT"/>
        </w:rPr>
        <w:t xml:space="preserve"> Narumoto, J. (2021). </w:t>
      </w:r>
      <w:r w:rsidRPr="00D53E67">
        <w:rPr>
          <w:rFonts w:ascii="Arial" w:hAnsi="Arial" w:cs="Arial"/>
          <w:sz w:val="22"/>
          <w:szCs w:val="22"/>
        </w:rPr>
        <w:t xml:space="preserve">The Economic Burden of Dementia: Evidence from a Survey of Households of People with Dementia and Their Caregivers. </w:t>
      </w:r>
      <w:r w:rsidRPr="00D53E67">
        <w:rPr>
          <w:rFonts w:ascii="Arial" w:hAnsi="Arial" w:cs="Arial"/>
          <w:i/>
          <w:iCs/>
          <w:sz w:val="22"/>
          <w:szCs w:val="22"/>
        </w:rPr>
        <w:t>International Journal of Environmental Research and Public Health</w:t>
      </w:r>
      <w:r w:rsidRPr="00D53E67">
        <w:rPr>
          <w:rFonts w:ascii="Arial" w:hAnsi="Arial" w:cs="Arial"/>
          <w:sz w:val="22"/>
          <w:szCs w:val="22"/>
        </w:rPr>
        <w:t xml:space="preserve">, [online] 18(5), p.2717. doi: </w:t>
      </w:r>
      <w:hyperlink r:id="rId23" w:history="1">
        <w:r w:rsidRPr="00D53E67">
          <w:rPr>
            <w:rStyle w:val="Hyperlink"/>
            <w:rFonts w:ascii="Arial" w:hAnsi="Arial" w:cs="Arial"/>
            <w:sz w:val="22"/>
            <w:szCs w:val="22"/>
          </w:rPr>
          <w:t>https://doi.org/10.3390/ijerph18052717</w:t>
        </w:r>
      </w:hyperlink>
      <w:r w:rsidRPr="00D53E67">
        <w:rPr>
          <w:rFonts w:ascii="Arial" w:hAnsi="Arial" w:cs="Arial"/>
          <w:sz w:val="22"/>
          <w:szCs w:val="22"/>
        </w:rPr>
        <w:t xml:space="preserve"> </w:t>
      </w:r>
    </w:p>
    <w:p w14:paraId="07232DF4" w14:textId="538D7F4F"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Olubunmi Kusoro, Roche, M., Del</w:t>
      </w:r>
      <w:r w:rsidRPr="00D53E67">
        <w:rPr>
          <w:rFonts w:ascii="Cambria Math" w:hAnsi="Cambria Math" w:cs="Cambria Math"/>
          <w:sz w:val="22"/>
          <w:szCs w:val="22"/>
          <w:lang w:val="it-IT"/>
        </w:rPr>
        <w:t>‐</w:t>
      </w:r>
      <w:r w:rsidRPr="00D53E67">
        <w:rPr>
          <w:rFonts w:ascii="Arial" w:hAnsi="Arial" w:cs="Arial"/>
          <w:sz w:val="22"/>
          <w:szCs w:val="22"/>
          <w:lang w:val="it-IT"/>
        </w:rPr>
        <w:t>Pino</w:t>
      </w:r>
      <w:r w:rsidRPr="00D53E67">
        <w:rPr>
          <w:rFonts w:ascii="Cambria Math" w:hAnsi="Cambria Math" w:cs="Cambria Math"/>
          <w:sz w:val="22"/>
          <w:szCs w:val="22"/>
          <w:lang w:val="it-IT"/>
        </w:rPr>
        <w:t>‐</w:t>
      </w:r>
      <w:r w:rsidRPr="00D53E67">
        <w:rPr>
          <w:rFonts w:ascii="Arial" w:hAnsi="Arial" w:cs="Arial"/>
          <w:sz w:val="22"/>
          <w:szCs w:val="22"/>
          <w:lang w:val="it-IT"/>
        </w:rPr>
        <w:t>Casado, R., Leung, P</w:t>
      </w:r>
      <w:r w:rsidR="004F53BF" w:rsidRPr="00D53E67">
        <w:rPr>
          <w:rFonts w:ascii="Arial" w:hAnsi="Arial" w:cs="Arial"/>
          <w:sz w:val="22"/>
          <w:szCs w:val="22"/>
          <w:lang w:val="it-IT"/>
        </w:rPr>
        <w:t>.,</w:t>
      </w:r>
      <w:r w:rsidRPr="00D53E67">
        <w:rPr>
          <w:rFonts w:ascii="Arial" w:hAnsi="Arial" w:cs="Arial"/>
          <w:sz w:val="22"/>
          <w:szCs w:val="22"/>
          <w:lang w:val="it-IT"/>
        </w:rPr>
        <w:t xml:space="preserve"> </w:t>
      </w:r>
      <w:r w:rsidR="004F53BF" w:rsidRPr="00D53E67">
        <w:rPr>
          <w:rFonts w:ascii="Arial" w:hAnsi="Arial" w:cs="Arial"/>
          <w:sz w:val="22"/>
          <w:szCs w:val="22"/>
          <w:lang w:val="it-IT"/>
        </w:rPr>
        <w:t>&amp;</w:t>
      </w:r>
      <w:r w:rsidRPr="00D53E67">
        <w:rPr>
          <w:rFonts w:ascii="Arial" w:hAnsi="Arial" w:cs="Arial"/>
          <w:sz w:val="22"/>
          <w:szCs w:val="22"/>
          <w:lang w:val="it-IT"/>
        </w:rPr>
        <w:t xml:space="preserve"> Orgeta, V. (2025). </w:t>
      </w:r>
      <w:r w:rsidRPr="00D53E67">
        <w:rPr>
          <w:rFonts w:ascii="Arial" w:hAnsi="Arial" w:cs="Arial"/>
          <w:sz w:val="22"/>
          <w:szCs w:val="22"/>
        </w:rPr>
        <w:t xml:space="preserve">Time to Diagnosis in Dementia: A Systematic Review </w:t>
      </w:r>
      <w:proofErr w:type="gramStart"/>
      <w:r w:rsidRPr="00D53E67">
        <w:rPr>
          <w:rFonts w:ascii="Arial" w:hAnsi="Arial" w:cs="Arial"/>
          <w:sz w:val="22"/>
          <w:szCs w:val="22"/>
        </w:rPr>
        <w:t>With</w:t>
      </w:r>
      <w:proofErr w:type="gramEnd"/>
      <w:r w:rsidRPr="00D53E67">
        <w:rPr>
          <w:rFonts w:ascii="Arial" w:hAnsi="Arial" w:cs="Arial"/>
          <w:sz w:val="22"/>
          <w:szCs w:val="22"/>
        </w:rPr>
        <w:t xml:space="preserve"> Meta</w:t>
      </w:r>
      <w:r w:rsidRPr="00D53E67">
        <w:rPr>
          <w:rFonts w:ascii="Cambria Math" w:hAnsi="Cambria Math" w:cs="Cambria Math"/>
          <w:sz w:val="22"/>
          <w:szCs w:val="22"/>
        </w:rPr>
        <w:t>‐</w:t>
      </w:r>
      <w:r w:rsidRPr="00D53E67">
        <w:rPr>
          <w:rFonts w:ascii="Arial" w:hAnsi="Arial" w:cs="Arial"/>
          <w:sz w:val="22"/>
          <w:szCs w:val="22"/>
        </w:rPr>
        <w:t xml:space="preserve">Analysis. </w:t>
      </w:r>
      <w:r w:rsidRPr="00D53E67">
        <w:rPr>
          <w:rFonts w:ascii="Arial" w:hAnsi="Arial" w:cs="Arial"/>
          <w:i/>
          <w:iCs/>
          <w:sz w:val="22"/>
          <w:szCs w:val="22"/>
        </w:rPr>
        <w:t>International Journal of Geriatric Psychiatry</w:t>
      </w:r>
      <w:r w:rsidRPr="00D53E67">
        <w:rPr>
          <w:rFonts w:ascii="Arial" w:hAnsi="Arial" w:cs="Arial"/>
          <w:sz w:val="22"/>
          <w:szCs w:val="22"/>
        </w:rPr>
        <w:t xml:space="preserve">, 40(7). Doi: </w:t>
      </w:r>
      <w:hyperlink r:id="rId24" w:history="1">
        <w:r w:rsidRPr="00D53E67">
          <w:rPr>
            <w:rStyle w:val="Hyperlink"/>
            <w:rFonts w:ascii="Arial" w:hAnsi="Arial" w:cs="Arial"/>
            <w:sz w:val="22"/>
            <w:szCs w:val="22"/>
          </w:rPr>
          <w:t>https://doi.org/10.1002/gps.70129</w:t>
        </w:r>
      </w:hyperlink>
      <w:r w:rsidRPr="00D53E67">
        <w:rPr>
          <w:rFonts w:ascii="Arial" w:hAnsi="Arial" w:cs="Arial"/>
          <w:sz w:val="22"/>
          <w:szCs w:val="22"/>
        </w:rPr>
        <w:t xml:space="preserve">.   </w:t>
      </w:r>
    </w:p>
    <w:p w14:paraId="6BA68C7B" w14:textId="5E98116C"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Parker, M., Barlow, S., Hoe, J.</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Aitken, L. (2020). Persistent barriers and facilitators to </w:t>
      </w:r>
      <w:proofErr w:type="gramStart"/>
      <w:r w:rsidRPr="00D53E67">
        <w:rPr>
          <w:rFonts w:ascii="Arial" w:hAnsi="Arial" w:cs="Arial"/>
          <w:sz w:val="22"/>
          <w:szCs w:val="22"/>
        </w:rPr>
        <w:t>seeking</w:t>
      </w:r>
      <w:proofErr w:type="gramEnd"/>
      <w:r w:rsidRPr="00D53E67">
        <w:rPr>
          <w:rFonts w:ascii="Arial" w:hAnsi="Arial" w:cs="Arial"/>
          <w:sz w:val="22"/>
          <w:szCs w:val="22"/>
        </w:rPr>
        <w:t xml:space="preserve"> help for a dementia diagnosis: a systematic review of 30 years of the perspectives of carers and people with dementia. </w:t>
      </w:r>
      <w:r w:rsidRPr="00D53E67">
        <w:rPr>
          <w:rFonts w:ascii="Arial" w:hAnsi="Arial" w:cs="Arial"/>
          <w:i/>
          <w:iCs/>
          <w:sz w:val="22"/>
          <w:szCs w:val="22"/>
        </w:rPr>
        <w:t>International Psychogeriatrics</w:t>
      </w:r>
      <w:r w:rsidRPr="00D53E67">
        <w:rPr>
          <w:rFonts w:ascii="Arial" w:hAnsi="Arial" w:cs="Arial"/>
          <w:sz w:val="22"/>
          <w:szCs w:val="22"/>
        </w:rPr>
        <w:t xml:space="preserve">, 32(5), pp.1–24. doi: </w:t>
      </w:r>
      <w:hyperlink r:id="rId25" w:history="1">
        <w:r w:rsidRPr="00D53E67">
          <w:rPr>
            <w:rStyle w:val="Hyperlink"/>
            <w:rFonts w:ascii="Arial" w:hAnsi="Arial" w:cs="Arial"/>
            <w:sz w:val="22"/>
            <w:szCs w:val="22"/>
          </w:rPr>
          <w:t>https://doi.org/10.1017/s1041610219002229</w:t>
        </w:r>
      </w:hyperlink>
      <w:r w:rsidRPr="00D53E67">
        <w:rPr>
          <w:rFonts w:ascii="Arial" w:hAnsi="Arial" w:cs="Arial"/>
          <w:sz w:val="22"/>
          <w:szCs w:val="22"/>
        </w:rPr>
        <w:t xml:space="preserve"> </w:t>
      </w:r>
    </w:p>
    <w:p w14:paraId="6F683647" w14:textId="49E534CA"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Pyne, J.D.</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Brickman, A.M. (2021). The impact of the COVID-19 pandemic on dementia risk: Potential pathways to cognitive decline. </w:t>
      </w:r>
      <w:r w:rsidRPr="00D53E67">
        <w:rPr>
          <w:rFonts w:ascii="Arial" w:hAnsi="Arial" w:cs="Arial"/>
          <w:i/>
          <w:iCs/>
          <w:sz w:val="22"/>
          <w:szCs w:val="22"/>
        </w:rPr>
        <w:t>Neurodegenerative Diseases</w:t>
      </w:r>
      <w:r w:rsidRPr="00D53E67">
        <w:rPr>
          <w:rFonts w:ascii="Arial" w:hAnsi="Arial" w:cs="Arial"/>
          <w:sz w:val="22"/>
          <w:szCs w:val="22"/>
        </w:rPr>
        <w:t xml:space="preserve">, 21(1-2). doi: </w:t>
      </w:r>
      <w:hyperlink r:id="rId26" w:history="1">
        <w:r w:rsidRPr="00D53E67">
          <w:rPr>
            <w:rStyle w:val="Hyperlink"/>
            <w:rFonts w:ascii="Arial" w:hAnsi="Arial" w:cs="Arial"/>
            <w:sz w:val="22"/>
            <w:szCs w:val="22"/>
          </w:rPr>
          <w:t>https://doi.org/10.1159/000518581</w:t>
        </w:r>
      </w:hyperlink>
      <w:r w:rsidRPr="00D53E67">
        <w:rPr>
          <w:rFonts w:ascii="Arial" w:hAnsi="Arial" w:cs="Arial"/>
          <w:sz w:val="22"/>
          <w:szCs w:val="22"/>
        </w:rPr>
        <w:t xml:space="preserve">.   </w:t>
      </w:r>
    </w:p>
    <w:p w14:paraId="0BF73BB4"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Quinn, C., Young, H., Stamou, V., Gridley, K., Mason, C., &amp; </w:t>
      </w:r>
      <w:proofErr w:type="spellStart"/>
      <w:r w:rsidRPr="00D53E67">
        <w:rPr>
          <w:rFonts w:ascii="Arial" w:hAnsi="Arial" w:cs="Arial"/>
          <w:sz w:val="22"/>
          <w:szCs w:val="22"/>
        </w:rPr>
        <w:t>Oyebode</w:t>
      </w:r>
      <w:proofErr w:type="spellEnd"/>
      <w:r w:rsidRPr="00D53E67">
        <w:rPr>
          <w:rFonts w:ascii="Arial" w:hAnsi="Arial" w:cs="Arial"/>
          <w:sz w:val="22"/>
          <w:szCs w:val="22"/>
        </w:rPr>
        <w:t xml:space="preserve">, J. (2025). Professionals’ Views on Social Care Planning and Provision for People </w:t>
      </w:r>
      <w:proofErr w:type="gramStart"/>
      <w:r w:rsidRPr="00D53E67">
        <w:rPr>
          <w:rFonts w:ascii="Arial" w:hAnsi="Arial" w:cs="Arial"/>
          <w:sz w:val="22"/>
          <w:szCs w:val="22"/>
        </w:rPr>
        <w:t>With</w:t>
      </w:r>
      <w:proofErr w:type="gramEnd"/>
      <w:r w:rsidRPr="00D53E67">
        <w:rPr>
          <w:rFonts w:ascii="Arial" w:hAnsi="Arial" w:cs="Arial"/>
          <w:sz w:val="22"/>
          <w:szCs w:val="22"/>
        </w:rPr>
        <w:t xml:space="preserve"> Young</w:t>
      </w:r>
      <w:r w:rsidRPr="00D53E67">
        <w:rPr>
          <w:rFonts w:ascii="Cambria Math" w:hAnsi="Cambria Math" w:cs="Cambria Math"/>
          <w:sz w:val="22"/>
          <w:szCs w:val="22"/>
        </w:rPr>
        <w:t>‐</w:t>
      </w:r>
      <w:r w:rsidRPr="00D53E67">
        <w:rPr>
          <w:rFonts w:ascii="Arial" w:hAnsi="Arial" w:cs="Arial"/>
          <w:sz w:val="22"/>
          <w:szCs w:val="22"/>
        </w:rPr>
        <w:t xml:space="preserve">Onset Dementia and Their Families in England: Findings </w:t>
      </w:r>
      <w:proofErr w:type="gramStart"/>
      <w:r w:rsidRPr="00D53E67">
        <w:rPr>
          <w:rFonts w:ascii="Arial" w:hAnsi="Arial" w:cs="Arial"/>
          <w:sz w:val="22"/>
          <w:szCs w:val="22"/>
        </w:rPr>
        <w:t>From</w:t>
      </w:r>
      <w:proofErr w:type="gramEnd"/>
      <w:r w:rsidRPr="00D53E67">
        <w:rPr>
          <w:rFonts w:ascii="Arial" w:hAnsi="Arial" w:cs="Arial"/>
          <w:sz w:val="22"/>
          <w:szCs w:val="22"/>
        </w:rPr>
        <w:t xml:space="preserve"> the DYNAMIC Study. </w:t>
      </w:r>
      <w:r w:rsidRPr="00D53E67">
        <w:rPr>
          <w:rFonts w:ascii="Arial" w:hAnsi="Arial" w:cs="Arial"/>
          <w:i/>
          <w:iCs/>
          <w:sz w:val="22"/>
          <w:szCs w:val="22"/>
        </w:rPr>
        <w:t>International Journal of Geriatric Psychiatry</w:t>
      </w:r>
      <w:r w:rsidRPr="00D53E67">
        <w:rPr>
          <w:rFonts w:ascii="Arial" w:hAnsi="Arial" w:cs="Arial"/>
          <w:sz w:val="22"/>
          <w:szCs w:val="22"/>
        </w:rPr>
        <w:t xml:space="preserve">, </w:t>
      </w:r>
      <w:r w:rsidRPr="00D53E67">
        <w:rPr>
          <w:rFonts w:ascii="Arial" w:hAnsi="Arial" w:cs="Arial"/>
          <w:i/>
          <w:iCs/>
          <w:sz w:val="22"/>
          <w:szCs w:val="22"/>
        </w:rPr>
        <w:t>40</w:t>
      </w:r>
      <w:r w:rsidRPr="00D53E67">
        <w:rPr>
          <w:rFonts w:ascii="Arial" w:hAnsi="Arial" w:cs="Arial"/>
          <w:sz w:val="22"/>
          <w:szCs w:val="22"/>
        </w:rPr>
        <w:t xml:space="preserve">(9). </w:t>
      </w:r>
      <w:hyperlink r:id="rId27" w:history="1">
        <w:r w:rsidRPr="00D53E67">
          <w:rPr>
            <w:rStyle w:val="Hyperlink"/>
            <w:rFonts w:ascii="Arial" w:hAnsi="Arial" w:cs="Arial"/>
            <w:sz w:val="22"/>
            <w:szCs w:val="22"/>
          </w:rPr>
          <w:t>https://doi.org/10.1002/gps.70155</w:t>
        </w:r>
      </w:hyperlink>
      <w:r w:rsidRPr="00D53E67">
        <w:rPr>
          <w:rFonts w:ascii="Arial" w:hAnsi="Arial" w:cs="Arial"/>
          <w:sz w:val="22"/>
          <w:szCs w:val="22"/>
        </w:rPr>
        <w:t xml:space="preserve"> </w:t>
      </w:r>
    </w:p>
    <w:p w14:paraId="26BA3040" w14:textId="18F40B3A"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Zheng, </w:t>
      </w:r>
      <w:r w:rsidR="00123069" w:rsidRPr="00D53E67">
        <w:rPr>
          <w:rFonts w:ascii="Arial" w:hAnsi="Arial" w:cs="Arial"/>
          <w:sz w:val="22"/>
          <w:szCs w:val="22"/>
        </w:rPr>
        <w:t>Y.-B.</w:t>
      </w:r>
      <w:r w:rsidRPr="00D53E67">
        <w:rPr>
          <w:rFonts w:ascii="Arial" w:hAnsi="Arial" w:cs="Arial"/>
          <w:sz w:val="22"/>
          <w:szCs w:val="22"/>
        </w:rPr>
        <w:t xml:space="preserve">, Shi, L., Zhu, </w:t>
      </w:r>
      <w:r w:rsidR="00123069" w:rsidRPr="00D53E67">
        <w:rPr>
          <w:rFonts w:ascii="Arial" w:hAnsi="Arial" w:cs="Arial"/>
          <w:sz w:val="22"/>
          <w:szCs w:val="22"/>
        </w:rPr>
        <w:t>X.-M.</w:t>
      </w:r>
      <w:r w:rsidRPr="00D53E67">
        <w:rPr>
          <w:rFonts w:ascii="Arial" w:hAnsi="Arial" w:cs="Arial"/>
          <w:sz w:val="22"/>
          <w:szCs w:val="22"/>
        </w:rPr>
        <w:t xml:space="preserve">, Bao, </w:t>
      </w:r>
      <w:r w:rsidR="00123069" w:rsidRPr="00D53E67">
        <w:rPr>
          <w:rFonts w:ascii="Arial" w:hAnsi="Arial" w:cs="Arial"/>
          <w:sz w:val="22"/>
          <w:szCs w:val="22"/>
        </w:rPr>
        <w:t>Y.-P.</w:t>
      </w:r>
      <w:r w:rsidRPr="00D53E67">
        <w:rPr>
          <w:rFonts w:ascii="Arial" w:hAnsi="Arial" w:cs="Arial"/>
          <w:sz w:val="22"/>
          <w:szCs w:val="22"/>
        </w:rPr>
        <w:t xml:space="preserve">, Bai, </w:t>
      </w:r>
      <w:r w:rsidR="00123069" w:rsidRPr="00D53E67">
        <w:rPr>
          <w:rFonts w:ascii="Arial" w:hAnsi="Arial" w:cs="Arial"/>
          <w:sz w:val="22"/>
          <w:szCs w:val="22"/>
        </w:rPr>
        <w:t>L.-J.</w:t>
      </w:r>
      <w:r w:rsidRPr="00D53E67">
        <w:rPr>
          <w:rFonts w:ascii="Arial" w:hAnsi="Arial" w:cs="Arial"/>
          <w:sz w:val="22"/>
          <w:szCs w:val="22"/>
        </w:rPr>
        <w:t xml:space="preserve">, Li, </w:t>
      </w:r>
      <w:r w:rsidR="00123069" w:rsidRPr="00D53E67">
        <w:rPr>
          <w:rFonts w:ascii="Arial" w:hAnsi="Arial" w:cs="Arial"/>
          <w:sz w:val="22"/>
          <w:szCs w:val="22"/>
        </w:rPr>
        <w:t>J.-Q.</w:t>
      </w:r>
      <w:r w:rsidRPr="00D53E67">
        <w:rPr>
          <w:rFonts w:ascii="Arial" w:hAnsi="Arial" w:cs="Arial"/>
          <w:sz w:val="22"/>
          <w:szCs w:val="22"/>
        </w:rPr>
        <w:t xml:space="preserve">, Liu, </w:t>
      </w:r>
      <w:r w:rsidR="00123069" w:rsidRPr="00D53E67">
        <w:rPr>
          <w:rFonts w:ascii="Arial" w:hAnsi="Arial" w:cs="Arial"/>
          <w:sz w:val="22"/>
          <w:szCs w:val="22"/>
        </w:rPr>
        <w:t>J.-J.</w:t>
      </w:r>
      <w:r w:rsidRPr="00D53E67">
        <w:rPr>
          <w:rFonts w:ascii="Arial" w:hAnsi="Arial" w:cs="Arial"/>
          <w:sz w:val="22"/>
          <w:szCs w:val="22"/>
        </w:rPr>
        <w:t>, Han, Y., Shi, J.</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Lu, L. (2021). Anticholinergic drugs and the risk of dementia: A systematic review and meta-</w:t>
      </w:r>
      <w:r w:rsidRPr="00D53E67">
        <w:rPr>
          <w:rFonts w:ascii="Arial" w:hAnsi="Arial" w:cs="Arial"/>
          <w:sz w:val="22"/>
          <w:szCs w:val="22"/>
        </w:rPr>
        <w:lastRenderedPageBreak/>
        <w:t xml:space="preserve">analysis. </w:t>
      </w:r>
      <w:r w:rsidRPr="00D53E67">
        <w:rPr>
          <w:rFonts w:ascii="Arial" w:hAnsi="Arial" w:cs="Arial"/>
          <w:i/>
          <w:iCs/>
          <w:sz w:val="22"/>
          <w:szCs w:val="22"/>
        </w:rPr>
        <w:t>Neuroscience &amp; Biobehavioral Reviews</w:t>
      </w:r>
      <w:r w:rsidRPr="00D53E67">
        <w:rPr>
          <w:rFonts w:ascii="Arial" w:hAnsi="Arial" w:cs="Arial"/>
          <w:sz w:val="22"/>
          <w:szCs w:val="22"/>
        </w:rPr>
        <w:t xml:space="preserve">, 127, pp.296–306. doi: </w:t>
      </w:r>
      <w:hyperlink r:id="rId28" w:history="1">
        <w:r w:rsidRPr="00D53E67">
          <w:rPr>
            <w:rStyle w:val="Hyperlink"/>
            <w:rFonts w:ascii="Arial" w:hAnsi="Arial" w:cs="Arial"/>
            <w:sz w:val="22"/>
            <w:szCs w:val="22"/>
          </w:rPr>
          <w:t>https://doi.org/10.1016/j.neubiorev.2021.04.031</w:t>
        </w:r>
      </w:hyperlink>
      <w:r w:rsidRPr="00D53E67">
        <w:rPr>
          <w:rFonts w:ascii="Arial" w:hAnsi="Arial" w:cs="Arial"/>
          <w:sz w:val="22"/>
          <w:szCs w:val="22"/>
        </w:rPr>
        <w:t xml:space="preserve"> </w:t>
      </w:r>
    </w:p>
    <w:p w14:paraId="0784517F"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p>
    <w:p w14:paraId="6F4CF340" w14:textId="77777777" w:rsidR="00C34EAB" w:rsidRPr="00D53E67" w:rsidRDefault="00C34EAB" w:rsidP="00EA32EA">
      <w:pPr>
        <w:pStyle w:val="NormalWeb"/>
        <w:spacing w:before="0" w:beforeAutospacing="0" w:after="0" w:afterAutospacing="0" w:line="480" w:lineRule="auto"/>
        <w:ind w:left="720" w:hanging="720"/>
        <w:rPr>
          <w:rFonts w:ascii="Arial" w:hAnsi="Arial" w:cs="Arial"/>
          <w:sz w:val="22"/>
          <w:szCs w:val="22"/>
        </w:rPr>
      </w:pPr>
    </w:p>
    <w:p w14:paraId="471AF4A4" w14:textId="77777777" w:rsidR="00EA32EA" w:rsidRPr="00D53E67" w:rsidRDefault="00EA32EA" w:rsidP="00EA32EA">
      <w:pPr>
        <w:pStyle w:val="NormalWeb"/>
        <w:spacing w:before="0" w:beforeAutospacing="0" w:after="0" w:afterAutospacing="0" w:line="480" w:lineRule="auto"/>
        <w:ind w:left="720" w:hanging="720"/>
        <w:rPr>
          <w:rFonts w:ascii="Arial" w:hAnsi="Arial" w:cs="Arial"/>
          <w:sz w:val="22"/>
          <w:szCs w:val="22"/>
        </w:rPr>
      </w:pPr>
    </w:p>
    <w:p w14:paraId="4FE9CCA8" w14:textId="6D63A8DB" w:rsidR="00EA32EA" w:rsidRPr="00D53E67" w:rsidRDefault="00EA32EA" w:rsidP="00EA32EA">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  </w:t>
      </w:r>
    </w:p>
    <w:p w14:paraId="48A2F611" w14:textId="5CE53235" w:rsidR="00EA32EA" w:rsidRPr="00D53E67" w:rsidRDefault="00EA32EA" w:rsidP="00AD08F7">
      <w:pPr>
        <w:spacing w:after="0" w:line="480" w:lineRule="auto"/>
        <w:ind w:firstLine="720"/>
        <w:jc w:val="both"/>
        <w:rPr>
          <w:rFonts w:ascii="Arial" w:hAnsi="Arial" w:cs="Arial"/>
          <w:sz w:val="22"/>
          <w:szCs w:val="22"/>
        </w:rPr>
      </w:pPr>
    </w:p>
    <w:sectPr w:rsidR="00EA32EA" w:rsidRPr="00D53E67">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24152" w14:textId="77777777" w:rsidR="00E7351E" w:rsidRDefault="00E7351E" w:rsidP="00602C22">
      <w:pPr>
        <w:spacing w:after="0" w:line="240" w:lineRule="auto"/>
      </w:pPr>
      <w:r>
        <w:separator/>
      </w:r>
    </w:p>
  </w:endnote>
  <w:endnote w:type="continuationSeparator" w:id="0">
    <w:p w14:paraId="3B6673DC" w14:textId="77777777" w:rsidR="00E7351E" w:rsidRDefault="00E7351E" w:rsidP="00602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27B7" w14:textId="77777777" w:rsidR="00E7351E" w:rsidRDefault="00E7351E" w:rsidP="00602C22">
      <w:pPr>
        <w:spacing w:after="0" w:line="240" w:lineRule="auto"/>
      </w:pPr>
      <w:r>
        <w:separator/>
      </w:r>
    </w:p>
  </w:footnote>
  <w:footnote w:type="continuationSeparator" w:id="0">
    <w:p w14:paraId="242151D9" w14:textId="77777777" w:rsidR="00E7351E" w:rsidRDefault="00E7351E" w:rsidP="00602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787806"/>
      <w:docPartObj>
        <w:docPartGallery w:val="Page Numbers (Top of Page)"/>
        <w:docPartUnique/>
      </w:docPartObj>
    </w:sdtPr>
    <w:sdtEndPr>
      <w:rPr>
        <w:rFonts w:ascii="Times New Roman" w:hAnsi="Times New Roman" w:cs="Times New Roman"/>
        <w:noProof/>
      </w:rPr>
    </w:sdtEndPr>
    <w:sdtContent>
      <w:p w14:paraId="0981BDCA" w14:textId="1AAA617F" w:rsidR="00C34EAB" w:rsidRPr="00C34EAB" w:rsidRDefault="00C34EAB">
        <w:pPr>
          <w:pStyle w:val="Header"/>
          <w:jc w:val="right"/>
          <w:rPr>
            <w:rFonts w:ascii="Times New Roman" w:hAnsi="Times New Roman" w:cs="Times New Roman"/>
          </w:rPr>
        </w:pPr>
        <w:r w:rsidRPr="00C34EAB">
          <w:rPr>
            <w:rFonts w:ascii="Times New Roman" w:hAnsi="Times New Roman" w:cs="Times New Roman"/>
          </w:rPr>
          <w:fldChar w:fldCharType="begin"/>
        </w:r>
        <w:r w:rsidRPr="00C34EAB">
          <w:rPr>
            <w:rFonts w:ascii="Times New Roman" w:hAnsi="Times New Roman" w:cs="Times New Roman"/>
          </w:rPr>
          <w:instrText xml:space="preserve"> PAGE   \* MERGEFORMAT </w:instrText>
        </w:r>
        <w:r w:rsidRPr="00C34EAB">
          <w:rPr>
            <w:rFonts w:ascii="Times New Roman" w:hAnsi="Times New Roman" w:cs="Times New Roman"/>
          </w:rPr>
          <w:fldChar w:fldCharType="separate"/>
        </w:r>
        <w:r w:rsidRPr="00C34EAB">
          <w:rPr>
            <w:rFonts w:ascii="Times New Roman" w:hAnsi="Times New Roman" w:cs="Times New Roman"/>
            <w:noProof/>
          </w:rPr>
          <w:t>2</w:t>
        </w:r>
        <w:r w:rsidRPr="00C34EAB">
          <w:rPr>
            <w:rFonts w:ascii="Times New Roman" w:hAnsi="Times New Roman" w:cs="Times New Roman"/>
            <w:noProof/>
          </w:rPr>
          <w:fldChar w:fldCharType="end"/>
        </w:r>
      </w:p>
    </w:sdtContent>
  </w:sdt>
  <w:p w14:paraId="71461654" w14:textId="77777777" w:rsidR="00C34EAB" w:rsidRDefault="00C34E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7672CF"/>
    <w:multiLevelType w:val="hybridMultilevel"/>
    <w:tmpl w:val="8C2AA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446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U1MbU0tTQGIgNTIyUdpeDU4uLM/DyQAuNaAAcETOksAAAA"/>
  </w:docVars>
  <w:rsids>
    <w:rsidRoot w:val="007F6F4D"/>
    <w:rsid w:val="000045A4"/>
    <w:rsid w:val="000426B0"/>
    <w:rsid w:val="000E0A30"/>
    <w:rsid w:val="000F4582"/>
    <w:rsid w:val="00123069"/>
    <w:rsid w:val="00127B88"/>
    <w:rsid w:val="00151860"/>
    <w:rsid w:val="0016497C"/>
    <w:rsid w:val="001C7387"/>
    <w:rsid w:val="00274AD4"/>
    <w:rsid w:val="003A30A0"/>
    <w:rsid w:val="003B229A"/>
    <w:rsid w:val="0045387E"/>
    <w:rsid w:val="00474A65"/>
    <w:rsid w:val="00496ED9"/>
    <w:rsid w:val="004F4620"/>
    <w:rsid w:val="004F53BF"/>
    <w:rsid w:val="005245F8"/>
    <w:rsid w:val="00541CF3"/>
    <w:rsid w:val="005567DC"/>
    <w:rsid w:val="005B487C"/>
    <w:rsid w:val="00602C22"/>
    <w:rsid w:val="00604867"/>
    <w:rsid w:val="0061429B"/>
    <w:rsid w:val="00620C63"/>
    <w:rsid w:val="006316BA"/>
    <w:rsid w:val="006D1750"/>
    <w:rsid w:val="00731D51"/>
    <w:rsid w:val="00752583"/>
    <w:rsid w:val="00753D2F"/>
    <w:rsid w:val="007652CC"/>
    <w:rsid w:val="00765B01"/>
    <w:rsid w:val="00771713"/>
    <w:rsid w:val="007F6F4D"/>
    <w:rsid w:val="008401B0"/>
    <w:rsid w:val="008B3E42"/>
    <w:rsid w:val="008D775B"/>
    <w:rsid w:val="009058B0"/>
    <w:rsid w:val="009128FC"/>
    <w:rsid w:val="009374E3"/>
    <w:rsid w:val="009D3EC5"/>
    <w:rsid w:val="009F2C42"/>
    <w:rsid w:val="00A07FED"/>
    <w:rsid w:val="00A318DF"/>
    <w:rsid w:val="00A33F2B"/>
    <w:rsid w:val="00A910F0"/>
    <w:rsid w:val="00A97BDB"/>
    <w:rsid w:val="00AA02F3"/>
    <w:rsid w:val="00AD08F7"/>
    <w:rsid w:val="00B53B57"/>
    <w:rsid w:val="00B65EB6"/>
    <w:rsid w:val="00BA15B9"/>
    <w:rsid w:val="00BB6B13"/>
    <w:rsid w:val="00C34EAB"/>
    <w:rsid w:val="00D26BB1"/>
    <w:rsid w:val="00D53E67"/>
    <w:rsid w:val="00D5575B"/>
    <w:rsid w:val="00D61D71"/>
    <w:rsid w:val="00E62611"/>
    <w:rsid w:val="00E7351E"/>
    <w:rsid w:val="00EA22EA"/>
    <w:rsid w:val="00EA32EA"/>
    <w:rsid w:val="00EC102C"/>
    <w:rsid w:val="00ED2EA8"/>
    <w:rsid w:val="00EE65EF"/>
    <w:rsid w:val="00EF6CFA"/>
    <w:rsid w:val="00F32C6E"/>
    <w:rsid w:val="00F72F30"/>
    <w:rsid w:val="00F97F8C"/>
    <w:rsid w:val="00FC2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718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F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6F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6F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F6F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6F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6F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F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F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F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F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6F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6F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F6F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6F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6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F4D"/>
    <w:rPr>
      <w:rFonts w:eastAsiaTheme="majorEastAsia" w:cstheme="majorBidi"/>
      <w:color w:val="272727" w:themeColor="text1" w:themeTint="D8"/>
    </w:rPr>
  </w:style>
  <w:style w:type="paragraph" w:styleId="Title">
    <w:name w:val="Title"/>
    <w:basedOn w:val="Normal"/>
    <w:next w:val="Normal"/>
    <w:link w:val="TitleChar"/>
    <w:uiPriority w:val="10"/>
    <w:qFormat/>
    <w:rsid w:val="007F6F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F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F4D"/>
    <w:pPr>
      <w:spacing w:before="160"/>
      <w:jc w:val="center"/>
    </w:pPr>
    <w:rPr>
      <w:i/>
      <w:iCs/>
      <w:color w:val="404040" w:themeColor="text1" w:themeTint="BF"/>
    </w:rPr>
  </w:style>
  <w:style w:type="character" w:customStyle="1" w:styleId="QuoteChar">
    <w:name w:val="Quote Char"/>
    <w:basedOn w:val="DefaultParagraphFont"/>
    <w:link w:val="Quote"/>
    <w:uiPriority w:val="29"/>
    <w:rsid w:val="007F6F4D"/>
    <w:rPr>
      <w:i/>
      <w:iCs/>
      <w:color w:val="404040" w:themeColor="text1" w:themeTint="BF"/>
    </w:rPr>
  </w:style>
  <w:style w:type="paragraph" w:styleId="ListParagraph">
    <w:name w:val="List Paragraph"/>
    <w:basedOn w:val="Normal"/>
    <w:uiPriority w:val="34"/>
    <w:qFormat/>
    <w:rsid w:val="007F6F4D"/>
    <w:pPr>
      <w:ind w:left="720"/>
      <w:contextualSpacing/>
    </w:pPr>
  </w:style>
  <w:style w:type="character" w:styleId="IntenseEmphasis">
    <w:name w:val="Intense Emphasis"/>
    <w:basedOn w:val="DefaultParagraphFont"/>
    <w:uiPriority w:val="21"/>
    <w:qFormat/>
    <w:rsid w:val="007F6F4D"/>
    <w:rPr>
      <w:i/>
      <w:iCs/>
      <w:color w:val="2F5496" w:themeColor="accent1" w:themeShade="BF"/>
    </w:rPr>
  </w:style>
  <w:style w:type="paragraph" w:styleId="IntenseQuote">
    <w:name w:val="Intense Quote"/>
    <w:basedOn w:val="Normal"/>
    <w:next w:val="Normal"/>
    <w:link w:val="IntenseQuoteChar"/>
    <w:uiPriority w:val="30"/>
    <w:qFormat/>
    <w:rsid w:val="007F6F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6F4D"/>
    <w:rPr>
      <w:i/>
      <w:iCs/>
      <w:color w:val="2F5496" w:themeColor="accent1" w:themeShade="BF"/>
    </w:rPr>
  </w:style>
  <w:style w:type="character" w:styleId="IntenseReference">
    <w:name w:val="Intense Reference"/>
    <w:basedOn w:val="DefaultParagraphFont"/>
    <w:uiPriority w:val="32"/>
    <w:qFormat/>
    <w:rsid w:val="007F6F4D"/>
    <w:rPr>
      <w:b/>
      <w:bCs/>
      <w:smallCaps/>
      <w:color w:val="2F5496" w:themeColor="accent1" w:themeShade="BF"/>
      <w:spacing w:val="5"/>
    </w:rPr>
  </w:style>
  <w:style w:type="paragraph" w:styleId="NormalWeb">
    <w:name w:val="Normal (Web)"/>
    <w:basedOn w:val="Normal"/>
    <w:uiPriority w:val="99"/>
    <w:unhideWhenUsed/>
    <w:rsid w:val="007F6F4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F6F4D"/>
    <w:rPr>
      <w:b/>
      <w:bCs/>
    </w:rPr>
  </w:style>
  <w:style w:type="character" w:styleId="Emphasis">
    <w:name w:val="Emphasis"/>
    <w:basedOn w:val="DefaultParagraphFont"/>
    <w:uiPriority w:val="20"/>
    <w:qFormat/>
    <w:rsid w:val="005567DC"/>
    <w:rPr>
      <w:i/>
      <w:iCs/>
    </w:rPr>
  </w:style>
  <w:style w:type="paragraph" w:styleId="Header">
    <w:name w:val="header"/>
    <w:basedOn w:val="Normal"/>
    <w:link w:val="HeaderChar"/>
    <w:uiPriority w:val="99"/>
    <w:unhideWhenUsed/>
    <w:rsid w:val="00602C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C22"/>
  </w:style>
  <w:style w:type="paragraph" w:styleId="Footer">
    <w:name w:val="footer"/>
    <w:basedOn w:val="Normal"/>
    <w:link w:val="FooterChar"/>
    <w:uiPriority w:val="99"/>
    <w:unhideWhenUsed/>
    <w:rsid w:val="00602C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C22"/>
  </w:style>
  <w:style w:type="character" w:styleId="Hyperlink">
    <w:name w:val="Hyperlink"/>
    <w:basedOn w:val="DefaultParagraphFont"/>
    <w:uiPriority w:val="99"/>
    <w:unhideWhenUsed/>
    <w:rsid w:val="00EA32EA"/>
    <w:rPr>
      <w:color w:val="0563C1" w:themeColor="hyperlink"/>
      <w:u w:val="single"/>
    </w:rPr>
  </w:style>
  <w:style w:type="character" w:styleId="UnresolvedMention">
    <w:name w:val="Unresolved Mention"/>
    <w:basedOn w:val="DefaultParagraphFont"/>
    <w:uiPriority w:val="99"/>
    <w:semiHidden/>
    <w:unhideWhenUsed/>
    <w:rsid w:val="00EA32EA"/>
    <w:rPr>
      <w:color w:val="605E5C"/>
      <w:shd w:val="clear" w:color="auto" w:fill="E1DFDD"/>
    </w:rPr>
  </w:style>
  <w:style w:type="paragraph" w:styleId="TOCHeading">
    <w:name w:val="TOC Heading"/>
    <w:basedOn w:val="Heading1"/>
    <w:next w:val="Normal"/>
    <w:uiPriority w:val="39"/>
    <w:unhideWhenUsed/>
    <w:qFormat/>
    <w:rsid w:val="00C34EA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34EAB"/>
    <w:pPr>
      <w:spacing w:after="100"/>
    </w:pPr>
  </w:style>
  <w:style w:type="paragraph" w:styleId="TOC2">
    <w:name w:val="toc 2"/>
    <w:basedOn w:val="Normal"/>
    <w:next w:val="Normal"/>
    <w:autoRedefine/>
    <w:uiPriority w:val="39"/>
    <w:unhideWhenUsed/>
    <w:rsid w:val="00C34EAB"/>
    <w:pPr>
      <w:spacing w:after="100"/>
      <w:ind w:left="240"/>
    </w:pPr>
  </w:style>
  <w:style w:type="table" w:styleId="TableGrid">
    <w:name w:val="Table Grid"/>
    <w:basedOn w:val="TableNormal"/>
    <w:uiPriority w:val="39"/>
    <w:rsid w:val="00F97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socscimed.2025.118233" TargetMode="External"/><Relationship Id="rId18" Type="http://schemas.openxmlformats.org/officeDocument/2006/relationships/hyperlink" Target="https://www.gov.uk/government/statistics/dementia-profile-march-2025-update/dementia-profile-prevalence-and-supporting-well-topics-statistical-commentary-march-2025" TargetMode="External"/><Relationship Id="rId26" Type="http://schemas.openxmlformats.org/officeDocument/2006/relationships/hyperlink" Target="https://doi.org/10.1159/000518581" TargetMode="External"/><Relationship Id="rId3" Type="http://schemas.openxmlformats.org/officeDocument/2006/relationships/styles" Target="styles.xml"/><Relationship Id="rId21" Type="http://schemas.openxmlformats.org/officeDocument/2006/relationships/hyperlink" Target="https://doi.org/10.1111/hex.70024" TargetMode="External"/><Relationship Id="rId7" Type="http://schemas.openxmlformats.org/officeDocument/2006/relationships/endnotes" Target="endnotes.xml"/><Relationship Id="rId12" Type="http://schemas.openxmlformats.org/officeDocument/2006/relationships/hyperlink" Target="https://doi.org/10.1001/jamainternmed.2019.0677" TargetMode="External"/><Relationship Id="rId17" Type="http://schemas.openxmlformats.org/officeDocument/2006/relationships/hyperlink" Target="https://doi.org/10.1111/jpm.12698" TargetMode="External"/><Relationship Id="rId25" Type="http://schemas.openxmlformats.org/officeDocument/2006/relationships/hyperlink" Target="https://doi.org/10.1017/s1041610219002229" TargetMode="External"/><Relationship Id="rId2" Type="http://schemas.openxmlformats.org/officeDocument/2006/relationships/numbering" Target="numbering.xml"/><Relationship Id="rId16" Type="http://schemas.openxmlformats.org/officeDocument/2006/relationships/hyperlink" Target="https://doi.org/10.1016/j.archger.2022.104742" TargetMode="External"/><Relationship Id="rId20" Type="http://schemas.openxmlformats.org/officeDocument/2006/relationships/hyperlink" Target="https://doi.org/10.5334/ijic.646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468-2667(23)00214-1" TargetMode="External"/><Relationship Id="rId24" Type="http://schemas.openxmlformats.org/officeDocument/2006/relationships/hyperlink" Target="https://doi.org/10.1002/gps.70129" TargetMode="External"/><Relationship Id="rId5" Type="http://schemas.openxmlformats.org/officeDocument/2006/relationships/webSettings" Target="webSettings.xml"/><Relationship Id="rId15" Type="http://schemas.openxmlformats.org/officeDocument/2006/relationships/hyperlink" Target="https://doi.org/10.3389/fpsyg.2022.1070259" TargetMode="External"/><Relationship Id="rId23" Type="http://schemas.openxmlformats.org/officeDocument/2006/relationships/hyperlink" Target="https://doi.org/10.3390/ijerph18052717" TargetMode="External"/><Relationship Id="rId28" Type="http://schemas.openxmlformats.org/officeDocument/2006/relationships/hyperlink" Target="https://doi.org/10.1016/j.neubiorev.2021.04.031" TargetMode="External"/><Relationship Id="rId10" Type="http://schemas.openxmlformats.org/officeDocument/2006/relationships/hyperlink" Target="https://www.scirp.org/reference/ReferencesPapers?ReferenceID=1528138" TargetMode="External"/><Relationship Id="rId19" Type="http://schemas.openxmlformats.org/officeDocument/2006/relationships/hyperlink" Target="https://doi.org/10.3310/hsdr0843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doi.org/10.1016/j.ijnurstu.2025.105304" TargetMode="External"/><Relationship Id="rId22" Type="http://schemas.openxmlformats.org/officeDocument/2006/relationships/hyperlink" Target="https://doi.org/10.1136/postgradmedj-2020-138517" TargetMode="External"/><Relationship Id="rId27" Type="http://schemas.openxmlformats.org/officeDocument/2006/relationships/hyperlink" Target="https://doi.org/10.1002/gps.7015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7BCCB-933C-46B2-815D-2693D000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5515</Words>
  <Characters>31439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2026-03-23T19:10:00Z</dcterms:created>
  <dcterms:modified xsi:type="dcterms:W3CDTF">2026-03-23T19:10:00Z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881dbe86-ecdc-471d-a955-b3244443bd07</vt:lpwstr>
  </property>
</Properties>
</file>