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C6FF0" w14:textId="77777777" w:rsidR="0005391F" w:rsidRDefault="0005391F" w:rsidP="00132367">
      <w:pPr>
        <w:rPr>
          <w:b/>
          <w:bCs/>
        </w:rPr>
      </w:pPr>
    </w:p>
    <w:p w14:paraId="3AC50337" w14:textId="77777777" w:rsidR="00FA263B" w:rsidRDefault="00FA263B" w:rsidP="00FA263B">
      <w:pPr>
        <w:jc w:val="center"/>
        <w:rPr>
          <w:b/>
          <w:bCs/>
        </w:rPr>
      </w:pPr>
    </w:p>
    <w:p w14:paraId="33193A49" w14:textId="77777777" w:rsidR="00FA263B" w:rsidRPr="006800A9" w:rsidRDefault="00FA263B" w:rsidP="00FA263B">
      <w:pPr>
        <w:jc w:val="center"/>
        <w:rPr>
          <w:b/>
          <w:bCs/>
          <w:sz w:val="28"/>
          <w:szCs w:val="28"/>
        </w:rPr>
      </w:pPr>
      <w:r w:rsidRPr="006800A9">
        <w:rPr>
          <w:b/>
          <w:bCs/>
          <w:noProof/>
          <w:sz w:val="28"/>
          <w:szCs w:val="28"/>
        </w:rPr>
        <w:drawing>
          <wp:inline distT="0" distB="0" distL="0" distR="0" wp14:anchorId="1E0389E7" wp14:editId="08CE26BB">
            <wp:extent cx="1810385" cy="725170"/>
            <wp:effectExtent l="0" t="0" r="0" b="0"/>
            <wp:docPr id="1967375423" name="Picture 4" descr="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75423" name="Picture 4" descr="A black and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69DDCC2C" w14:textId="77777777" w:rsidR="00FA263B" w:rsidRPr="006800A9" w:rsidRDefault="00FA263B" w:rsidP="00FA263B">
      <w:pPr>
        <w:jc w:val="center"/>
        <w:rPr>
          <w:b/>
          <w:bCs/>
          <w:sz w:val="28"/>
          <w:szCs w:val="28"/>
        </w:rPr>
      </w:pPr>
    </w:p>
    <w:p w14:paraId="7CEEA306" w14:textId="77777777" w:rsidR="00FA263B" w:rsidRPr="006800A9" w:rsidRDefault="00FA263B" w:rsidP="00E924FA">
      <w:pPr>
        <w:jc w:val="center"/>
        <w:rPr>
          <w:rFonts w:ascii="Arial" w:hAnsi="Arial" w:cs="Arial"/>
          <w:b/>
          <w:bCs/>
          <w:sz w:val="28"/>
          <w:szCs w:val="28"/>
        </w:rPr>
      </w:pPr>
    </w:p>
    <w:p w14:paraId="69F124B9" w14:textId="77777777" w:rsidR="00FA263B" w:rsidRPr="006800A9" w:rsidRDefault="00FA263B" w:rsidP="00E924FA">
      <w:pPr>
        <w:jc w:val="center"/>
        <w:rPr>
          <w:rFonts w:ascii="Arial" w:hAnsi="Arial" w:cs="Arial"/>
          <w:b/>
          <w:bCs/>
          <w:sz w:val="28"/>
          <w:szCs w:val="28"/>
        </w:rPr>
      </w:pPr>
      <w:r w:rsidRPr="006800A9">
        <w:rPr>
          <w:rFonts w:ascii="Arial" w:hAnsi="Arial" w:cs="Arial"/>
          <w:b/>
          <w:bCs/>
          <w:sz w:val="28"/>
          <w:szCs w:val="28"/>
        </w:rPr>
        <w:t>Master of Business Administration</w:t>
      </w:r>
    </w:p>
    <w:p w14:paraId="13EB61FA" w14:textId="27A56025" w:rsidR="00FA263B" w:rsidRPr="006800A9" w:rsidRDefault="00EB1ED4" w:rsidP="00E924FA">
      <w:pPr>
        <w:jc w:val="center"/>
        <w:rPr>
          <w:rFonts w:ascii="Arial" w:hAnsi="Arial" w:cs="Arial"/>
          <w:b/>
          <w:bCs/>
          <w:sz w:val="28"/>
          <w:szCs w:val="28"/>
        </w:rPr>
      </w:pPr>
      <w:r w:rsidRPr="00EB1ED4">
        <w:rPr>
          <w:rFonts w:ascii="Arial" w:hAnsi="Arial" w:cs="Arial"/>
          <w:b/>
          <w:bCs/>
          <w:sz w:val="28"/>
          <w:szCs w:val="28"/>
        </w:rPr>
        <w:t>International Business Concepts</w:t>
      </w:r>
      <w:r>
        <w:rPr>
          <w:rFonts w:ascii="Arial" w:hAnsi="Arial" w:cs="Arial"/>
          <w:b/>
          <w:bCs/>
          <w:sz w:val="28"/>
          <w:szCs w:val="28"/>
        </w:rPr>
        <w:t xml:space="preserve"> (</w:t>
      </w:r>
      <w:r w:rsidRPr="00EB1ED4">
        <w:rPr>
          <w:rFonts w:ascii="Arial" w:hAnsi="Arial" w:cs="Arial"/>
          <w:b/>
          <w:bCs/>
          <w:sz w:val="28"/>
          <w:szCs w:val="28"/>
        </w:rPr>
        <w:t>LCMB7034</w:t>
      </w:r>
      <w:r>
        <w:rPr>
          <w:rFonts w:ascii="Arial" w:hAnsi="Arial" w:cs="Arial"/>
          <w:b/>
          <w:bCs/>
          <w:sz w:val="28"/>
          <w:szCs w:val="28"/>
        </w:rPr>
        <w:t>)</w:t>
      </w:r>
    </w:p>
    <w:p w14:paraId="481A7C47" w14:textId="77777777" w:rsidR="00FA263B" w:rsidRPr="006800A9" w:rsidRDefault="00FA263B" w:rsidP="00E924FA">
      <w:pPr>
        <w:jc w:val="center"/>
        <w:rPr>
          <w:rFonts w:ascii="Arial" w:hAnsi="Arial" w:cs="Arial"/>
          <w:b/>
          <w:bCs/>
          <w:sz w:val="28"/>
          <w:szCs w:val="28"/>
        </w:rPr>
      </w:pPr>
    </w:p>
    <w:p w14:paraId="3B1E7C12" w14:textId="77777777" w:rsidR="00FA263B" w:rsidRPr="006800A9" w:rsidRDefault="00FA263B" w:rsidP="00E924FA">
      <w:pPr>
        <w:jc w:val="center"/>
        <w:rPr>
          <w:rFonts w:ascii="Arial" w:hAnsi="Arial" w:cs="Arial"/>
          <w:b/>
          <w:bCs/>
          <w:sz w:val="28"/>
          <w:szCs w:val="28"/>
        </w:rPr>
      </w:pPr>
      <w:r w:rsidRPr="006800A9">
        <w:rPr>
          <w:rFonts w:ascii="Arial" w:hAnsi="Arial" w:cs="Arial"/>
          <w:b/>
          <w:bCs/>
          <w:sz w:val="28"/>
          <w:szCs w:val="28"/>
        </w:rPr>
        <w:t>Title</w:t>
      </w:r>
    </w:p>
    <w:p w14:paraId="2E8058DC" w14:textId="1C05A84D" w:rsidR="00FA263B" w:rsidRPr="006800A9" w:rsidRDefault="00C57E5C" w:rsidP="00E924FA">
      <w:pPr>
        <w:jc w:val="center"/>
        <w:rPr>
          <w:rFonts w:ascii="Arial" w:hAnsi="Arial" w:cs="Arial"/>
          <w:b/>
          <w:bCs/>
          <w:sz w:val="28"/>
          <w:szCs w:val="28"/>
        </w:rPr>
      </w:pPr>
      <w:r w:rsidRPr="00C57E5C">
        <w:rPr>
          <w:rFonts w:ascii="Arial" w:hAnsi="Arial" w:cs="Arial"/>
          <w:b/>
          <w:bCs/>
          <w:sz w:val="28"/>
          <w:szCs w:val="28"/>
        </w:rPr>
        <w:t>MBA International Business Consultancy Report on Tesla (USA HQ) entering India (emerging economy).</w:t>
      </w:r>
    </w:p>
    <w:p w14:paraId="0CDDC711" w14:textId="77777777" w:rsidR="00FA263B" w:rsidRPr="006800A9" w:rsidRDefault="00FA263B" w:rsidP="00E924FA">
      <w:pPr>
        <w:jc w:val="center"/>
        <w:rPr>
          <w:rFonts w:ascii="Arial" w:hAnsi="Arial" w:cs="Arial"/>
          <w:b/>
          <w:bCs/>
          <w:sz w:val="28"/>
          <w:szCs w:val="28"/>
        </w:rPr>
      </w:pPr>
    </w:p>
    <w:p w14:paraId="332A942B" w14:textId="77777777" w:rsidR="00FA263B" w:rsidRPr="006800A9" w:rsidRDefault="00FA263B" w:rsidP="00E924FA">
      <w:pPr>
        <w:jc w:val="center"/>
        <w:rPr>
          <w:rFonts w:ascii="Arial" w:hAnsi="Arial" w:cs="Arial"/>
          <w:b/>
          <w:bCs/>
          <w:sz w:val="28"/>
          <w:szCs w:val="28"/>
        </w:rPr>
      </w:pPr>
      <w:r w:rsidRPr="006800A9">
        <w:rPr>
          <w:rFonts w:ascii="Arial" w:hAnsi="Arial" w:cs="Arial"/>
          <w:b/>
          <w:bCs/>
          <w:sz w:val="28"/>
          <w:szCs w:val="28"/>
        </w:rPr>
        <w:t xml:space="preserve">Student Name: </w:t>
      </w:r>
      <w:proofErr w:type="spellStart"/>
      <w:r w:rsidRPr="006800A9">
        <w:rPr>
          <w:rFonts w:ascii="Arial" w:hAnsi="Arial" w:cs="Arial"/>
          <w:b/>
          <w:bCs/>
          <w:sz w:val="28"/>
          <w:szCs w:val="28"/>
        </w:rPr>
        <w:t>Machannagari</w:t>
      </w:r>
      <w:proofErr w:type="spellEnd"/>
      <w:r w:rsidRPr="006800A9">
        <w:rPr>
          <w:rFonts w:ascii="Arial" w:hAnsi="Arial" w:cs="Arial"/>
          <w:b/>
          <w:bCs/>
          <w:sz w:val="28"/>
          <w:szCs w:val="28"/>
        </w:rPr>
        <w:t xml:space="preserve"> Rishikesh Reddy</w:t>
      </w:r>
    </w:p>
    <w:p w14:paraId="038309EB" w14:textId="77777777" w:rsidR="00FA263B" w:rsidRPr="006800A9" w:rsidRDefault="00FA263B" w:rsidP="00E924FA">
      <w:pPr>
        <w:jc w:val="center"/>
        <w:rPr>
          <w:rFonts w:ascii="Arial" w:hAnsi="Arial" w:cs="Arial"/>
          <w:b/>
          <w:bCs/>
          <w:sz w:val="28"/>
          <w:szCs w:val="28"/>
        </w:rPr>
      </w:pPr>
      <w:r w:rsidRPr="006800A9">
        <w:rPr>
          <w:rFonts w:ascii="Arial" w:hAnsi="Arial" w:cs="Arial"/>
          <w:b/>
          <w:bCs/>
          <w:sz w:val="28"/>
          <w:szCs w:val="28"/>
        </w:rPr>
        <w:t>Student ID: 2433157</w:t>
      </w:r>
    </w:p>
    <w:p w14:paraId="55203D1C" w14:textId="77777777" w:rsidR="00FA263B" w:rsidRPr="006800A9" w:rsidRDefault="00FA263B" w:rsidP="00E924FA">
      <w:pPr>
        <w:jc w:val="center"/>
        <w:rPr>
          <w:rFonts w:ascii="Arial" w:hAnsi="Arial" w:cs="Arial"/>
          <w:b/>
          <w:bCs/>
          <w:sz w:val="28"/>
          <w:szCs w:val="28"/>
        </w:rPr>
      </w:pPr>
    </w:p>
    <w:p w14:paraId="621CA4DC" w14:textId="77777777" w:rsidR="00E924FA" w:rsidRPr="00E924FA" w:rsidRDefault="00FA263B" w:rsidP="00E924FA">
      <w:pPr>
        <w:jc w:val="center"/>
        <w:rPr>
          <w:rFonts w:ascii="Arial" w:hAnsi="Arial" w:cs="Arial"/>
          <w:b/>
          <w:bCs/>
          <w:sz w:val="28"/>
          <w:szCs w:val="28"/>
        </w:rPr>
      </w:pPr>
      <w:r w:rsidRPr="006800A9">
        <w:rPr>
          <w:rFonts w:ascii="Arial" w:hAnsi="Arial" w:cs="Arial"/>
          <w:b/>
          <w:bCs/>
          <w:sz w:val="28"/>
          <w:szCs w:val="28"/>
        </w:rPr>
        <w:t xml:space="preserve">Lecture Name: </w:t>
      </w:r>
      <w:r w:rsidR="00E924FA" w:rsidRPr="00E924FA">
        <w:rPr>
          <w:rFonts w:ascii="Arial" w:hAnsi="Arial" w:cs="Arial"/>
          <w:b/>
          <w:bCs/>
          <w:sz w:val="28"/>
          <w:szCs w:val="28"/>
        </w:rPr>
        <w:t>Chung Lai Johnny Wan (Weekdays)</w:t>
      </w:r>
    </w:p>
    <w:p w14:paraId="6F5A158F" w14:textId="27C67A9F" w:rsidR="0005391F" w:rsidRDefault="0005391F" w:rsidP="00E924FA">
      <w:pPr>
        <w:jc w:val="center"/>
        <w:rPr>
          <w:b/>
          <w:bCs/>
        </w:rPr>
      </w:pPr>
      <w:r>
        <w:rPr>
          <w:b/>
          <w:bCs/>
        </w:rPr>
        <w:br w:type="page"/>
      </w:r>
    </w:p>
    <w:sdt>
      <w:sdtPr>
        <w:rPr>
          <w:rFonts w:ascii="Arial" w:eastAsiaTheme="minorHAnsi" w:hAnsi="Arial" w:cs="Arial"/>
          <w:color w:val="auto"/>
          <w:kern w:val="2"/>
          <w:sz w:val="22"/>
          <w:szCs w:val="22"/>
          <w:lang w:val="en-IN"/>
          <w14:ligatures w14:val="standardContextual"/>
        </w:rPr>
        <w:id w:val="-668560994"/>
        <w:docPartObj>
          <w:docPartGallery w:val="Table of Contents"/>
          <w:docPartUnique/>
        </w:docPartObj>
      </w:sdtPr>
      <w:sdtEndPr>
        <w:rPr>
          <w:b/>
          <w:bCs/>
          <w:noProof/>
        </w:rPr>
      </w:sdtEndPr>
      <w:sdtContent>
        <w:p w14:paraId="1AF5C847" w14:textId="311B1A07" w:rsidR="00A45D92" w:rsidRPr="00BF2CFD" w:rsidRDefault="00A45D92" w:rsidP="00BF2CFD">
          <w:pPr>
            <w:pStyle w:val="TOCHeading"/>
            <w:jc w:val="center"/>
            <w:rPr>
              <w:rFonts w:ascii="Arial" w:hAnsi="Arial" w:cs="Arial"/>
              <w:b/>
              <w:bCs/>
              <w:color w:val="auto"/>
            </w:rPr>
          </w:pPr>
          <w:r w:rsidRPr="00BF2CFD">
            <w:rPr>
              <w:rFonts w:ascii="Arial" w:hAnsi="Arial" w:cs="Arial"/>
              <w:b/>
              <w:bCs/>
              <w:color w:val="auto"/>
            </w:rPr>
            <w:t>Table of Contents</w:t>
          </w:r>
        </w:p>
        <w:p w14:paraId="1D30B889" w14:textId="77777777" w:rsidR="00BF2CFD" w:rsidRPr="00BF2CFD" w:rsidRDefault="00BF2CFD" w:rsidP="00BF2CFD">
          <w:pPr>
            <w:rPr>
              <w:rFonts w:ascii="Arial" w:hAnsi="Arial" w:cs="Arial"/>
              <w:sz w:val="24"/>
              <w:szCs w:val="24"/>
              <w:lang w:val="en-US"/>
            </w:rPr>
          </w:pPr>
        </w:p>
        <w:p w14:paraId="4703CF05" w14:textId="534810C5" w:rsidR="00BF2CFD" w:rsidRPr="00BF2CFD" w:rsidRDefault="00A45D92">
          <w:pPr>
            <w:pStyle w:val="TOC1"/>
            <w:tabs>
              <w:tab w:val="left" w:pos="440"/>
              <w:tab w:val="right" w:leader="dot" w:pos="9016"/>
            </w:tabs>
            <w:rPr>
              <w:rFonts w:ascii="Arial" w:eastAsiaTheme="minorEastAsia" w:hAnsi="Arial" w:cs="Arial"/>
              <w:noProof/>
              <w:sz w:val="24"/>
              <w:szCs w:val="24"/>
              <w:lang w:eastAsia="en-IN"/>
            </w:rPr>
          </w:pPr>
          <w:r w:rsidRPr="00BF2CFD">
            <w:rPr>
              <w:rFonts w:ascii="Arial" w:hAnsi="Arial" w:cs="Arial"/>
              <w:sz w:val="24"/>
              <w:szCs w:val="24"/>
            </w:rPr>
            <w:fldChar w:fldCharType="begin"/>
          </w:r>
          <w:r w:rsidRPr="00BF2CFD">
            <w:rPr>
              <w:rFonts w:ascii="Arial" w:hAnsi="Arial" w:cs="Arial"/>
              <w:sz w:val="24"/>
              <w:szCs w:val="24"/>
            </w:rPr>
            <w:instrText xml:space="preserve"> TOC \o "1-3" \h \z \u </w:instrText>
          </w:r>
          <w:r w:rsidRPr="00BF2CFD">
            <w:rPr>
              <w:rFonts w:ascii="Arial" w:hAnsi="Arial" w:cs="Arial"/>
              <w:sz w:val="24"/>
              <w:szCs w:val="24"/>
            </w:rPr>
            <w:fldChar w:fldCharType="separate"/>
          </w:r>
          <w:hyperlink w:anchor="_Toc214570778" w:history="1">
            <w:r w:rsidR="00BF2CFD" w:rsidRPr="00BF2CFD">
              <w:rPr>
                <w:rStyle w:val="Hyperlink"/>
                <w:rFonts w:ascii="Arial" w:hAnsi="Arial" w:cs="Arial"/>
                <w:b/>
                <w:bCs/>
                <w:noProof/>
                <w:sz w:val="24"/>
                <w:szCs w:val="24"/>
              </w:rPr>
              <w:t>1.</w:t>
            </w:r>
            <w:r w:rsidR="00BF2CFD" w:rsidRPr="00BF2CFD">
              <w:rPr>
                <w:rFonts w:ascii="Arial" w:eastAsiaTheme="minorEastAsia" w:hAnsi="Arial" w:cs="Arial"/>
                <w:noProof/>
                <w:sz w:val="24"/>
                <w:szCs w:val="24"/>
                <w:lang w:eastAsia="en-IN"/>
              </w:rPr>
              <w:tab/>
            </w:r>
            <w:r w:rsidR="00BF2CFD" w:rsidRPr="00BF2CFD">
              <w:rPr>
                <w:rStyle w:val="Hyperlink"/>
                <w:rFonts w:ascii="Arial" w:hAnsi="Arial" w:cs="Arial"/>
                <w:b/>
                <w:bCs/>
                <w:noProof/>
                <w:sz w:val="24"/>
                <w:szCs w:val="24"/>
              </w:rPr>
              <w:t>Introduction</w:t>
            </w:r>
            <w:r w:rsidR="00BF2CFD" w:rsidRPr="00BF2CFD">
              <w:rPr>
                <w:rFonts w:ascii="Arial" w:hAnsi="Arial" w:cs="Arial"/>
                <w:noProof/>
                <w:webHidden/>
                <w:sz w:val="24"/>
                <w:szCs w:val="24"/>
              </w:rPr>
              <w:tab/>
            </w:r>
            <w:r w:rsidR="00BF2CFD" w:rsidRPr="00BF2CFD">
              <w:rPr>
                <w:rFonts w:ascii="Arial" w:hAnsi="Arial" w:cs="Arial"/>
                <w:noProof/>
                <w:webHidden/>
                <w:sz w:val="24"/>
                <w:szCs w:val="24"/>
              </w:rPr>
              <w:fldChar w:fldCharType="begin"/>
            </w:r>
            <w:r w:rsidR="00BF2CFD" w:rsidRPr="00BF2CFD">
              <w:rPr>
                <w:rFonts w:ascii="Arial" w:hAnsi="Arial" w:cs="Arial"/>
                <w:noProof/>
                <w:webHidden/>
                <w:sz w:val="24"/>
                <w:szCs w:val="24"/>
              </w:rPr>
              <w:instrText xml:space="preserve"> PAGEREF _Toc214570778 \h </w:instrText>
            </w:r>
            <w:r w:rsidR="00BF2CFD" w:rsidRPr="00BF2CFD">
              <w:rPr>
                <w:rFonts w:ascii="Arial" w:hAnsi="Arial" w:cs="Arial"/>
                <w:noProof/>
                <w:webHidden/>
                <w:sz w:val="24"/>
                <w:szCs w:val="24"/>
              </w:rPr>
            </w:r>
            <w:r w:rsidR="00BF2CFD" w:rsidRPr="00BF2CFD">
              <w:rPr>
                <w:rFonts w:ascii="Arial" w:hAnsi="Arial" w:cs="Arial"/>
                <w:noProof/>
                <w:webHidden/>
                <w:sz w:val="24"/>
                <w:szCs w:val="24"/>
              </w:rPr>
              <w:fldChar w:fldCharType="separate"/>
            </w:r>
            <w:r w:rsidR="00BF2CFD" w:rsidRPr="00BF2CFD">
              <w:rPr>
                <w:rFonts w:ascii="Arial" w:hAnsi="Arial" w:cs="Arial"/>
                <w:noProof/>
                <w:webHidden/>
                <w:sz w:val="24"/>
                <w:szCs w:val="24"/>
              </w:rPr>
              <w:t>4</w:t>
            </w:r>
            <w:r w:rsidR="00BF2CFD" w:rsidRPr="00BF2CFD">
              <w:rPr>
                <w:rFonts w:ascii="Arial" w:hAnsi="Arial" w:cs="Arial"/>
                <w:noProof/>
                <w:webHidden/>
                <w:sz w:val="24"/>
                <w:szCs w:val="24"/>
              </w:rPr>
              <w:fldChar w:fldCharType="end"/>
            </w:r>
          </w:hyperlink>
        </w:p>
        <w:p w14:paraId="7829D7F7" w14:textId="4BCB9145" w:rsidR="00BF2CFD" w:rsidRPr="00BF2CFD" w:rsidRDefault="00BF2CFD">
          <w:pPr>
            <w:pStyle w:val="TOC1"/>
            <w:tabs>
              <w:tab w:val="left" w:pos="440"/>
              <w:tab w:val="right" w:leader="dot" w:pos="9016"/>
            </w:tabs>
            <w:rPr>
              <w:rFonts w:ascii="Arial" w:eastAsiaTheme="minorEastAsia" w:hAnsi="Arial" w:cs="Arial"/>
              <w:noProof/>
              <w:sz w:val="24"/>
              <w:szCs w:val="24"/>
              <w:lang w:eastAsia="en-IN"/>
            </w:rPr>
          </w:pPr>
          <w:hyperlink w:anchor="_Toc214570779" w:history="1">
            <w:r w:rsidRPr="00BF2CFD">
              <w:rPr>
                <w:rStyle w:val="Hyperlink"/>
                <w:rFonts w:ascii="Arial" w:hAnsi="Arial" w:cs="Arial"/>
                <w:b/>
                <w:bCs/>
                <w:noProof/>
                <w:sz w:val="24"/>
                <w:szCs w:val="24"/>
              </w:rPr>
              <w:t>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Advantages and Obstacles of International Operations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_Toc214570779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4</w:t>
            </w:r>
            <w:r w:rsidRPr="00BF2CFD">
              <w:rPr>
                <w:rFonts w:ascii="Arial" w:hAnsi="Arial" w:cs="Arial"/>
                <w:noProof/>
                <w:webHidden/>
                <w:sz w:val="24"/>
                <w:szCs w:val="24"/>
              </w:rPr>
              <w:fldChar w:fldCharType="end"/>
            </w:r>
          </w:hyperlink>
        </w:p>
        <w:p w14:paraId="784F272C" w14:textId="61B1A707"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0" w:history="1">
            <w:r w:rsidRPr="00BF2CFD">
              <w:rPr>
                <w:rStyle w:val="Hyperlink"/>
                <w:rFonts w:ascii="Arial" w:hAnsi="Arial" w:cs="Arial"/>
                <w:b/>
                <w:bCs/>
                <w:noProof/>
                <w:sz w:val="24"/>
                <w:szCs w:val="24"/>
              </w:rPr>
              <w:t>2.1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Tesla as a Multinational / Transnational Corporation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_Toc214570780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4</w:t>
            </w:r>
            <w:r w:rsidRPr="00BF2CFD">
              <w:rPr>
                <w:rFonts w:ascii="Arial" w:hAnsi="Arial" w:cs="Arial"/>
                <w:noProof/>
                <w:webHidden/>
                <w:sz w:val="24"/>
                <w:szCs w:val="24"/>
              </w:rPr>
              <w:fldChar w:fldCharType="end"/>
            </w:r>
          </w:hyperlink>
        </w:p>
        <w:p w14:paraId="0F9EBA59" w14:textId="75BCC6A4"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1" w:history="1">
            <w:r w:rsidRPr="00BF2CFD">
              <w:rPr>
                <w:rStyle w:val="Hyperlink"/>
                <w:rFonts w:ascii="Arial" w:hAnsi="Arial" w:cs="Arial"/>
                <w:b/>
                <w:bCs/>
                <w:noProof/>
                <w:sz w:val="24"/>
                <w:szCs w:val="24"/>
              </w:rPr>
              <w:t>2.2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Nature of Tesla's Global Value Chain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_Toc214570781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4</w:t>
            </w:r>
            <w:r w:rsidRPr="00BF2CFD">
              <w:rPr>
                <w:rFonts w:ascii="Arial" w:hAnsi="Arial" w:cs="Arial"/>
                <w:noProof/>
                <w:webHidden/>
                <w:sz w:val="24"/>
                <w:szCs w:val="24"/>
              </w:rPr>
              <w:fldChar w:fldCharType="end"/>
            </w:r>
          </w:hyperlink>
        </w:p>
        <w:p w14:paraId="575FA972" w14:textId="1308FE6D"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2" w:history="1">
            <w:r w:rsidRPr="00BF2CFD">
              <w:rPr>
                <w:rStyle w:val="Hyperlink"/>
                <w:rFonts w:ascii="Arial" w:hAnsi="Arial" w:cs="Arial"/>
                <w:b/>
                <w:bCs/>
                <w:noProof/>
                <w:sz w:val="24"/>
                <w:szCs w:val="24"/>
              </w:rPr>
              <w:t>2.3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Simplified Overview of Tesla’s Global Value Chain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_Toc214570782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5</w:t>
            </w:r>
            <w:r w:rsidRPr="00BF2CFD">
              <w:rPr>
                <w:rFonts w:ascii="Arial" w:hAnsi="Arial" w:cs="Arial"/>
                <w:noProof/>
                <w:webHidden/>
                <w:sz w:val="24"/>
                <w:szCs w:val="24"/>
              </w:rPr>
              <w:fldChar w:fldCharType="end"/>
            </w:r>
          </w:hyperlink>
        </w:p>
        <w:p w14:paraId="0BF44E56" w14:textId="5D33AA4E"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3" w:history="1">
            <w:r w:rsidRPr="00BF2CFD">
              <w:rPr>
                <w:rStyle w:val="Hyperlink"/>
                <w:rFonts w:ascii="Arial" w:hAnsi="Arial" w:cs="Arial"/>
                <w:b/>
                <w:bCs/>
                <w:noProof/>
                <w:sz w:val="24"/>
                <w:szCs w:val="24"/>
              </w:rPr>
              <w:t>2.4</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International Market Entry Modes Used by Tesla</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_Toc214570783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6</w:t>
            </w:r>
            <w:r w:rsidRPr="00BF2CFD">
              <w:rPr>
                <w:rFonts w:ascii="Arial" w:hAnsi="Arial" w:cs="Arial"/>
                <w:noProof/>
                <w:webHidden/>
                <w:sz w:val="24"/>
                <w:szCs w:val="24"/>
              </w:rPr>
              <w:fldChar w:fldCharType="end"/>
            </w:r>
          </w:hyperlink>
        </w:p>
        <w:p w14:paraId="366DFD81" w14:textId="3F724D2F"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4" w:history="1">
            <w:r w:rsidRPr="00BF2CFD">
              <w:rPr>
                <w:rStyle w:val="Hyperlink"/>
                <w:rFonts w:ascii="Arial" w:hAnsi="Arial" w:cs="Arial"/>
                <w:b/>
                <w:bCs/>
                <w:noProof/>
                <w:sz w:val="24"/>
                <w:szCs w:val="24"/>
              </w:rPr>
              <w:t>2.5</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Benefits and Challenges of Tesla's International Operations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_Toc214570784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6</w:t>
            </w:r>
            <w:r w:rsidRPr="00BF2CFD">
              <w:rPr>
                <w:rFonts w:ascii="Arial" w:hAnsi="Arial" w:cs="Arial"/>
                <w:noProof/>
                <w:webHidden/>
                <w:sz w:val="24"/>
                <w:szCs w:val="24"/>
              </w:rPr>
              <w:fldChar w:fldCharType="end"/>
            </w:r>
          </w:hyperlink>
        </w:p>
        <w:p w14:paraId="34A3038C" w14:textId="0B970EA8"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85" w:history="1">
            <w:r w:rsidRPr="00BF2CFD">
              <w:rPr>
                <w:rStyle w:val="Hyperlink"/>
                <w:rFonts w:ascii="Arial" w:hAnsi="Arial" w:cs="Arial"/>
                <w:b/>
                <w:bCs/>
                <w:noProof/>
                <w:sz w:val="24"/>
                <w:szCs w:val="24"/>
              </w:rPr>
              <w:t>2.5.1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Advantages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_Toc214570785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6</w:t>
            </w:r>
            <w:r w:rsidRPr="00BF2CFD">
              <w:rPr>
                <w:rFonts w:ascii="Arial" w:hAnsi="Arial" w:cs="Arial"/>
                <w:noProof/>
                <w:webHidden/>
                <w:sz w:val="24"/>
                <w:szCs w:val="24"/>
              </w:rPr>
              <w:fldChar w:fldCharType="end"/>
            </w:r>
          </w:hyperlink>
        </w:p>
        <w:p w14:paraId="6CCBE8D9" w14:textId="2AB62C82"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86" w:history="1">
            <w:r w:rsidRPr="00BF2CFD">
              <w:rPr>
                <w:rStyle w:val="Hyperlink"/>
                <w:rFonts w:ascii="Arial" w:hAnsi="Arial" w:cs="Arial"/>
                <w:b/>
                <w:bCs/>
                <w:noProof/>
                <w:sz w:val="24"/>
                <w:szCs w:val="24"/>
              </w:rPr>
              <w:t>2.5.2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Challenges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_Toc214570786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7</w:t>
            </w:r>
            <w:r w:rsidRPr="00BF2CFD">
              <w:rPr>
                <w:rFonts w:ascii="Arial" w:hAnsi="Arial" w:cs="Arial"/>
                <w:noProof/>
                <w:webHidden/>
                <w:sz w:val="24"/>
                <w:szCs w:val="24"/>
              </w:rPr>
              <w:fldChar w:fldCharType="end"/>
            </w:r>
          </w:hyperlink>
        </w:p>
        <w:p w14:paraId="65B0C89D" w14:textId="1C783BCB" w:rsidR="00BF2CFD" w:rsidRPr="00BF2CFD" w:rsidRDefault="00BF2CFD">
          <w:pPr>
            <w:pStyle w:val="TOC1"/>
            <w:tabs>
              <w:tab w:val="left" w:pos="440"/>
              <w:tab w:val="right" w:leader="dot" w:pos="9016"/>
            </w:tabs>
            <w:rPr>
              <w:rFonts w:ascii="Arial" w:eastAsiaTheme="minorEastAsia" w:hAnsi="Arial" w:cs="Arial"/>
              <w:noProof/>
              <w:sz w:val="24"/>
              <w:szCs w:val="24"/>
              <w:lang w:eastAsia="en-IN"/>
            </w:rPr>
          </w:pPr>
          <w:hyperlink w:anchor="_Toc214570787" w:history="1">
            <w:r w:rsidRPr="00BF2CFD">
              <w:rPr>
                <w:rStyle w:val="Hyperlink"/>
                <w:rFonts w:ascii="Arial" w:hAnsi="Arial" w:cs="Arial"/>
                <w:b/>
                <w:bCs/>
                <w:noProof/>
                <w:sz w:val="24"/>
                <w:szCs w:val="24"/>
              </w:rPr>
              <w:t>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OLI Analysis: Tesla and India</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_Toc214570787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8</w:t>
            </w:r>
            <w:r w:rsidRPr="00BF2CFD">
              <w:rPr>
                <w:rFonts w:ascii="Arial" w:hAnsi="Arial" w:cs="Arial"/>
                <w:noProof/>
                <w:webHidden/>
                <w:sz w:val="24"/>
                <w:szCs w:val="24"/>
              </w:rPr>
              <w:fldChar w:fldCharType="end"/>
            </w:r>
          </w:hyperlink>
        </w:p>
        <w:p w14:paraId="4A0D0B92" w14:textId="03A80E60"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8" w:history="1">
            <w:r w:rsidRPr="00BF2CFD">
              <w:rPr>
                <w:rStyle w:val="Hyperlink"/>
                <w:rFonts w:ascii="Arial" w:hAnsi="Arial" w:cs="Arial"/>
                <w:b/>
                <w:bCs/>
                <w:noProof/>
                <w:sz w:val="24"/>
                <w:szCs w:val="24"/>
              </w:rPr>
              <w:t>3.1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Ownership (O) Benefits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_Toc214570788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8</w:t>
            </w:r>
            <w:r w:rsidRPr="00BF2CFD">
              <w:rPr>
                <w:rFonts w:ascii="Arial" w:hAnsi="Arial" w:cs="Arial"/>
                <w:noProof/>
                <w:webHidden/>
                <w:sz w:val="24"/>
                <w:szCs w:val="24"/>
              </w:rPr>
              <w:fldChar w:fldCharType="end"/>
            </w:r>
          </w:hyperlink>
        </w:p>
        <w:p w14:paraId="7181C663" w14:textId="5A8740FF"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89" w:history="1">
            <w:r w:rsidRPr="00BF2CFD">
              <w:rPr>
                <w:rStyle w:val="Hyperlink"/>
                <w:rFonts w:ascii="Arial" w:hAnsi="Arial" w:cs="Arial"/>
                <w:b/>
                <w:bCs/>
                <w:noProof/>
                <w:sz w:val="24"/>
                <w:szCs w:val="24"/>
              </w:rPr>
              <w:t>3.2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Location (L) Advantages of India</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_Toc214570789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9</w:t>
            </w:r>
            <w:r w:rsidRPr="00BF2CFD">
              <w:rPr>
                <w:rFonts w:ascii="Arial" w:hAnsi="Arial" w:cs="Arial"/>
                <w:noProof/>
                <w:webHidden/>
                <w:sz w:val="24"/>
                <w:szCs w:val="24"/>
              </w:rPr>
              <w:fldChar w:fldCharType="end"/>
            </w:r>
          </w:hyperlink>
        </w:p>
        <w:p w14:paraId="1AA4C8D1" w14:textId="440395E0"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90" w:history="1">
            <w:r w:rsidRPr="00BF2CFD">
              <w:rPr>
                <w:rStyle w:val="Hyperlink"/>
                <w:rFonts w:ascii="Arial" w:hAnsi="Arial" w:cs="Arial"/>
                <w:b/>
                <w:bCs/>
                <w:noProof/>
                <w:sz w:val="24"/>
                <w:szCs w:val="24"/>
              </w:rPr>
              <w:t>3.2.1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Market-Related Advantages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_Toc214570790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9</w:t>
            </w:r>
            <w:r w:rsidRPr="00BF2CFD">
              <w:rPr>
                <w:rFonts w:ascii="Arial" w:hAnsi="Arial" w:cs="Arial"/>
                <w:noProof/>
                <w:webHidden/>
                <w:sz w:val="24"/>
                <w:szCs w:val="24"/>
              </w:rPr>
              <w:fldChar w:fldCharType="end"/>
            </w:r>
          </w:hyperlink>
        </w:p>
        <w:p w14:paraId="3EB8AF5A" w14:textId="13E75FB3"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91" w:history="1">
            <w:r w:rsidRPr="00BF2CFD">
              <w:rPr>
                <w:rStyle w:val="Hyperlink"/>
                <w:rFonts w:ascii="Arial" w:hAnsi="Arial" w:cs="Arial"/>
                <w:b/>
                <w:bCs/>
                <w:noProof/>
                <w:sz w:val="24"/>
                <w:szCs w:val="24"/>
              </w:rPr>
              <w:t>3.2.2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Factor- and Production-Related Advantages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_Toc214570791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9</w:t>
            </w:r>
            <w:r w:rsidRPr="00BF2CFD">
              <w:rPr>
                <w:rFonts w:ascii="Arial" w:hAnsi="Arial" w:cs="Arial"/>
                <w:noProof/>
                <w:webHidden/>
                <w:sz w:val="24"/>
                <w:szCs w:val="24"/>
              </w:rPr>
              <w:fldChar w:fldCharType="end"/>
            </w:r>
          </w:hyperlink>
        </w:p>
        <w:p w14:paraId="4E2BD6BA" w14:textId="2CD8613F"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92" w:history="1">
            <w:r w:rsidRPr="00BF2CFD">
              <w:rPr>
                <w:rStyle w:val="Hyperlink"/>
                <w:rFonts w:ascii="Arial" w:hAnsi="Arial" w:cs="Arial"/>
                <w:b/>
                <w:bCs/>
                <w:noProof/>
                <w:sz w:val="24"/>
                <w:szCs w:val="24"/>
              </w:rPr>
              <w:t>3.3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Internalisation (I) Advantages and Entry Mode</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_Toc214570792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10</w:t>
            </w:r>
            <w:r w:rsidRPr="00BF2CFD">
              <w:rPr>
                <w:rFonts w:ascii="Arial" w:hAnsi="Arial" w:cs="Arial"/>
                <w:noProof/>
                <w:webHidden/>
                <w:sz w:val="24"/>
                <w:szCs w:val="24"/>
              </w:rPr>
              <w:fldChar w:fldCharType="end"/>
            </w:r>
          </w:hyperlink>
        </w:p>
        <w:p w14:paraId="02D97EE8" w14:textId="14F2A56D"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93" w:history="1">
            <w:r w:rsidRPr="00BF2CFD">
              <w:rPr>
                <w:rStyle w:val="Hyperlink"/>
                <w:rFonts w:ascii="Arial" w:hAnsi="Arial" w:cs="Arial"/>
                <w:b/>
                <w:bCs/>
                <w:noProof/>
                <w:sz w:val="24"/>
                <w:szCs w:val="24"/>
              </w:rPr>
              <w:t>3.3.1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Phase 1 – Import-Led Entry with Wholly Owned Sales Subsidiary</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_Toc214570793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10</w:t>
            </w:r>
            <w:r w:rsidRPr="00BF2CFD">
              <w:rPr>
                <w:rFonts w:ascii="Arial" w:hAnsi="Arial" w:cs="Arial"/>
                <w:noProof/>
                <w:webHidden/>
                <w:sz w:val="24"/>
                <w:szCs w:val="24"/>
              </w:rPr>
              <w:fldChar w:fldCharType="end"/>
            </w:r>
          </w:hyperlink>
        </w:p>
        <w:p w14:paraId="6CE63BE2" w14:textId="78CFF3D5"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94" w:history="1">
            <w:r w:rsidRPr="00BF2CFD">
              <w:rPr>
                <w:rStyle w:val="Hyperlink"/>
                <w:rFonts w:ascii="Arial" w:hAnsi="Arial" w:cs="Arial"/>
                <w:b/>
                <w:bCs/>
                <w:noProof/>
                <w:sz w:val="24"/>
                <w:szCs w:val="24"/>
              </w:rPr>
              <w:t>3.3.2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Phase 2 - Greenfield Manufacturing FDI</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_Toc214570794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10</w:t>
            </w:r>
            <w:r w:rsidRPr="00BF2CFD">
              <w:rPr>
                <w:rFonts w:ascii="Arial" w:hAnsi="Arial" w:cs="Arial"/>
                <w:noProof/>
                <w:webHidden/>
                <w:sz w:val="24"/>
                <w:szCs w:val="24"/>
              </w:rPr>
              <w:fldChar w:fldCharType="end"/>
            </w:r>
          </w:hyperlink>
        </w:p>
        <w:p w14:paraId="57943062" w14:textId="54E0A5D7" w:rsidR="00BF2CFD" w:rsidRPr="00BF2CFD" w:rsidRDefault="00BF2CFD">
          <w:pPr>
            <w:pStyle w:val="TOC1"/>
            <w:tabs>
              <w:tab w:val="left" w:pos="440"/>
              <w:tab w:val="right" w:leader="dot" w:pos="9016"/>
            </w:tabs>
            <w:rPr>
              <w:rFonts w:ascii="Arial" w:eastAsiaTheme="minorEastAsia" w:hAnsi="Arial" w:cs="Arial"/>
              <w:noProof/>
              <w:sz w:val="24"/>
              <w:szCs w:val="24"/>
              <w:lang w:eastAsia="en-IN"/>
            </w:rPr>
          </w:pPr>
          <w:hyperlink w:anchor="_Toc214570795" w:history="1">
            <w:r w:rsidRPr="00BF2CFD">
              <w:rPr>
                <w:rStyle w:val="Hyperlink"/>
                <w:rFonts w:ascii="Arial" w:hAnsi="Arial" w:cs="Arial"/>
                <w:b/>
                <w:bCs/>
                <w:noProof/>
                <w:sz w:val="24"/>
                <w:szCs w:val="24"/>
              </w:rPr>
              <w:t>4.</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Cultural Differences and Their Impact on Strategy and Success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_Toc214570795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10</w:t>
            </w:r>
            <w:r w:rsidRPr="00BF2CFD">
              <w:rPr>
                <w:rFonts w:ascii="Arial" w:hAnsi="Arial" w:cs="Arial"/>
                <w:noProof/>
                <w:webHidden/>
                <w:sz w:val="24"/>
                <w:szCs w:val="24"/>
              </w:rPr>
              <w:fldChar w:fldCharType="end"/>
            </w:r>
          </w:hyperlink>
        </w:p>
        <w:p w14:paraId="6B1103EE" w14:textId="4867C020"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96" w:history="1">
            <w:r w:rsidRPr="00BF2CFD">
              <w:rPr>
                <w:rStyle w:val="Hyperlink"/>
                <w:rFonts w:ascii="Arial" w:hAnsi="Arial" w:cs="Arial"/>
                <w:b/>
                <w:bCs/>
                <w:noProof/>
                <w:sz w:val="24"/>
                <w:szCs w:val="24"/>
              </w:rPr>
              <w:t>4.1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Key Cultural Dimensions: United States versus India</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_Toc214570796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11</w:t>
            </w:r>
            <w:r w:rsidRPr="00BF2CFD">
              <w:rPr>
                <w:rFonts w:ascii="Arial" w:hAnsi="Arial" w:cs="Arial"/>
                <w:noProof/>
                <w:webHidden/>
                <w:sz w:val="24"/>
                <w:szCs w:val="24"/>
              </w:rPr>
              <w:fldChar w:fldCharType="end"/>
            </w:r>
          </w:hyperlink>
        </w:p>
        <w:p w14:paraId="06D0A39F" w14:textId="3EBA54BE"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97" w:history="1">
            <w:r w:rsidRPr="00BF2CFD">
              <w:rPr>
                <w:rStyle w:val="Hyperlink"/>
                <w:rFonts w:ascii="Arial" w:hAnsi="Arial" w:cs="Arial"/>
                <w:b/>
                <w:bCs/>
                <w:noProof/>
                <w:sz w:val="24"/>
                <w:szCs w:val="24"/>
              </w:rPr>
              <w:t>4.2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Stylised Cultural Comparison – United States vs India (Based on Hofstede Dimensions)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_Toc214570797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11</w:t>
            </w:r>
            <w:r w:rsidRPr="00BF2CFD">
              <w:rPr>
                <w:rFonts w:ascii="Arial" w:hAnsi="Arial" w:cs="Arial"/>
                <w:noProof/>
                <w:webHidden/>
                <w:sz w:val="24"/>
                <w:szCs w:val="24"/>
              </w:rPr>
              <w:fldChar w:fldCharType="end"/>
            </w:r>
          </w:hyperlink>
        </w:p>
        <w:p w14:paraId="0D21BC71" w14:textId="175951B6"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798" w:history="1">
            <w:r w:rsidRPr="00BF2CFD">
              <w:rPr>
                <w:rStyle w:val="Hyperlink"/>
                <w:rFonts w:ascii="Arial" w:hAnsi="Arial" w:cs="Arial"/>
                <w:b/>
                <w:bCs/>
                <w:noProof/>
                <w:sz w:val="24"/>
                <w:szCs w:val="24"/>
              </w:rPr>
              <w:t>4.3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Impact on Market Entry Strategy</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_Toc214570798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11</w:t>
            </w:r>
            <w:r w:rsidRPr="00BF2CFD">
              <w:rPr>
                <w:rFonts w:ascii="Arial" w:hAnsi="Arial" w:cs="Arial"/>
                <w:noProof/>
                <w:webHidden/>
                <w:sz w:val="24"/>
                <w:szCs w:val="24"/>
              </w:rPr>
              <w:fldChar w:fldCharType="end"/>
            </w:r>
          </w:hyperlink>
        </w:p>
        <w:p w14:paraId="6246FEEF" w14:textId="1D25000A"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799" w:history="1">
            <w:r w:rsidRPr="00BF2CFD">
              <w:rPr>
                <w:rStyle w:val="Hyperlink"/>
                <w:rFonts w:ascii="Arial" w:hAnsi="Arial" w:cs="Arial"/>
                <w:b/>
                <w:bCs/>
                <w:noProof/>
                <w:sz w:val="24"/>
                <w:szCs w:val="24"/>
              </w:rPr>
              <w:t>4.3.1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Consumer Behaviour and Positioning</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_Toc214570799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11</w:t>
            </w:r>
            <w:r w:rsidRPr="00BF2CFD">
              <w:rPr>
                <w:rFonts w:ascii="Arial" w:hAnsi="Arial" w:cs="Arial"/>
                <w:noProof/>
                <w:webHidden/>
                <w:sz w:val="24"/>
                <w:szCs w:val="24"/>
              </w:rPr>
              <w:fldChar w:fldCharType="end"/>
            </w:r>
          </w:hyperlink>
        </w:p>
        <w:p w14:paraId="58AF0664" w14:textId="3F8A9751"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00" w:history="1">
            <w:r w:rsidRPr="00BF2CFD">
              <w:rPr>
                <w:rStyle w:val="Hyperlink"/>
                <w:rFonts w:ascii="Arial" w:hAnsi="Arial" w:cs="Arial"/>
                <w:b/>
                <w:bCs/>
                <w:noProof/>
                <w:sz w:val="24"/>
                <w:szCs w:val="24"/>
              </w:rPr>
              <w:t>4.3.2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Trust, Risk and EV Adoption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_Toc214570800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12</w:t>
            </w:r>
            <w:r w:rsidRPr="00BF2CFD">
              <w:rPr>
                <w:rFonts w:ascii="Arial" w:hAnsi="Arial" w:cs="Arial"/>
                <w:noProof/>
                <w:webHidden/>
                <w:sz w:val="24"/>
                <w:szCs w:val="24"/>
              </w:rPr>
              <w:fldChar w:fldCharType="end"/>
            </w:r>
          </w:hyperlink>
        </w:p>
        <w:p w14:paraId="4D9515ED" w14:textId="05AE69C5"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01" w:history="1">
            <w:r w:rsidRPr="00BF2CFD">
              <w:rPr>
                <w:rStyle w:val="Hyperlink"/>
                <w:rFonts w:ascii="Arial" w:hAnsi="Arial" w:cs="Arial"/>
                <w:b/>
                <w:bCs/>
                <w:noProof/>
                <w:sz w:val="24"/>
                <w:szCs w:val="24"/>
              </w:rPr>
              <w:t>4.3.3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Channel Strategy and Relationships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_Toc214570801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12</w:t>
            </w:r>
            <w:r w:rsidRPr="00BF2CFD">
              <w:rPr>
                <w:rFonts w:ascii="Arial" w:hAnsi="Arial" w:cs="Arial"/>
                <w:noProof/>
                <w:webHidden/>
                <w:sz w:val="24"/>
                <w:szCs w:val="24"/>
              </w:rPr>
              <w:fldChar w:fldCharType="end"/>
            </w:r>
          </w:hyperlink>
        </w:p>
        <w:p w14:paraId="6B76F8A4" w14:textId="4D004CCC"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02" w:history="1">
            <w:r w:rsidRPr="00BF2CFD">
              <w:rPr>
                <w:rStyle w:val="Hyperlink"/>
                <w:rFonts w:ascii="Arial" w:hAnsi="Arial" w:cs="Arial"/>
                <w:b/>
                <w:bCs/>
                <w:noProof/>
                <w:sz w:val="24"/>
                <w:szCs w:val="24"/>
              </w:rPr>
              <w:t>4.4</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Impact on Organisational Design and Leadership in India</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_Toc214570802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13</w:t>
            </w:r>
            <w:r w:rsidRPr="00BF2CFD">
              <w:rPr>
                <w:rFonts w:ascii="Arial" w:hAnsi="Arial" w:cs="Arial"/>
                <w:noProof/>
                <w:webHidden/>
                <w:sz w:val="24"/>
                <w:szCs w:val="24"/>
              </w:rPr>
              <w:fldChar w:fldCharType="end"/>
            </w:r>
          </w:hyperlink>
        </w:p>
        <w:p w14:paraId="4E2D99B9" w14:textId="50640217"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03" w:history="1">
            <w:r w:rsidRPr="00BF2CFD">
              <w:rPr>
                <w:rStyle w:val="Hyperlink"/>
                <w:rFonts w:ascii="Arial" w:hAnsi="Arial" w:cs="Arial"/>
                <w:b/>
                <w:bCs/>
                <w:noProof/>
                <w:sz w:val="24"/>
                <w:szCs w:val="24"/>
              </w:rPr>
              <w:t>4.5</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Implications for Success in the Indian Market</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_Toc214570803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13</w:t>
            </w:r>
            <w:r w:rsidRPr="00BF2CFD">
              <w:rPr>
                <w:rFonts w:ascii="Arial" w:hAnsi="Arial" w:cs="Arial"/>
                <w:noProof/>
                <w:webHidden/>
                <w:sz w:val="24"/>
                <w:szCs w:val="24"/>
              </w:rPr>
              <w:fldChar w:fldCharType="end"/>
            </w:r>
          </w:hyperlink>
        </w:p>
        <w:p w14:paraId="466F28A5" w14:textId="4F6C8522" w:rsidR="00BF2CFD" w:rsidRPr="00BF2CFD" w:rsidRDefault="00BF2CFD">
          <w:pPr>
            <w:pStyle w:val="TOC1"/>
            <w:tabs>
              <w:tab w:val="left" w:pos="440"/>
              <w:tab w:val="right" w:leader="dot" w:pos="9016"/>
            </w:tabs>
            <w:rPr>
              <w:rFonts w:ascii="Arial" w:eastAsiaTheme="minorEastAsia" w:hAnsi="Arial" w:cs="Arial"/>
              <w:noProof/>
              <w:sz w:val="24"/>
              <w:szCs w:val="24"/>
              <w:lang w:eastAsia="en-IN"/>
            </w:rPr>
          </w:pPr>
          <w:hyperlink w:anchor="_Toc214570804" w:history="1">
            <w:r w:rsidRPr="00BF2CFD">
              <w:rPr>
                <w:rStyle w:val="Hyperlink"/>
                <w:rFonts w:ascii="Arial" w:hAnsi="Arial" w:cs="Arial"/>
                <w:b/>
                <w:bCs/>
                <w:noProof/>
                <w:sz w:val="24"/>
                <w:szCs w:val="24"/>
              </w:rPr>
              <w:t>5.</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Suggested SOP Improvements to Ensure Success in India</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_Toc214570804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14</w:t>
            </w:r>
            <w:r w:rsidRPr="00BF2CFD">
              <w:rPr>
                <w:rFonts w:ascii="Arial" w:hAnsi="Arial" w:cs="Arial"/>
                <w:noProof/>
                <w:webHidden/>
                <w:sz w:val="24"/>
                <w:szCs w:val="24"/>
              </w:rPr>
              <w:fldChar w:fldCharType="end"/>
            </w:r>
          </w:hyperlink>
        </w:p>
        <w:p w14:paraId="317724FF" w14:textId="529F414E"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05" w:history="1">
            <w:r w:rsidRPr="00BF2CFD">
              <w:rPr>
                <w:rStyle w:val="Hyperlink"/>
                <w:rFonts w:ascii="Arial" w:hAnsi="Arial" w:cs="Arial"/>
                <w:b/>
                <w:bCs/>
                <w:noProof/>
                <w:sz w:val="24"/>
                <w:szCs w:val="24"/>
              </w:rPr>
              <w:t>5.2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SOP 1: Localised Market, Product and Pricing Strategy</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_Toc214570805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14</w:t>
            </w:r>
            <w:r w:rsidRPr="00BF2CFD">
              <w:rPr>
                <w:rFonts w:ascii="Arial" w:hAnsi="Arial" w:cs="Arial"/>
                <w:noProof/>
                <w:webHidden/>
                <w:sz w:val="24"/>
                <w:szCs w:val="24"/>
              </w:rPr>
              <w:fldChar w:fldCharType="end"/>
            </w:r>
          </w:hyperlink>
        </w:p>
        <w:p w14:paraId="42D3296C" w14:textId="0913546D"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06" w:history="1">
            <w:r w:rsidRPr="00BF2CFD">
              <w:rPr>
                <w:rStyle w:val="Hyperlink"/>
                <w:rFonts w:ascii="Arial" w:hAnsi="Arial" w:cs="Arial"/>
                <w:b/>
                <w:bCs/>
                <w:noProof/>
                <w:sz w:val="24"/>
                <w:szCs w:val="24"/>
              </w:rPr>
              <w:t>5.2.1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Phased Localisation and Portfolio Strategy</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_Toc214570806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14</w:t>
            </w:r>
            <w:r w:rsidRPr="00BF2CFD">
              <w:rPr>
                <w:rFonts w:ascii="Arial" w:hAnsi="Arial" w:cs="Arial"/>
                <w:noProof/>
                <w:webHidden/>
                <w:sz w:val="24"/>
                <w:szCs w:val="24"/>
              </w:rPr>
              <w:fldChar w:fldCharType="end"/>
            </w:r>
          </w:hyperlink>
        </w:p>
        <w:p w14:paraId="39E8E575" w14:textId="581121D2"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07" w:history="1">
            <w:r w:rsidRPr="00BF2CFD">
              <w:rPr>
                <w:rStyle w:val="Hyperlink"/>
                <w:rFonts w:ascii="Arial" w:hAnsi="Arial" w:cs="Arial"/>
                <w:b/>
                <w:bCs/>
                <w:noProof/>
                <w:sz w:val="24"/>
                <w:szCs w:val="24"/>
              </w:rPr>
              <w:t>5.2.2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India-specific pricing and financing framework</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_Toc214570807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15</w:t>
            </w:r>
            <w:r w:rsidRPr="00BF2CFD">
              <w:rPr>
                <w:rFonts w:ascii="Arial" w:hAnsi="Arial" w:cs="Arial"/>
                <w:noProof/>
                <w:webHidden/>
                <w:sz w:val="24"/>
                <w:szCs w:val="24"/>
              </w:rPr>
              <w:fldChar w:fldCharType="end"/>
            </w:r>
          </w:hyperlink>
        </w:p>
        <w:p w14:paraId="36B78F73" w14:textId="77DF99E4"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08" w:history="1">
            <w:r w:rsidRPr="00BF2CFD">
              <w:rPr>
                <w:rStyle w:val="Hyperlink"/>
                <w:rFonts w:ascii="Arial" w:hAnsi="Arial" w:cs="Arial"/>
                <w:b/>
                <w:bCs/>
                <w:noProof/>
                <w:sz w:val="24"/>
                <w:szCs w:val="24"/>
              </w:rPr>
              <w:t>5.2.3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Demand-Side Risk Reduction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_Toc214570808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15</w:t>
            </w:r>
            <w:r w:rsidRPr="00BF2CFD">
              <w:rPr>
                <w:rFonts w:ascii="Arial" w:hAnsi="Arial" w:cs="Arial"/>
                <w:noProof/>
                <w:webHidden/>
                <w:sz w:val="24"/>
                <w:szCs w:val="24"/>
              </w:rPr>
              <w:fldChar w:fldCharType="end"/>
            </w:r>
          </w:hyperlink>
        </w:p>
        <w:p w14:paraId="3B06EF5E" w14:textId="5336BA2D"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09" w:history="1">
            <w:r w:rsidRPr="00BF2CFD">
              <w:rPr>
                <w:rStyle w:val="Hyperlink"/>
                <w:rFonts w:ascii="Arial" w:hAnsi="Arial" w:cs="Arial"/>
                <w:b/>
                <w:bCs/>
                <w:noProof/>
                <w:sz w:val="24"/>
                <w:szCs w:val="24"/>
              </w:rPr>
              <w:t>5.3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SOP 2: Culturally Aligned HR, Leadership, and Customer Experience</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_Toc214570809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15</w:t>
            </w:r>
            <w:r w:rsidRPr="00BF2CFD">
              <w:rPr>
                <w:rFonts w:ascii="Arial" w:hAnsi="Arial" w:cs="Arial"/>
                <w:noProof/>
                <w:webHidden/>
                <w:sz w:val="24"/>
                <w:szCs w:val="24"/>
              </w:rPr>
              <w:fldChar w:fldCharType="end"/>
            </w:r>
          </w:hyperlink>
        </w:p>
        <w:p w14:paraId="1419B2A8" w14:textId="5CA1E9E5"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10" w:history="1">
            <w:r w:rsidRPr="00BF2CFD">
              <w:rPr>
                <w:rStyle w:val="Hyperlink"/>
                <w:rFonts w:ascii="Arial" w:hAnsi="Arial" w:cs="Arial"/>
                <w:b/>
                <w:bCs/>
                <w:noProof/>
                <w:sz w:val="24"/>
                <w:szCs w:val="24"/>
              </w:rPr>
              <w:t>5.3.1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Recommended SOP Changes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_Toc214570810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15</w:t>
            </w:r>
            <w:r w:rsidRPr="00BF2CFD">
              <w:rPr>
                <w:rFonts w:ascii="Arial" w:hAnsi="Arial" w:cs="Arial"/>
                <w:noProof/>
                <w:webHidden/>
                <w:sz w:val="24"/>
                <w:szCs w:val="24"/>
              </w:rPr>
              <w:fldChar w:fldCharType="end"/>
            </w:r>
          </w:hyperlink>
        </w:p>
        <w:p w14:paraId="38E791C7" w14:textId="1683D6E9"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11" w:history="1">
            <w:r w:rsidRPr="00BF2CFD">
              <w:rPr>
                <w:rStyle w:val="Hyperlink"/>
                <w:rFonts w:ascii="Arial" w:hAnsi="Arial" w:cs="Arial"/>
                <w:b/>
                <w:bCs/>
                <w:noProof/>
                <w:sz w:val="24"/>
                <w:szCs w:val="24"/>
              </w:rPr>
              <w:t>5.3.2</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Geocentric Staffing and Career Path SOP</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_Toc214570811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15</w:t>
            </w:r>
            <w:r w:rsidRPr="00BF2CFD">
              <w:rPr>
                <w:rFonts w:ascii="Arial" w:hAnsi="Arial" w:cs="Arial"/>
                <w:noProof/>
                <w:webHidden/>
                <w:sz w:val="24"/>
                <w:szCs w:val="24"/>
              </w:rPr>
              <w:fldChar w:fldCharType="end"/>
            </w:r>
          </w:hyperlink>
        </w:p>
        <w:p w14:paraId="26D0425B" w14:textId="38DFE81B"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12" w:history="1">
            <w:r w:rsidRPr="00BF2CFD">
              <w:rPr>
                <w:rStyle w:val="Hyperlink"/>
                <w:rFonts w:ascii="Arial" w:hAnsi="Arial" w:cs="Arial"/>
                <w:b/>
                <w:bCs/>
                <w:noProof/>
                <w:sz w:val="24"/>
                <w:szCs w:val="24"/>
              </w:rPr>
              <w:t>5.3.3</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Customer-Centric Service and Complaint-Handling SOP</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_Toc214570812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16</w:t>
            </w:r>
            <w:r w:rsidRPr="00BF2CFD">
              <w:rPr>
                <w:rFonts w:ascii="Arial" w:hAnsi="Arial" w:cs="Arial"/>
                <w:noProof/>
                <w:webHidden/>
                <w:sz w:val="24"/>
                <w:szCs w:val="24"/>
              </w:rPr>
              <w:fldChar w:fldCharType="end"/>
            </w:r>
          </w:hyperlink>
        </w:p>
        <w:p w14:paraId="1E8E6657" w14:textId="01FFB819"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13" w:history="1">
            <w:r w:rsidRPr="00BF2CFD">
              <w:rPr>
                <w:rStyle w:val="Hyperlink"/>
                <w:rFonts w:ascii="Arial" w:hAnsi="Arial" w:cs="Arial"/>
                <w:b/>
                <w:bCs/>
                <w:noProof/>
                <w:sz w:val="24"/>
                <w:szCs w:val="24"/>
              </w:rPr>
              <w:t>5.4</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Tesla India Customer Experience Loop</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_Toc214570813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16</w:t>
            </w:r>
            <w:r w:rsidRPr="00BF2CFD">
              <w:rPr>
                <w:rFonts w:ascii="Arial" w:hAnsi="Arial" w:cs="Arial"/>
                <w:noProof/>
                <w:webHidden/>
                <w:sz w:val="24"/>
                <w:szCs w:val="24"/>
              </w:rPr>
              <w:fldChar w:fldCharType="end"/>
            </w:r>
          </w:hyperlink>
        </w:p>
        <w:p w14:paraId="57F8E3CE" w14:textId="076798F3"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14" w:history="1">
            <w:r w:rsidRPr="00BF2CFD">
              <w:rPr>
                <w:rStyle w:val="Hyperlink"/>
                <w:rFonts w:ascii="Arial" w:hAnsi="Arial" w:cs="Arial"/>
                <w:b/>
                <w:bCs/>
                <w:noProof/>
                <w:sz w:val="24"/>
                <w:szCs w:val="24"/>
              </w:rPr>
              <w:t>5.5</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SOP 3: Localised, Resilient Operations and Supply Chain Integration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_Toc214570814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17</w:t>
            </w:r>
            <w:r w:rsidRPr="00BF2CFD">
              <w:rPr>
                <w:rFonts w:ascii="Arial" w:hAnsi="Arial" w:cs="Arial"/>
                <w:noProof/>
                <w:webHidden/>
                <w:sz w:val="24"/>
                <w:szCs w:val="24"/>
              </w:rPr>
              <w:fldChar w:fldCharType="end"/>
            </w:r>
          </w:hyperlink>
        </w:p>
        <w:p w14:paraId="02484BA1" w14:textId="79F1BDE0" w:rsidR="00BF2CFD" w:rsidRPr="00BF2CFD" w:rsidRDefault="00BF2CFD">
          <w:pPr>
            <w:pStyle w:val="TOC3"/>
            <w:tabs>
              <w:tab w:val="left" w:pos="1200"/>
              <w:tab w:val="right" w:leader="dot" w:pos="9016"/>
            </w:tabs>
            <w:rPr>
              <w:rFonts w:ascii="Arial" w:eastAsiaTheme="minorEastAsia" w:hAnsi="Arial" w:cs="Arial"/>
              <w:noProof/>
              <w:sz w:val="24"/>
              <w:szCs w:val="24"/>
              <w:lang w:eastAsia="en-IN"/>
            </w:rPr>
          </w:pPr>
          <w:hyperlink w:anchor="_Toc214570815" w:history="1">
            <w:r w:rsidRPr="00BF2CFD">
              <w:rPr>
                <w:rStyle w:val="Hyperlink"/>
                <w:rFonts w:ascii="Arial" w:hAnsi="Arial" w:cs="Arial"/>
                <w:b/>
                <w:bCs/>
                <w:noProof/>
                <w:sz w:val="24"/>
                <w:szCs w:val="24"/>
              </w:rPr>
              <w:t>5.5.1</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Recommended SOP Changes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_Toc214570815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17</w:t>
            </w:r>
            <w:r w:rsidRPr="00BF2CFD">
              <w:rPr>
                <w:rFonts w:ascii="Arial" w:hAnsi="Arial" w:cs="Arial"/>
                <w:noProof/>
                <w:webHidden/>
                <w:sz w:val="24"/>
                <w:szCs w:val="24"/>
              </w:rPr>
              <w:fldChar w:fldCharType="end"/>
            </w:r>
          </w:hyperlink>
        </w:p>
        <w:p w14:paraId="2A8A0148" w14:textId="2045E1CB" w:rsidR="00BF2CFD" w:rsidRPr="00BF2CFD" w:rsidRDefault="00BF2CFD">
          <w:pPr>
            <w:pStyle w:val="TOC2"/>
            <w:tabs>
              <w:tab w:val="left" w:pos="960"/>
              <w:tab w:val="right" w:leader="dot" w:pos="9016"/>
            </w:tabs>
            <w:rPr>
              <w:rFonts w:ascii="Arial" w:eastAsiaTheme="minorEastAsia" w:hAnsi="Arial" w:cs="Arial"/>
              <w:noProof/>
              <w:sz w:val="24"/>
              <w:szCs w:val="24"/>
              <w:lang w:eastAsia="en-IN"/>
            </w:rPr>
          </w:pPr>
          <w:hyperlink w:anchor="_Toc214570816" w:history="1">
            <w:r w:rsidRPr="00BF2CFD">
              <w:rPr>
                <w:rStyle w:val="Hyperlink"/>
                <w:rFonts w:ascii="Arial" w:hAnsi="Arial" w:cs="Arial"/>
                <w:b/>
                <w:bCs/>
                <w:noProof/>
                <w:sz w:val="24"/>
                <w:szCs w:val="24"/>
              </w:rPr>
              <w:t>5.6</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Example SOP Metrics for Tesla India Operations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_Toc214570816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18</w:t>
            </w:r>
            <w:r w:rsidRPr="00BF2CFD">
              <w:rPr>
                <w:rFonts w:ascii="Arial" w:hAnsi="Arial" w:cs="Arial"/>
                <w:noProof/>
                <w:webHidden/>
                <w:sz w:val="24"/>
                <w:szCs w:val="24"/>
              </w:rPr>
              <w:fldChar w:fldCharType="end"/>
            </w:r>
          </w:hyperlink>
        </w:p>
        <w:p w14:paraId="0B5FFDEE" w14:textId="2D45E907" w:rsidR="00BF2CFD" w:rsidRPr="00BF2CFD" w:rsidRDefault="00BF2CFD">
          <w:pPr>
            <w:pStyle w:val="TOC1"/>
            <w:tabs>
              <w:tab w:val="left" w:pos="440"/>
              <w:tab w:val="right" w:leader="dot" w:pos="9016"/>
            </w:tabs>
            <w:rPr>
              <w:rFonts w:ascii="Arial" w:eastAsiaTheme="minorEastAsia" w:hAnsi="Arial" w:cs="Arial"/>
              <w:noProof/>
              <w:sz w:val="24"/>
              <w:szCs w:val="24"/>
              <w:lang w:eastAsia="en-IN"/>
            </w:rPr>
          </w:pPr>
          <w:hyperlink w:anchor="_Toc214570817" w:history="1">
            <w:r w:rsidRPr="00BF2CFD">
              <w:rPr>
                <w:rStyle w:val="Hyperlink"/>
                <w:rFonts w:ascii="Arial" w:hAnsi="Arial" w:cs="Arial"/>
                <w:b/>
                <w:bCs/>
                <w:noProof/>
                <w:sz w:val="24"/>
                <w:szCs w:val="24"/>
              </w:rPr>
              <w:t>6.</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Conclusion</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_Toc214570817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18</w:t>
            </w:r>
            <w:r w:rsidRPr="00BF2CFD">
              <w:rPr>
                <w:rFonts w:ascii="Arial" w:hAnsi="Arial" w:cs="Arial"/>
                <w:noProof/>
                <w:webHidden/>
                <w:sz w:val="24"/>
                <w:szCs w:val="24"/>
              </w:rPr>
              <w:fldChar w:fldCharType="end"/>
            </w:r>
          </w:hyperlink>
        </w:p>
        <w:p w14:paraId="7C9D449C" w14:textId="7C7A7FB2" w:rsidR="00BF2CFD" w:rsidRPr="00BF2CFD" w:rsidRDefault="00BF2CFD">
          <w:pPr>
            <w:pStyle w:val="TOC1"/>
            <w:tabs>
              <w:tab w:val="left" w:pos="440"/>
              <w:tab w:val="right" w:leader="dot" w:pos="9016"/>
            </w:tabs>
            <w:rPr>
              <w:rFonts w:ascii="Arial" w:eastAsiaTheme="minorEastAsia" w:hAnsi="Arial" w:cs="Arial"/>
              <w:noProof/>
              <w:sz w:val="24"/>
              <w:szCs w:val="24"/>
              <w:lang w:eastAsia="en-IN"/>
            </w:rPr>
          </w:pPr>
          <w:hyperlink w:anchor="_Toc214570818" w:history="1">
            <w:r w:rsidRPr="00BF2CFD">
              <w:rPr>
                <w:rStyle w:val="Hyperlink"/>
                <w:rFonts w:ascii="Arial" w:hAnsi="Arial" w:cs="Arial"/>
                <w:b/>
                <w:bCs/>
                <w:noProof/>
                <w:sz w:val="24"/>
                <w:szCs w:val="24"/>
              </w:rPr>
              <w:t>7.</w:t>
            </w:r>
            <w:r w:rsidRPr="00BF2CFD">
              <w:rPr>
                <w:rFonts w:ascii="Arial" w:eastAsiaTheme="minorEastAsia" w:hAnsi="Arial" w:cs="Arial"/>
                <w:noProof/>
                <w:sz w:val="24"/>
                <w:szCs w:val="24"/>
                <w:lang w:eastAsia="en-IN"/>
              </w:rPr>
              <w:tab/>
            </w:r>
            <w:r w:rsidRPr="00BF2CFD">
              <w:rPr>
                <w:rStyle w:val="Hyperlink"/>
                <w:rFonts w:ascii="Arial" w:hAnsi="Arial" w:cs="Arial"/>
                <w:b/>
                <w:bCs/>
                <w:noProof/>
                <w:sz w:val="24"/>
                <w:szCs w:val="24"/>
              </w:rPr>
              <w:t>References</w:t>
            </w:r>
            <w:r w:rsidRPr="00BF2CFD">
              <w:rPr>
                <w:rFonts w:ascii="Arial" w:hAnsi="Arial" w:cs="Arial"/>
                <w:noProof/>
                <w:webHidden/>
                <w:sz w:val="24"/>
                <w:szCs w:val="24"/>
              </w:rPr>
              <w:tab/>
            </w:r>
            <w:r w:rsidRPr="00BF2CFD">
              <w:rPr>
                <w:rFonts w:ascii="Arial" w:hAnsi="Arial" w:cs="Arial"/>
                <w:noProof/>
                <w:webHidden/>
                <w:sz w:val="24"/>
                <w:szCs w:val="24"/>
              </w:rPr>
              <w:fldChar w:fldCharType="begin"/>
            </w:r>
            <w:r w:rsidRPr="00BF2CFD">
              <w:rPr>
                <w:rFonts w:ascii="Arial" w:hAnsi="Arial" w:cs="Arial"/>
                <w:noProof/>
                <w:webHidden/>
                <w:sz w:val="24"/>
                <w:szCs w:val="24"/>
              </w:rPr>
              <w:instrText xml:space="preserve"> PAGEREF _Toc214570818 \h </w:instrText>
            </w:r>
            <w:r w:rsidRPr="00BF2CFD">
              <w:rPr>
                <w:rFonts w:ascii="Arial" w:hAnsi="Arial" w:cs="Arial"/>
                <w:noProof/>
                <w:webHidden/>
                <w:sz w:val="24"/>
                <w:szCs w:val="24"/>
              </w:rPr>
            </w:r>
            <w:r w:rsidRPr="00BF2CFD">
              <w:rPr>
                <w:rFonts w:ascii="Arial" w:hAnsi="Arial" w:cs="Arial"/>
                <w:noProof/>
                <w:webHidden/>
                <w:sz w:val="24"/>
                <w:szCs w:val="24"/>
              </w:rPr>
              <w:fldChar w:fldCharType="separate"/>
            </w:r>
            <w:r w:rsidRPr="00BF2CFD">
              <w:rPr>
                <w:rFonts w:ascii="Arial" w:hAnsi="Arial" w:cs="Arial"/>
                <w:noProof/>
                <w:webHidden/>
                <w:sz w:val="24"/>
                <w:szCs w:val="24"/>
              </w:rPr>
              <w:t>19</w:t>
            </w:r>
            <w:r w:rsidRPr="00BF2CFD">
              <w:rPr>
                <w:rFonts w:ascii="Arial" w:hAnsi="Arial" w:cs="Arial"/>
                <w:noProof/>
                <w:webHidden/>
                <w:sz w:val="24"/>
                <w:szCs w:val="24"/>
              </w:rPr>
              <w:fldChar w:fldCharType="end"/>
            </w:r>
          </w:hyperlink>
        </w:p>
        <w:p w14:paraId="621119F1" w14:textId="385E1ADF" w:rsidR="00A45D92" w:rsidRPr="00BF2CFD" w:rsidRDefault="00A45D92">
          <w:pPr>
            <w:rPr>
              <w:rFonts w:ascii="Arial" w:hAnsi="Arial" w:cs="Arial"/>
            </w:rPr>
          </w:pPr>
          <w:r w:rsidRPr="00BF2CFD">
            <w:rPr>
              <w:rFonts w:ascii="Arial" w:hAnsi="Arial" w:cs="Arial"/>
              <w:b/>
              <w:bCs/>
              <w:noProof/>
              <w:sz w:val="24"/>
              <w:szCs w:val="24"/>
            </w:rPr>
            <w:fldChar w:fldCharType="end"/>
          </w:r>
        </w:p>
      </w:sdtContent>
    </w:sdt>
    <w:p w14:paraId="2AE256FC" w14:textId="77777777" w:rsidR="0005391F" w:rsidRDefault="0005391F" w:rsidP="00132367">
      <w:pPr>
        <w:rPr>
          <w:b/>
          <w:bCs/>
        </w:rPr>
      </w:pPr>
    </w:p>
    <w:p w14:paraId="6EAFBA41" w14:textId="77777777" w:rsidR="0005391F" w:rsidRDefault="0005391F">
      <w:pPr>
        <w:rPr>
          <w:b/>
          <w:bCs/>
        </w:rPr>
      </w:pPr>
      <w:r>
        <w:rPr>
          <w:b/>
          <w:bCs/>
        </w:rPr>
        <w:br w:type="page"/>
      </w:r>
    </w:p>
    <w:p w14:paraId="00CE6E38" w14:textId="4F574C9D" w:rsidR="0005391F" w:rsidRPr="00A45D92" w:rsidRDefault="0005391F" w:rsidP="00672DFE">
      <w:pPr>
        <w:pStyle w:val="Heading1"/>
        <w:numPr>
          <w:ilvl w:val="0"/>
          <w:numId w:val="1"/>
        </w:numPr>
        <w:rPr>
          <w:rFonts w:ascii="Arial" w:hAnsi="Arial" w:cs="Arial"/>
          <w:b/>
          <w:bCs/>
          <w:color w:val="auto"/>
          <w:sz w:val="28"/>
          <w:szCs w:val="28"/>
        </w:rPr>
      </w:pPr>
      <w:bookmarkStart w:id="0" w:name="_Toc214570778"/>
      <w:r w:rsidRPr="00A45D92">
        <w:rPr>
          <w:rFonts w:ascii="Arial" w:hAnsi="Arial" w:cs="Arial"/>
          <w:b/>
          <w:bCs/>
          <w:color w:val="auto"/>
          <w:sz w:val="28"/>
          <w:szCs w:val="28"/>
        </w:rPr>
        <w:lastRenderedPageBreak/>
        <w:t>Introduction</w:t>
      </w:r>
      <w:bookmarkEnd w:id="0"/>
    </w:p>
    <w:p w14:paraId="0A671B76" w14:textId="77777777" w:rsidR="0005391F" w:rsidRPr="00A45D92" w:rsidRDefault="0005391F" w:rsidP="0005391F">
      <w:pPr>
        <w:rPr>
          <w:rFonts w:ascii="Arial" w:hAnsi="Arial" w:cs="Arial"/>
          <w:sz w:val="24"/>
          <w:szCs w:val="24"/>
        </w:rPr>
      </w:pPr>
      <w:r w:rsidRPr="00A45D92">
        <w:rPr>
          <w:rFonts w:ascii="Arial" w:hAnsi="Arial" w:cs="Arial"/>
          <w:sz w:val="24"/>
          <w:szCs w:val="24"/>
        </w:rPr>
        <w:t>The rapid global diffusion of the electric vehicle is transforming the world automotive industry, as multinational enterprises build on cross-border value chains, technology, and scale to compete in an increasingly integrated world economy.</w:t>
      </w:r>
    </w:p>
    <w:p w14:paraId="309539CC" w14:textId="77777777" w:rsidR="0005391F" w:rsidRPr="00A45D92" w:rsidRDefault="0005391F" w:rsidP="0005391F">
      <w:pPr>
        <w:rPr>
          <w:rFonts w:ascii="Arial" w:hAnsi="Arial" w:cs="Arial"/>
          <w:sz w:val="24"/>
          <w:szCs w:val="24"/>
        </w:rPr>
      </w:pPr>
      <w:r w:rsidRPr="00A45D92">
        <w:rPr>
          <w:rFonts w:ascii="Arial" w:hAnsi="Arial" w:cs="Arial"/>
          <w:sz w:val="24"/>
          <w:szCs w:val="24"/>
        </w:rPr>
        <w:t>Tesla, Inc. is a leading US-based EV and clean energy company whose international expansion strategy now places India—one of the fastest-growing large automotive markets—at the centre of its next growth phase. In this context, India’s policy push for e-mobility alongside rising urban middle class and manufacturing ambitions create considerable opportunities at the same time as complex risks for Tesla.</w:t>
      </w:r>
    </w:p>
    <w:p w14:paraId="432EDAEA" w14:textId="199C5218" w:rsidR="0005391F" w:rsidRDefault="0005391F" w:rsidP="0005391F">
      <w:pPr>
        <w:rPr>
          <w:rFonts w:ascii="Arial" w:hAnsi="Arial" w:cs="Arial"/>
          <w:sz w:val="24"/>
          <w:szCs w:val="24"/>
        </w:rPr>
      </w:pPr>
      <w:r w:rsidRPr="00A45D92">
        <w:rPr>
          <w:rFonts w:ascii="Arial" w:hAnsi="Arial" w:cs="Arial"/>
          <w:sz w:val="24"/>
          <w:szCs w:val="24"/>
        </w:rPr>
        <w:t>Against this backdrop, this report assesses Tesla as an MNC; analyses the advantages and disadvantages of its international operations; and applies the OLI paradigm to Tesla's entry into India. Further, it assesses cultural differences between the United States and India and recommends three major SOP adjustments that need to be implemented for Tesla to become successful in India. These findings draw conclusions for international business strategy and practice.</w:t>
      </w:r>
    </w:p>
    <w:p w14:paraId="120C1A1C" w14:textId="77777777" w:rsidR="00A45D92" w:rsidRPr="00A45D92" w:rsidRDefault="00A45D92" w:rsidP="0005391F">
      <w:pPr>
        <w:rPr>
          <w:rFonts w:ascii="Arial" w:hAnsi="Arial" w:cs="Arial"/>
          <w:sz w:val="24"/>
          <w:szCs w:val="24"/>
        </w:rPr>
      </w:pPr>
    </w:p>
    <w:p w14:paraId="779121CA" w14:textId="34899731" w:rsidR="0005391F" w:rsidRPr="00A45D92" w:rsidRDefault="0005391F" w:rsidP="00672DFE">
      <w:pPr>
        <w:pStyle w:val="Heading1"/>
        <w:numPr>
          <w:ilvl w:val="0"/>
          <w:numId w:val="1"/>
        </w:numPr>
        <w:rPr>
          <w:rFonts w:ascii="Arial" w:hAnsi="Arial" w:cs="Arial"/>
          <w:b/>
          <w:bCs/>
          <w:color w:val="auto"/>
          <w:sz w:val="28"/>
          <w:szCs w:val="28"/>
        </w:rPr>
      </w:pPr>
      <w:bookmarkStart w:id="1" w:name="_Toc214570779"/>
      <w:r w:rsidRPr="00A45D92">
        <w:rPr>
          <w:rFonts w:ascii="Arial" w:hAnsi="Arial" w:cs="Arial"/>
          <w:b/>
          <w:bCs/>
          <w:color w:val="auto"/>
          <w:sz w:val="28"/>
          <w:szCs w:val="28"/>
        </w:rPr>
        <w:t>Advantages and Obstacles of International Operations</w:t>
      </w:r>
      <w:bookmarkEnd w:id="1"/>
    </w:p>
    <w:p w14:paraId="15CA39F9" w14:textId="63D7C8BF" w:rsidR="0005391F" w:rsidRPr="00A45D92" w:rsidRDefault="0005391F" w:rsidP="00672DFE">
      <w:pPr>
        <w:pStyle w:val="Heading2"/>
        <w:numPr>
          <w:ilvl w:val="1"/>
          <w:numId w:val="1"/>
        </w:numPr>
        <w:rPr>
          <w:rFonts w:ascii="Arial" w:hAnsi="Arial" w:cs="Arial"/>
          <w:b/>
          <w:bCs/>
          <w:sz w:val="24"/>
          <w:szCs w:val="24"/>
        </w:rPr>
      </w:pPr>
      <w:bookmarkStart w:id="2" w:name="_Toc214570780"/>
      <w:r w:rsidRPr="00A45D92">
        <w:rPr>
          <w:rFonts w:ascii="Arial" w:hAnsi="Arial" w:cs="Arial"/>
          <w:b/>
          <w:bCs/>
          <w:color w:val="auto"/>
          <w:sz w:val="24"/>
          <w:szCs w:val="24"/>
        </w:rPr>
        <w:t>Tesla as a Multinational / Transnational Corporation</w:t>
      </w:r>
      <w:bookmarkEnd w:id="2"/>
    </w:p>
    <w:p w14:paraId="0A1EB50A" w14:textId="77777777" w:rsidR="0005391F" w:rsidRPr="00A45D92" w:rsidRDefault="0005391F" w:rsidP="0005391F">
      <w:pPr>
        <w:rPr>
          <w:rFonts w:ascii="Arial" w:hAnsi="Arial" w:cs="Arial"/>
          <w:sz w:val="24"/>
          <w:szCs w:val="24"/>
        </w:rPr>
      </w:pPr>
      <w:r w:rsidRPr="00A45D92">
        <w:rPr>
          <w:rFonts w:ascii="Arial" w:hAnsi="Arial" w:cs="Arial"/>
          <w:sz w:val="24"/>
          <w:szCs w:val="24"/>
        </w:rPr>
        <w:t>Multinational and transnational corporations are firms operating in several countries and coordinating, across borders, activities such as production, marketing, R&amp;D, and financing in pursuit of exploiting differences in factor endowments, markets, and regulatory environments.</w:t>
      </w:r>
    </w:p>
    <w:p w14:paraId="57140138" w14:textId="77777777" w:rsidR="0005391F" w:rsidRPr="00A45D92" w:rsidRDefault="0005391F" w:rsidP="0005391F">
      <w:pPr>
        <w:rPr>
          <w:rFonts w:ascii="Arial" w:hAnsi="Arial" w:cs="Arial"/>
          <w:sz w:val="24"/>
          <w:szCs w:val="24"/>
        </w:rPr>
      </w:pPr>
      <w:r w:rsidRPr="00A45D92">
        <w:rPr>
          <w:rFonts w:ascii="Arial" w:hAnsi="Arial" w:cs="Arial"/>
          <w:sz w:val="24"/>
          <w:szCs w:val="24"/>
        </w:rPr>
        <w:t>Tesla fits this definition clearly. It designs, manufactures, and sells EVs, energy storage, and related software across North America, Europe, Asia, and other regions, with production facilities in the United States (Fremont, Austin, Nevada, New York), China (Shanghai), and Germany (Berlin-Brandenburg) and sales operations in dozens of countries (Tesla, 2024).</w:t>
      </w:r>
    </w:p>
    <w:p w14:paraId="357FB136" w14:textId="77777777" w:rsidR="0005391F" w:rsidRPr="00A45D92" w:rsidRDefault="0005391F" w:rsidP="0005391F">
      <w:pPr>
        <w:rPr>
          <w:rFonts w:ascii="Arial" w:hAnsi="Arial" w:cs="Arial"/>
          <w:sz w:val="24"/>
          <w:szCs w:val="24"/>
        </w:rPr>
      </w:pPr>
      <w:r w:rsidRPr="00A45D92">
        <w:rPr>
          <w:rFonts w:ascii="Arial" w:hAnsi="Arial" w:cs="Arial"/>
          <w:sz w:val="24"/>
          <w:szCs w:val="24"/>
        </w:rPr>
        <w:t>Tesla also demonstrates key features of a transnational company-it integrates global efficiencies (standardized vehicle platforms and software), exploits location advantages, and selectively adapts to local conditions, such as European-specific models and regulatory compliance. Global integration and local responsiveness meet the demands of a transnational strategy as explained in international business strategy frameworks (Week 8).</w:t>
      </w:r>
    </w:p>
    <w:p w14:paraId="7EBE45B9" w14:textId="77777777" w:rsidR="0005391F" w:rsidRPr="00A45D92" w:rsidRDefault="0005391F" w:rsidP="0005391F">
      <w:pPr>
        <w:rPr>
          <w:rFonts w:ascii="Arial" w:hAnsi="Arial" w:cs="Arial"/>
          <w:sz w:val="24"/>
          <w:szCs w:val="24"/>
        </w:rPr>
      </w:pPr>
      <w:r w:rsidRPr="00A45D92">
        <w:rPr>
          <w:rFonts w:ascii="Arial" w:hAnsi="Arial" w:cs="Arial"/>
          <w:sz w:val="24"/>
          <w:szCs w:val="24"/>
        </w:rPr>
        <w:t xml:space="preserve">Accordingly, Tesla can be </w:t>
      </w:r>
      <w:proofErr w:type="spellStart"/>
      <w:r w:rsidRPr="00A45D92">
        <w:rPr>
          <w:rFonts w:ascii="Arial" w:hAnsi="Arial" w:cs="Arial"/>
          <w:sz w:val="24"/>
          <w:szCs w:val="24"/>
        </w:rPr>
        <w:t>labeled</w:t>
      </w:r>
      <w:proofErr w:type="spellEnd"/>
      <w:r w:rsidRPr="00A45D92">
        <w:rPr>
          <w:rFonts w:ascii="Arial" w:hAnsi="Arial" w:cs="Arial"/>
          <w:sz w:val="24"/>
          <w:szCs w:val="24"/>
        </w:rPr>
        <w:t xml:space="preserve"> both an MNC and, from a strategic perspective, a transnational corporation.</w:t>
      </w:r>
    </w:p>
    <w:p w14:paraId="78491734" w14:textId="01C29C68" w:rsidR="0005391F" w:rsidRPr="00A45D92" w:rsidRDefault="0005391F" w:rsidP="00672DFE">
      <w:pPr>
        <w:pStyle w:val="Heading2"/>
        <w:numPr>
          <w:ilvl w:val="1"/>
          <w:numId w:val="1"/>
        </w:numPr>
        <w:rPr>
          <w:rFonts w:ascii="Arial" w:hAnsi="Arial" w:cs="Arial"/>
          <w:b/>
          <w:bCs/>
          <w:color w:val="auto"/>
          <w:sz w:val="24"/>
          <w:szCs w:val="24"/>
        </w:rPr>
      </w:pPr>
      <w:bookmarkStart w:id="3" w:name="_Toc214570781"/>
      <w:r w:rsidRPr="00A45D92">
        <w:rPr>
          <w:rFonts w:ascii="Arial" w:hAnsi="Arial" w:cs="Arial"/>
          <w:b/>
          <w:bCs/>
          <w:color w:val="auto"/>
          <w:sz w:val="24"/>
          <w:szCs w:val="24"/>
        </w:rPr>
        <w:t>Nature of Tesla's Global Value Chain</w:t>
      </w:r>
      <w:bookmarkEnd w:id="3"/>
    </w:p>
    <w:p w14:paraId="270C1F6D" w14:textId="77777777" w:rsidR="0005391F" w:rsidRPr="00A45D92" w:rsidRDefault="0005391F" w:rsidP="0005391F">
      <w:pPr>
        <w:rPr>
          <w:rFonts w:ascii="Arial" w:hAnsi="Arial" w:cs="Arial"/>
          <w:sz w:val="24"/>
          <w:szCs w:val="24"/>
        </w:rPr>
      </w:pPr>
      <w:r w:rsidRPr="00A45D92">
        <w:rPr>
          <w:rFonts w:ascii="Arial" w:hAnsi="Arial" w:cs="Arial"/>
          <w:sz w:val="24"/>
          <w:szCs w:val="24"/>
        </w:rPr>
        <w:t>According to the global business strategy, the value chain is defined as a linked set of activities-R&amp;D, operations, logistics, marketing and service-that companies make globally to create value (Week 8).</w:t>
      </w:r>
    </w:p>
    <w:p w14:paraId="4D99454A" w14:textId="0EE2B960" w:rsidR="0005391F" w:rsidRPr="00A45D92" w:rsidRDefault="0005391F" w:rsidP="0005391F">
      <w:pPr>
        <w:rPr>
          <w:rFonts w:ascii="Arial" w:hAnsi="Arial" w:cs="Arial"/>
          <w:sz w:val="24"/>
          <w:szCs w:val="24"/>
        </w:rPr>
      </w:pPr>
      <w:r w:rsidRPr="00A45D92">
        <w:rPr>
          <w:rFonts w:ascii="Arial" w:hAnsi="Arial" w:cs="Arial"/>
          <w:sz w:val="24"/>
          <w:szCs w:val="24"/>
        </w:rPr>
        <w:lastRenderedPageBreak/>
        <w:t>Tesla's value chain is highly internationalized and vertically integrated.</w:t>
      </w:r>
    </w:p>
    <w:p w14:paraId="75DA13B0" w14:textId="55D3FC2B" w:rsidR="00EF7C73" w:rsidRPr="00A45D92" w:rsidRDefault="00132367" w:rsidP="00672DFE">
      <w:pPr>
        <w:pStyle w:val="Heading2"/>
        <w:numPr>
          <w:ilvl w:val="1"/>
          <w:numId w:val="1"/>
        </w:numPr>
        <w:rPr>
          <w:rFonts w:ascii="Arial" w:hAnsi="Arial" w:cs="Arial"/>
          <w:b/>
          <w:bCs/>
          <w:color w:val="auto"/>
          <w:sz w:val="24"/>
          <w:szCs w:val="24"/>
        </w:rPr>
      </w:pPr>
      <w:bookmarkStart w:id="4" w:name="_Toc214570782"/>
      <w:r w:rsidRPr="00A45D92">
        <w:rPr>
          <w:rFonts w:ascii="Arial" w:hAnsi="Arial" w:cs="Arial"/>
          <w:b/>
          <w:bCs/>
          <w:color w:val="auto"/>
          <w:sz w:val="24"/>
          <w:szCs w:val="24"/>
        </w:rPr>
        <w:t>Simplified Overview of Tesla’s Global Value Chain</w:t>
      </w:r>
      <w:bookmarkEnd w:id="4"/>
    </w:p>
    <w:p w14:paraId="0A41B274" w14:textId="1EB991DB" w:rsidR="00EF7C73" w:rsidRPr="00A45D92" w:rsidRDefault="00EF7C73" w:rsidP="005E558E">
      <w:pPr>
        <w:rPr>
          <w:rFonts w:ascii="Arial" w:hAnsi="Arial" w:cs="Arial"/>
          <w:sz w:val="24"/>
          <w:szCs w:val="24"/>
        </w:rPr>
      </w:pPr>
      <w:r w:rsidRPr="00A45D92">
        <w:rPr>
          <w:rFonts w:ascii="Arial" w:hAnsi="Arial" w:cs="Arial"/>
          <w:noProof/>
          <w:sz w:val="24"/>
          <w:szCs w:val="24"/>
        </w:rPr>
        <w:drawing>
          <wp:inline distT="0" distB="0" distL="0" distR="0" wp14:anchorId="42F4D0CE" wp14:editId="332A23F0">
            <wp:extent cx="5731510" cy="3641090"/>
            <wp:effectExtent l="0" t="0" r="2540" b="0"/>
            <wp:docPr id="698279948" name="Picture 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79948" name="Picture 5" descr="A table with text on it&#10;&#10;AI-generated content may be incorrect."/>
                    <pic:cNvPicPr>
                      <a:picLocks noChangeAspect="1" noChangeArrowheads="1"/>
                    </pic:cNvPicPr>
                  </pic:nvPicPr>
                  <pic:blipFill rotWithShape="1">
                    <a:blip r:embed="rId9">
                      <a:extLst>
                        <a:ext uri="{28A0092B-C50C-407E-A947-70E740481C1C}">
                          <a14:useLocalDpi xmlns:a14="http://schemas.microsoft.com/office/drawing/2010/main" val="0"/>
                        </a:ext>
                      </a:extLst>
                    </a:blip>
                    <a:srcRect/>
                    <a:stretch>
                      <a:fillRect/>
                    </a:stretch>
                  </pic:blipFill>
                  <pic:spPr bwMode="auto">
                    <a:xfrm>
                      <a:off x="0" y="0"/>
                      <a:ext cx="5731510" cy="3641090"/>
                    </a:xfrm>
                    <a:prstGeom prst="rect">
                      <a:avLst/>
                    </a:prstGeom>
                    <a:noFill/>
                    <a:ln>
                      <a:noFill/>
                    </a:ln>
                    <a:extLst>
                      <a:ext uri="{53640926-AAD7-44D8-BBD7-CCE9431645EC}">
                        <a14:shadowObscured xmlns:a14="http://schemas.microsoft.com/office/drawing/2010/main"/>
                      </a:ext>
                    </a:extLst>
                  </pic:spPr>
                </pic:pic>
              </a:graphicData>
            </a:graphic>
          </wp:inline>
        </w:drawing>
      </w:r>
    </w:p>
    <w:p w14:paraId="2016BAB6" w14:textId="336A81E8" w:rsidR="005E558E" w:rsidRPr="005E558E" w:rsidRDefault="005E558E" w:rsidP="005E558E">
      <w:pPr>
        <w:rPr>
          <w:rFonts w:ascii="Arial" w:hAnsi="Arial" w:cs="Arial"/>
          <w:sz w:val="24"/>
          <w:szCs w:val="24"/>
        </w:rPr>
      </w:pPr>
      <w:r w:rsidRPr="005E558E">
        <w:rPr>
          <w:rFonts w:ascii="Arial" w:hAnsi="Arial" w:cs="Arial"/>
          <w:sz w:val="24"/>
          <w:szCs w:val="24"/>
        </w:rPr>
        <w:t>(Data synthesised from Tesla’s annual and impact reports (Tesla, 2024).</w:t>
      </w:r>
      <w:r w:rsidR="00EF7C73" w:rsidRPr="00A45D92">
        <w:rPr>
          <w:rFonts w:ascii="Arial" w:hAnsi="Arial" w:cs="Arial"/>
          <w:sz w:val="24"/>
          <w:szCs w:val="24"/>
        </w:rPr>
        <w:t>)</w:t>
      </w:r>
    </w:p>
    <w:p w14:paraId="03BA0994" w14:textId="77777777" w:rsidR="0005391F" w:rsidRPr="00A45D92" w:rsidRDefault="0005391F" w:rsidP="0005391F">
      <w:pPr>
        <w:rPr>
          <w:rFonts w:ascii="Arial" w:hAnsi="Arial" w:cs="Arial"/>
          <w:sz w:val="24"/>
          <w:szCs w:val="24"/>
        </w:rPr>
      </w:pPr>
      <w:r w:rsidRPr="00A45D92">
        <w:rPr>
          <w:rFonts w:ascii="Arial" w:hAnsi="Arial" w:cs="Arial"/>
          <w:sz w:val="24"/>
          <w:szCs w:val="24"/>
        </w:rPr>
        <w:t>This global configuration enables Tesla to exploit location economies, as revealed in the international strategy literature: production steps are placed where factor costs, skills and institutions are most favourable.</w:t>
      </w:r>
    </w:p>
    <w:p w14:paraId="130E1EAD" w14:textId="77777777" w:rsidR="0005391F" w:rsidRPr="00A45D92" w:rsidRDefault="0005391F" w:rsidP="0005391F">
      <w:pPr>
        <w:rPr>
          <w:rFonts w:ascii="Arial" w:hAnsi="Arial" w:cs="Arial"/>
          <w:b/>
          <w:bCs/>
          <w:sz w:val="24"/>
          <w:szCs w:val="24"/>
        </w:rPr>
      </w:pPr>
      <w:r w:rsidRPr="00A45D92">
        <w:rPr>
          <w:rFonts w:ascii="Arial" w:hAnsi="Arial" w:cs="Arial"/>
          <w:b/>
          <w:bCs/>
          <w:sz w:val="24"/>
          <w:szCs w:val="24"/>
        </w:rPr>
        <w:t>For example,</w:t>
      </w:r>
    </w:p>
    <w:p w14:paraId="5D64804E" w14:textId="77777777" w:rsidR="00A45D92" w:rsidRDefault="0005391F" w:rsidP="00672DFE">
      <w:pPr>
        <w:pStyle w:val="ListParagraph"/>
        <w:numPr>
          <w:ilvl w:val="0"/>
          <w:numId w:val="2"/>
        </w:numPr>
        <w:rPr>
          <w:rFonts w:ascii="Arial" w:hAnsi="Arial" w:cs="Arial"/>
          <w:sz w:val="24"/>
          <w:szCs w:val="24"/>
        </w:rPr>
      </w:pPr>
      <w:r w:rsidRPr="00A45D92">
        <w:rPr>
          <w:rFonts w:ascii="Arial" w:hAnsi="Arial" w:cs="Arial"/>
          <w:sz w:val="24"/>
          <w:szCs w:val="24"/>
        </w:rPr>
        <w:t>China (Shanghai) gives scale production capacity, proximity to Asian providers, and access to a big domestic market. Tesla, 2024</w:t>
      </w:r>
    </w:p>
    <w:p w14:paraId="2120ECA6" w14:textId="77777777" w:rsidR="00A45D92" w:rsidRDefault="00A45D92" w:rsidP="00A45D92">
      <w:pPr>
        <w:pStyle w:val="ListParagraph"/>
        <w:rPr>
          <w:rFonts w:ascii="Arial" w:hAnsi="Arial" w:cs="Arial"/>
          <w:sz w:val="24"/>
          <w:szCs w:val="24"/>
        </w:rPr>
      </w:pPr>
    </w:p>
    <w:p w14:paraId="0B77E8B0" w14:textId="34FF1517" w:rsidR="00A45D92" w:rsidRDefault="0005391F" w:rsidP="00672DFE">
      <w:pPr>
        <w:pStyle w:val="ListParagraph"/>
        <w:numPr>
          <w:ilvl w:val="0"/>
          <w:numId w:val="2"/>
        </w:numPr>
        <w:rPr>
          <w:rFonts w:ascii="Arial" w:hAnsi="Arial" w:cs="Arial"/>
          <w:sz w:val="24"/>
          <w:szCs w:val="24"/>
        </w:rPr>
      </w:pPr>
      <w:r w:rsidRPr="00A45D92">
        <w:rPr>
          <w:rFonts w:ascii="Arial" w:hAnsi="Arial" w:cs="Arial"/>
          <w:sz w:val="24"/>
          <w:szCs w:val="24"/>
        </w:rPr>
        <w:t xml:space="preserve">Germany (Berlin-Brandenburg) offers direct access to the EU market, highly qualified engineering </w:t>
      </w:r>
      <w:proofErr w:type="spellStart"/>
      <w:r w:rsidRPr="00A45D92">
        <w:rPr>
          <w:rFonts w:ascii="Arial" w:hAnsi="Arial" w:cs="Arial"/>
          <w:sz w:val="24"/>
          <w:szCs w:val="24"/>
        </w:rPr>
        <w:t>labor</w:t>
      </w:r>
      <w:proofErr w:type="spellEnd"/>
      <w:r w:rsidRPr="00A45D92">
        <w:rPr>
          <w:rFonts w:ascii="Arial" w:hAnsi="Arial" w:cs="Arial"/>
          <w:sz w:val="24"/>
          <w:szCs w:val="24"/>
        </w:rPr>
        <w:t>, and well-developed automotive clusters (Tesla, 2024).</w:t>
      </w:r>
    </w:p>
    <w:p w14:paraId="72FF80A1" w14:textId="77777777" w:rsidR="00A45D92" w:rsidRPr="00A45D92" w:rsidRDefault="00A45D92" w:rsidP="00A45D92">
      <w:pPr>
        <w:pStyle w:val="ListParagraph"/>
        <w:rPr>
          <w:rFonts w:ascii="Arial" w:hAnsi="Arial" w:cs="Arial"/>
          <w:sz w:val="24"/>
          <w:szCs w:val="24"/>
        </w:rPr>
      </w:pPr>
    </w:p>
    <w:p w14:paraId="6352C654" w14:textId="31B37EB9" w:rsidR="0005391F" w:rsidRPr="00A45D92" w:rsidRDefault="0005391F" w:rsidP="00672DFE">
      <w:pPr>
        <w:pStyle w:val="ListParagraph"/>
        <w:numPr>
          <w:ilvl w:val="0"/>
          <w:numId w:val="2"/>
        </w:numPr>
        <w:rPr>
          <w:rFonts w:ascii="Arial" w:hAnsi="Arial" w:cs="Arial"/>
          <w:sz w:val="24"/>
          <w:szCs w:val="24"/>
        </w:rPr>
      </w:pPr>
      <w:r w:rsidRPr="00A45D92">
        <w:rPr>
          <w:rFonts w:ascii="Arial" w:hAnsi="Arial" w:cs="Arial"/>
          <w:sz w:val="24"/>
          <w:szCs w:val="24"/>
        </w:rPr>
        <w:t>The United States (Texas, Nevada, California, New York) remains central for R&amp;D, corporate headquarters, AI, and energy products.</w:t>
      </w:r>
    </w:p>
    <w:p w14:paraId="798F811E" w14:textId="77777777" w:rsidR="0005391F" w:rsidRPr="00A45D92" w:rsidRDefault="0005391F" w:rsidP="0005391F">
      <w:pPr>
        <w:rPr>
          <w:rFonts w:ascii="Arial" w:hAnsi="Arial" w:cs="Arial"/>
          <w:sz w:val="24"/>
          <w:szCs w:val="24"/>
        </w:rPr>
      </w:pPr>
      <w:r w:rsidRPr="00A45D92">
        <w:rPr>
          <w:rFonts w:ascii="Arial" w:hAnsi="Arial" w:cs="Arial"/>
          <w:sz w:val="24"/>
          <w:szCs w:val="24"/>
        </w:rPr>
        <w:t>Tesla also internalises key upstream activities such as battery technology, software and charging infrastructure instead of relying heavily on external suppliers. This aligns with internalization theory, which 'argues that firms bring transactions inside the firm when markets for technology and intermediate products are imperfect' (Week 7).</w:t>
      </w:r>
    </w:p>
    <w:p w14:paraId="2209B554" w14:textId="77777777" w:rsidR="00A45D92" w:rsidRDefault="00A45D92" w:rsidP="0005391F">
      <w:pPr>
        <w:rPr>
          <w:rFonts w:ascii="Arial" w:hAnsi="Arial" w:cs="Arial"/>
          <w:sz w:val="24"/>
          <w:szCs w:val="24"/>
        </w:rPr>
      </w:pPr>
    </w:p>
    <w:p w14:paraId="2C93BEBE" w14:textId="2ED41E5B" w:rsidR="0005391F" w:rsidRPr="00A45D92" w:rsidRDefault="0005391F" w:rsidP="00672DFE">
      <w:pPr>
        <w:pStyle w:val="Heading2"/>
        <w:numPr>
          <w:ilvl w:val="1"/>
          <w:numId w:val="1"/>
        </w:numPr>
        <w:rPr>
          <w:rFonts w:ascii="Arial" w:hAnsi="Arial" w:cs="Arial"/>
          <w:b/>
          <w:bCs/>
          <w:color w:val="auto"/>
          <w:sz w:val="24"/>
          <w:szCs w:val="24"/>
        </w:rPr>
      </w:pPr>
      <w:bookmarkStart w:id="5" w:name="_Toc214570783"/>
      <w:r w:rsidRPr="00A45D92">
        <w:rPr>
          <w:rFonts w:ascii="Arial" w:hAnsi="Arial" w:cs="Arial"/>
          <w:b/>
          <w:bCs/>
          <w:color w:val="auto"/>
          <w:sz w:val="24"/>
          <w:szCs w:val="24"/>
        </w:rPr>
        <w:lastRenderedPageBreak/>
        <w:t>International Market Entry Modes Used by Tesla</w:t>
      </w:r>
      <w:bookmarkEnd w:id="5"/>
    </w:p>
    <w:p w14:paraId="3B094934" w14:textId="77777777" w:rsidR="0005391F" w:rsidRPr="00A45D92" w:rsidRDefault="0005391F" w:rsidP="0005391F">
      <w:pPr>
        <w:rPr>
          <w:rFonts w:ascii="Arial" w:hAnsi="Arial" w:cs="Arial"/>
          <w:sz w:val="24"/>
          <w:szCs w:val="24"/>
        </w:rPr>
      </w:pPr>
      <w:r w:rsidRPr="00A45D92">
        <w:rPr>
          <w:rFonts w:ascii="Arial" w:hAnsi="Arial" w:cs="Arial"/>
          <w:sz w:val="24"/>
          <w:szCs w:val="24"/>
        </w:rPr>
        <w:t>The different traditional entry modes include exporting, licensing, franchising, joint ventures, strategic alliances, and wholly owned subsidiaries including greenfield and acquisitions. (Week 3)</w:t>
      </w:r>
    </w:p>
    <w:p w14:paraId="6E4A22FC" w14:textId="77777777" w:rsidR="0005391F" w:rsidRPr="00A45D92" w:rsidRDefault="0005391F" w:rsidP="0005391F">
      <w:pPr>
        <w:rPr>
          <w:rFonts w:ascii="Arial" w:hAnsi="Arial" w:cs="Arial"/>
          <w:sz w:val="24"/>
          <w:szCs w:val="24"/>
        </w:rPr>
      </w:pPr>
      <w:r w:rsidRPr="00A45D92">
        <w:rPr>
          <w:rFonts w:ascii="Arial" w:hAnsi="Arial" w:cs="Arial"/>
          <w:sz w:val="24"/>
          <w:szCs w:val="24"/>
        </w:rPr>
        <w:t>Tesla's international expansion has relied on a combination of:</w:t>
      </w:r>
    </w:p>
    <w:p w14:paraId="465AD70E" w14:textId="77777777" w:rsidR="00B90BFB" w:rsidRDefault="0005391F" w:rsidP="00672DFE">
      <w:pPr>
        <w:pStyle w:val="ListParagraph"/>
        <w:numPr>
          <w:ilvl w:val="0"/>
          <w:numId w:val="3"/>
        </w:numPr>
        <w:rPr>
          <w:rFonts w:ascii="Arial" w:hAnsi="Arial" w:cs="Arial"/>
          <w:sz w:val="24"/>
          <w:szCs w:val="24"/>
        </w:rPr>
      </w:pPr>
      <w:r w:rsidRPr="00B90BFB">
        <w:rPr>
          <w:rFonts w:ascii="Arial" w:hAnsi="Arial" w:cs="Arial"/>
          <w:b/>
          <w:bCs/>
          <w:sz w:val="24"/>
          <w:szCs w:val="24"/>
        </w:rPr>
        <w:t>Exporting:</w:t>
      </w:r>
      <w:r w:rsidRPr="00B90BFB">
        <w:rPr>
          <w:rFonts w:ascii="Arial" w:hAnsi="Arial" w:cs="Arial"/>
          <w:sz w:val="24"/>
          <w:szCs w:val="24"/>
        </w:rPr>
        <w:t xml:space="preserve"> Early penetration of markets such as Europe, Australia and parts of Asia through exports of vehicles from US or Chinese plants.</w:t>
      </w:r>
    </w:p>
    <w:p w14:paraId="5E05755D" w14:textId="77777777" w:rsidR="00B90BFB" w:rsidRPr="00B90BFB" w:rsidRDefault="00B90BFB" w:rsidP="00B90BFB">
      <w:pPr>
        <w:pStyle w:val="ListParagraph"/>
        <w:rPr>
          <w:rFonts w:ascii="Arial" w:hAnsi="Arial" w:cs="Arial"/>
          <w:sz w:val="24"/>
          <w:szCs w:val="24"/>
        </w:rPr>
      </w:pPr>
    </w:p>
    <w:p w14:paraId="33A2258A" w14:textId="25F90A1B" w:rsidR="0005391F" w:rsidRPr="00B90BFB" w:rsidRDefault="0005391F" w:rsidP="00672DFE">
      <w:pPr>
        <w:pStyle w:val="ListParagraph"/>
        <w:numPr>
          <w:ilvl w:val="0"/>
          <w:numId w:val="3"/>
        </w:numPr>
        <w:rPr>
          <w:rFonts w:ascii="Arial" w:hAnsi="Arial" w:cs="Arial"/>
          <w:sz w:val="24"/>
          <w:szCs w:val="24"/>
        </w:rPr>
      </w:pPr>
      <w:r w:rsidRPr="00B90BFB">
        <w:rPr>
          <w:rFonts w:ascii="Arial" w:hAnsi="Arial" w:cs="Arial"/>
          <w:b/>
          <w:bCs/>
          <w:sz w:val="24"/>
          <w:szCs w:val="24"/>
        </w:rPr>
        <w:t>Wholly Owned Sales Subsidiaries:</w:t>
      </w:r>
      <w:r w:rsidRPr="00B90BFB">
        <w:rPr>
          <w:rFonts w:ascii="Arial" w:hAnsi="Arial" w:cs="Arial"/>
          <w:sz w:val="24"/>
          <w:szCs w:val="24"/>
        </w:rPr>
        <w:t xml:space="preserve"> Tesla typically establishes its own sales and service subsidiaries, using a direct-to-consumer model rather than independent dealers.</w:t>
      </w:r>
    </w:p>
    <w:p w14:paraId="22A83C5B" w14:textId="77777777" w:rsidR="00B90BFB" w:rsidRPr="00B90BFB" w:rsidRDefault="00B90BFB" w:rsidP="00B90BFB">
      <w:pPr>
        <w:pStyle w:val="ListParagraph"/>
        <w:rPr>
          <w:rFonts w:ascii="Arial" w:hAnsi="Arial" w:cs="Arial"/>
          <w:sz w:val="24"/>
          <w:szCs w:val="24"/>
        </w:rPr>
      </w:pPr>
    </w:p>
    <w:p w14:paraId="6C3CC1D9" w14:textId="77777777" w:rsidR="00B90BFB" w:rsidRDefault="0005391F" w:rsidP="00672DFE">
      <w:pPr>
        <w:pStyle w:val="ListParagraph"/>
        <w:numPr>
          <w:ilvl w:val="0"/>
          <w:numId w:val="3"/>
        </w:numPr>
        <w:rPr>
          <w:rFonts w:ascii="Arial" w:hAnsi="Arial" w:cs="Arial"/>
          <w:sz w:val="24"/>
          <w:szCs w:val="24"/>
        </w:rPr>
      </w:pPr>
      <w:r w:rsidRPr="00B90BFB">
        <w:rPr>
          <w:rFonts w:ascii="Arial" w:hAnsi="Arial" w:cs="Arial"/>
          <w:b/>
          <w:bCs/>
          <w:sz w:val="24"/>
          <w:szCs w:val="24"/>
        </w:rPr>
        <w:t>Greenfield FDI:</w:t>
      </w:r>
      <w:r w:rsidRPr="00B90BFB">
        <w:rPr>
          <w:rFonts w:ascii="Arial" w:hAnsi="Arial" w:cs="Arial"/>
          <w:sz w:val="24"/>
          <w:szCs w:val="24"/>
        </w:rPr>
        <w:t xml:space="preserve"> Building gigafactories from the ground up in Nevada, Shanghai, Berlin, and Texas is an example of greenfield investment.</w:t>
      </w:r>
    </w:p>
    <w:p w14:paraId="71E580EA" w14:textId="77777777" w:rsidR="00B90BFB" w:rsidRPr="00B90BFB" w:rsidRDefault="00B90BFB" w:rsidP="00B90BFB">
      <w:pPr>
        <w:pStyle w:val="ListParagraph"/>
        <w:rPr>
          <w:rFonts w:ascii="Arial" w:hAnsi="Arial" w:cs="Arial"/>
          <w:b/>
          <w:bCs/>
          <w:sz w:val="24"/>
          <w:szCs w:val="24"/>
        </w:rPr>
      </w:pPr>
    </w:p>
    <w:p w14:paraId="57272B9B" w14:textId="2FFD2E91" w:rsidR="00B90BFB" w:rsidRPr="00B90BFB" w:rsidRDefault="0005391F" w:rsidP="00672DFE">
      <w:pPr>
        <w:pStyle w:val="ListParagraph"/>
        <w:numPr>
          <w:ilvl w:val="0"/>
          <w:numId w:val="3"/>
        </w:numPr>
        <w:rPr>
          <w:rFonts w:ascii="Arial" w:hAnsi="Arial" w:cs="Arial"/>
          <w:sz w:val="24"/>
          <w:szCs w:val="24"/>
        </w:rPr>
      </w:pPr>
      <w:r w:rsidRPr="00B90BFB">
        <w:rPr>
          <w:rFonts w:ascii="Arial" w:hAnsi="Arial" w:cs="Arial"/>
          <w:b/>
          <w:bCs/>
          <w:sz w:val="24"/>
          <w:szCs w:val="24"/>
        </w:rPr>
        <w:t>Strategic Alliances:</w:t>
      </w:r>
      <w:r w:rsidRPr="00B90BFB">
        <w:rPr>
          <w:rFonts w:ascii="Arial" w:hAnsi="Arial" w:cs="Arial"/>
          <w:sz w:val="24"/>
          <w:szCs w:val="24"/>
        </w:rPr>
        <w:t xml:space="preserve"> Long-term collaboration with Panasonic on battery technology and supply, and with other partners; co-operation with local utilities on charging infrastructure.</w:t>
      </w:r>
    </w:p>
    <w:p w14:paraId="03591C47" w14:textId="77777777" w:rsidR="00B90BFB" w:rsidRPr="00B90BFB" w:rsidRDefault="00B90BFB" w:rsidP="00B90BFB">
      <w:pPr>
        <w:pStyle w:val="ListParagraph"/>
        <w:rPr>
          <w:rFonts w:ascii="Arial" w:hAnsi="Arial" w:cs="Arial"/>
          <w:sz w:val="24"/>
          <w:szCs w:val="24"/>
        </w:rPr>
      </w:pPr>
    </w:p>
    <w:p w14:paraId="52D0659F" w14:textId="1EF04A24" w:rsidR="0005391F" w:rsidRPr="00B90BFB" w:rsidRDefault="0005391F" w:rsidP="00672DFE">
      <w:pPr>
        <w:pStyle w:val="ListParagraph"/>
        <w:numPr>
          <w:ilvl w:val="0"/>
          <w:numId w:val="3"/>
        </w:numPr>
        <w:rPr>
          <w:rFonts w:ascii="Arial" w:hAnsi="Arial" w:cs="Arial"/>
          <w:sz w:val="24"/>
          <w:szCs w:val="24"/>
        </w:rPr>
      </w:pPr>
      <w:r w:rsidRPr="00B90BFB">
        <w:rPr>
          <w:rFonts w:ascii="Arial" w:hAnsi="Arial" w:cs="Arial"/>
          <w:b/>
          <w:bCs/>
          <w:sz w:val="24"/>
          <w:szCs w:val="24"/>
        </w:rPr>
        <w:t>Acquisitions:</w:t>
      </w:r>
      <w:r w:rsidRPr="00B90BFB">
        <w:rPr>
          <w:rFonts w:ascii="Arial" w:hAnsi="Arial" w:cs="Arial"/>
          <w:sz w:val="24"/>
          <w:szCs w:val="24"/>
        </w:rPr>
        <w:t xml:space="preserve"> Acquisitions like SolarCity and Maxwell Technologies have contributed to vertical integration in energy and battery technology; however, they have not been the main way of entering new country markets.</w:t>
      </w:r>
    </w:p>
    <w:p w14:paraId="1FD75D7B" w14:textId="77777777" w:rsidR="0005391F" w:rsidRDefault="0005391F" w:rsidP="0005391F">
      <w:pPr>
        <w:rPr>
          <w:rFonts w:ascii="Arial" w:hAnsi="Arial" w:cs="Arial"/>
          <w:sz w:val="24"/>
          <w:szCs w:val="24"/>
        </w:rPr>
      </w:pPr>
      <w:r w:rsidRPr="00A45D92">
        <w:rPr>
          <w:rFonts w:ascii="Arial" w:hAnsi="Arial" w:cs="Arial"/>
          <w:sz w:val="24"/>
          <w:szCs w:val="24"/>
        </w:rPr>
        <w:t xml:space="preserve">Given this pattern, Tesla's dominant entry mode for major markets has been wholly-owned subsidiaries, usually through greenfield manufacturing in concert with fully-controlled sales and service operations. Theories would support such a choice, given that firms with strong technological and brand-based ownership advantages would </w:t>
      </w:r>
      <w:proofErr w:type="spellStart"/>
      <w:r w:rsidRPr="00A45D92">
        <w:rPr>
          <w:rFonts w:ascii="Arial" w:hAnsi="Arial" w:cs="Arial"/>
          <w:sz w:val="24"/>
          <w:szCs w:val="24"/>
        </w:rPr>
        <w:t>favor</w:t>
      </w:r>
      <w:proofErr w:type="spellEnd"/>
      <w:r w:rsidRPr="00A45D92">
        <w:rPr>
          <w:rFonts w:ascii="Arial" w:hAnsi="Arial" w:cs="Arial"/>
          <w:sz w:val="24"/>
          <w:szCs w:val="24"/>
        </w:rPr>
        <w:t xml:space="preserve"> high-control modes in order to protect intellectual property and ensure quality (Week 3; Week 7).</w:t>
      </w:r>
    </w:p>
    <w:p w14:paraId="11D3789F" w14:textId="77777777" w:rsidR="00BF2CFD" w:rsidRPr="00A45D92" w:rsidRDefault="00BF2CFD" w:rsidP="0005391F">
      <w:pPr>
        <w:rPr>
          <w:rFonts w:ascii="Arial" w:hAnsi="Arial" w:cs="Arial"/>
          <w:sz w:val="24"/>
          <w:szCs w:val="24"/>
        </w:rPr>
      </w:pPr>
    </w:p>
    <w:p w14:paraId="778B516D" w14:textId="062FF856" w:rsidR="0005391F" w:rsidRPr="00B90BFB" w:rsidRDefault="0005391F" w:rsidP="00672DFE">
      <w:pPr>
        <w:pStyle w:val="Heading2"/>
        <w:numPr>
          <w:ilvl w:val="1"/>
          <w:numId w:val="1"/>
        </w:numPr>
        <w:rPr>
          <w:rFonts w:ascii="Arial" w:hAnsi="Arial" w:cs="Arial"/>
          <w:b/>
          <w:bCs/>
          <w:color w:val="auto"/>
          <w:sz w:val="24"/>
          <w:szCs w:val="24"/>
        </w:rPr>
      </w:pPr>
      <w:bookmarkStart w:id="6" w:name="_Toc214570784"/>
      <w:r w:rsidRPr="00B90BFB">
        <w:rPr>
          <w:rFonts w:ascii="Arial" w:hAnsi="Arial" w:cs="Arial"/>
          <w:b/>
          <w:bCs/>
          <w:color w:val="auto"/>
          <w:sz w:val="24"/>
          <w:szCs w:val="24"/>
        </w:rPr>
        <w:t>Benefits and Challenges of Tesla's International Operations</w:t>
      </w:r>
      <w:bookmarkEnd w:id="6"/>
    </w:p>
    <w:p w14:paraId="36BFB191" w14:textId="77777777" w:rsidR="0005391F" w:rsidRPr="00B90BFB" w:rsidRDefault="0005391F" w:rsidP="00672DFE">
      <w:pPr>
        <w:pStyle w:val="Heading3"/>
        <w:numPr>
          <w:ilvl w:val="2"/>
          <w:numId w:val="1"/>
        </w:numPr>
        <w:rPr>
          <w:rFonts w:ascii="Arial" w:hAnsi="Arial" w:cs="Arial"/>
          <w:b/>
          <w:bCs/>
          <w:color w:val="auto"/>
          <w:sz w:val="24"/>
          <w:szCs w:val="24"/>
        </w:rPr>
      </w:pPr>
      <w:bookmarkStart w:id="7" w:name="_Toc214570785"/>
      <w:r w:rsidRPr="00B90BFB">
        <w:rPr>
          <w:rFonts w:ascii="Arial" w:hAnsi="Arial" w:cs="Arial"/>
          <w:b/>
          <w:bCs/>
          <w:color w:val="auto"/>
          <w:sz w:val="24"/>
          <w:szCs w:val="24"/>
        </w:rPr>
        <w:t>Advantages</w:t>
      </w:r>
      <w:bookmarkEnd w:id="7"/>
    </w:p>
    <w:p w14:paraId="730BE1F6" w14:textId="77777777" w:rsidR="0005391F" w:rsidRPr="00A45D92" w:rsidRDefault="0005391F" w:rsidP="0005391F">
      <w:pPr>
        <w:rPr>
          <w:rFonts w:ascii="Arial" w:hAnsi="Arial" w:cs="Arial"/>
          <w:sz w:val="24"/>
          <w:szCs w:val="24"/>
        </w:rPr>
      </w:pPr>
      <w:r w:rsidRPr="00A45D92">
        <w:rPr>
          <w:rFonts w:ascii="Arial" w:hAnsi="Arial" w:cs="Arial"/>
          <w:sz w:val="24"/>
          <w:szCs w:val="24"/>
        </w:rPr>
        <w:t>From the perspective of international business theory, firms engage in cross-border operations to expand sales, acquire resources and reduce risk through diversification (Week 1; S2).</w:t>
      </w:r>
    </w:p>
    <w:p w14:paraId="29E895DA" w14:textId="77777777" w:rsidR="0005391F" w:rsidRPr="00A45D92" w:rsidRDefault="0005391F" w:rsidP="0005391F">
      <w:pPr>
        <w:rPr>
          <w:rFonts w:ascii="Arial" w:hAnsi="Arial" w:cs="Arial"/>
          <w:sz w:val="24"/>
          <w:szCs w:val="24"/>
        </w:rPr>
      </w:pPr>
      <w:r w:rsidRPr="00A45D92">
        <w:rPr>
          <w:rFonts w:ascii="Arial" w:hAnsi="Arial" w:cs="Arial"/>
          <w:sz w:val="24"/>
          <w:szCs w:val="24"/>
        </w:rPr>
        <w:t>Tesla enjoys a number of advantages owing to its global footprint:</w:t>
      </w:r>
    </w:p>
    <w:p w14:paraId="5AC98CDB" w14:textId="77777777" w:rsidR="0005391F" w:rsidRPr="00B90BFB" w:rsidRDefault="0005391F" w:rsidP="0005391F">
      <w:pPr>
        <w:rPr>
          <w:rFonts w:ascii="Arial" w:hAnsi="Arial" w:cs="Arial"/>
          <w:b/>
          <w:bCs/>
          <w:sz w:val="24"/>
          <w:szCs w:val="24"/>
        </w:rPr>
      </w:pPr>
      <w:r w:rsidRPr="00B90BFB">
        <w:rPr>
          <w:rFonts w:ascii="Arial" w:hAnsi="Arial" w:cs="Arial"/>
          <w:b/>
          <w:bCs/>
          <w:sz w:val="24"/>
          <w:szCs w:val="24"/>
        </w:rPr>
        <w:t>1. Market Expansion and Revenue Diversification</w:t>
      </w:r>
    </w:p>
    <w:p w14:paraId="012DA466" w14:textId="77777777" w:rsidR="0005391F" w:rsidRPr="00A45D92" w:rsidRDefault="0005391F" w:rsidP="0005391F">
      <w:pPr>
        <w:rPr>
          <w:rFonts w:ascii="Arial" w:hAnsi="Arial" w:cs="Arial"/>
          <w:sz w:val="24"/>
          <w:szCs w:val="24"/>
        </w:rPr>
      </w:pPr>
      <w:r w:rsidRPr="00A45D92">
        <w:rPr>
          <w:rFonts w:ascii="Arial" w:hAnsi="Arial" w:cs="Arial"/>
          <w:sz w:val="24"/>
          <w:szCs w:val="24"/>
        </w:rPr>
        <w:t>International operations provide access to rapidly growing EV markets beyond the more mature US and European segments. Global EV penetration reached about 18% of new car sales in 2023 and continues to rise, especially in China and Europe (IEA, 2024). Tesla sells in multiple regions, which helps spread out demand cycles and reduces its dependence on any single market.</w:t>
      </w:r>
    </w:p>
    <w:p w14:paraId="4F0893AD" w14:textId="77777777" w:rsidR="0005391F" w:rsidRPr="00B90BFB" w:rsidRDefault="0005391F" w:rsidP="0005391F">
      <w:pPr>
        <w:rPr>
          <w:rFonts w:ascii="Arial" w:hAnsi="Arial" w:cs="Arial"/>
          <w:b/>
          <w:bCs/>
          <w:sz w:val="24"/>
          <w:szCs w:val="24"/>
        </w:rPr>
      </w:pPr>
      <w:r w:rsidRPr="00B90BFB">
        <w:rPr>
          <w:rFonts w:ascii="Arial" w:hAnsi="Arial" w:cs="Arial"/>
          <w:b/>
          <w:bCs/>
          <w:sz w:val="24"/>
          <w:szCs w:val="24"/>
        </w:rPr>
        <w:lastRenderedPageBreak/>
        <w:t>2. Economies of Scale and Learning Effects</w:t>
      </w:r>
    </w:p>
    <w:p w14:paraId="17163DA7" w14:textId="77777777" w:rsidR="0005391F" w:rsidRPr="00A45D92" w:rsidRDefault="0005391F" w:rsidP="0005391F">
      <w:pPr>
        <w:rPr>
          <w:rFonts w:ascii="Arial" w:hAnsi="Arial" w:cs="Arial"/>
          <w:sz w:val="24"/>
          <w:szCs w:val="24"/>
        </w:rPr>
      </w:pPr>
      <w:r w:rsidRPr="00A45D92">
        <w:rPr>
          <w:rFonts w:ascii="Arial" w:hAnsi="Arial" w:cs="Arial"/>
          <w:sz w:val="24"/>
          <w:szCs w:val="24"/>
        </w:rPr>
        <w:t>Concentrated production in high-volume Gigafactories enables Tesla to leverage economies of scale in manufacturing and procurement, thereby potentially lowering per-unit costs critical to an industry with strong cost pressure. Experience curve effects related to battery production and software development also contribute to enhancing efficiency.</w:t>
      </w:r>
    </w:p>
    <w:p w14:paraId="4B47DA87" w14:textId="77777777" w:rsidR="0005391F" w:rsidRPr="00B90BFB" w:rsidRDefault="0005391F" w:rsidP="0005391F">
      <w:pPr>
        <w:rPr>
          <w:rFonts w:ascii="Arial" w:hAnsi="Arial" w:cs="Arial"/>
          <w:b/>
          <w:bCs/>
          <w:sz w:val="24"/>
          <w:szCs w:val="24"/>
        </w:rPr>
      </w:pPr>
      <w:r w:rsidRPr="00B90BFB">
        <w:rPr>
          <w:rFonts w:ascii="Arial" w:hAnsi="Arial" w:cs="Arial"/>
          <w:b/>
          <w:bCs/>
          <w:sz w:val="24"/>
          <w:szCs w:val="24"/>
        </w:rPr>
        <w:t>3. Location Advantages and Resource Access</w:t>
      </w:r>
    </w:p>
    <w:p w14:paraId="1E9742FD" w14:textId="77777777" w:rsidR="0005391F" w:rsidRPr="00A45D92" w:rsidRDefault="0005391F" w:rsidP="0005391F">
      <w:pPr>
        <w:rPr>
          <w:rFonts w:ascii="Arial" w:hAnsi="Arial" w:cs="Arial"/>
          <w:sz w:val="24"/>
          <w:szCs w:val="24"/>
        </w:rPr>
      </w:pPr>
      <w:r w:rsidRPr="00A45D92">
        <w:rPr>
          <w:rFonts w:ascii="Arial" w:hAnsi="Arial" w:cs="Arial"/>
          <w:sz w:val="24"/>
          <w:szCs w:val="24"/>
        </w:rPr>
        <w:t>Situating plants in regions with favourable factor conditions (e.g. skilled labour, supplier clusters, access to renewable energy) reflects the Porter's diamond model and factor mobility concepts from the trade theory of Week 6.</w:t>
      </w:r>
    </w:p>
    <w:p w14:paraId="2BF1A480" w14:textId="77777777" w:rsidR="0005391F" w:rsidRPr="00A45D92" w:rsidRDefault="0005391F" w:rsidP="0005391F">
      <w:pPr>
        <w:rPr>
          <w:rFonts w:ascii="Arial" w:hAnsi="Arial" w:cs="Arial"/>
          <w:sz w:val="24"/>
          <w:szCs w:val="24"/>
        </w:rPr>
      </w:pPr>
      <w:r w:rsidRPr="00A45D92">
        <w:rPr>
          <w:rFonts w:ascii="Arial" w:hAnsi="Arial" w:cs="Arial"/>
          <w:sz w:val="24"/>
          <w:szCs w:val="24"/>
        </w:rPr>
        <w:t>Tesla's Shanghai plant also benefits from China's large supplier base, while Berlin taps into Europe's large automotive engineering ecosystem (Tesla, 2024).</w:t>
      </w:r>
    </w:p>
    <w:p w14:paraId="70408C01" w14:textId="77777777" w:rsidR="0005391F" w:rsidRPr="00B90BFB" w:rsidRDefault="0005391F" w:rsidP="0005391F">
      <w:pPr>
        <w:rPr>
          <w:rFonts w:ascii="Arial" w:hAnsi="Arial" w:cs="Arial"/>
          <w:b/>
          <w:bCs/>
          <w:sz w:val="24"/>
          <w:szCs w:val="24"/>
        </w:rPr>
      </w:pPr>
      <w:r w:rsidRPr="00B90BFB">
        <w:rPr>
          <w:rFonts w:ascii="Arial" w:hAnsi="Arial" w:cs="Arial"/>
          <w:b/>
          <w:bCs/>
          <w:sz w:val="24"/>
          <w:szCs w:val="24"/>
        </w:rPr>
        <w:t>4. Strategic risk diversification</w:t>
      </w:r>
    </w:p>
    <w:p w14:paraId="7747E378" w14:textId="77777777" w:rsidR="0005391F" w:rsidRDefault="0005391F" w:rsidP="0005391F">
      <w:pPr>
        <w:rPr>
          <w:rFonts w:ascii="Arial" w:hAnsi="Arial" w:cs="Arial"/>
          <w:sz w:val="24"/>
          <w:szCs w:val="24"/>
        </w:rPr>
      </w:pPr>
      <w:r w:rsidRPr="00A45D92">
        <w:rPr>
          <w:rFonts w:ascii="Arial" w:hAnsi="Arial" w:cs="Arial"/>
          <w:sz w:val="24"/>
          <w:szCs w:val="24"/>
        </w:rPr>
        <w:t>Operating in multiple jurisdictions provides Tesla with the ability to hedge against regulatory shifts, currency fluctuations, and demand shocks in any single economy, which is an important consideration within a VUCA environment.</w:t>
      </w:r>
    </w:p>
    <w:p w14:paraId="0BF1C2B9" w14:textId="77777777" w:rsidR="00BF2CFD" w:rsidRPr="00A45D92" w:rsidRDefault="00BF2CFD" w:rsidP="0005391F">
      <w:pPr>
        <w:rPr>
          <w:rFonts w:ascii="Arial" w:hAnsi="Arial" w:cs="Arial"/>
          <w:sz w:val="24"/>
          <w:szCs w:val="24"/>
        </w:rPr>
      </w:pPr>
    </w:p>
    <w:p w14:paraId="1BEE5C05" w14:textId="756A069F" w:rsidR="0005391F" w:rsidRPr="00B90BFB" w:rsidRDefault="0005391F" w:rsidP="00672DFE">
      <w:pPr>
        <w:pStyle w:val="Heading3"/>
        <w:numPr>
          <w:ilvl w:val="2"/>
          <w:numId w:val="1"/>
        </w:numPr>
        <w:rPr>
          <w:rFonts w:ascii="Arial" w:hAnsi="Arial" w:cs="Arial"/>
          <w:b/>
          <w:bCs/>
          <w:color w:val="auto"/>
          <w:sz w:val="24"/>
          <w:szCs w:val="24"/>
        </w:rPr>
      </w:pPr>
      <w:bookmarkStart w:id="8" w:name="_Toc214570786"/>
      <w:r w:rsidRPr="00B90BFB">
        <w:rPr>
          <w:rFonts w:ascii="Arial" w:hAnsi="Arial" w:cs="Arial"/>
          <w:b/>
          <w:bCs/>
          <w:color w:val="auto"/>
          <w:sz w:val="24"/>
          <w:szCs w:val="24"/>
        </w:rPr>
        <w:t>Challenges</w:t>
      </w:r>
      <w:bookmarkEnd w:id="8"/>
    </w:p>
    <w:p w14:paraId="224CF52C" w14:textId="77777777" w:rsidR="0005391F" w:rsidRPr="00A45D92" w:rsidRDefault="0005391F" w:rsidP="0005391F">
      <w:pPr>
        <w:rPr>
          <w:rFonts w:ascii="Arial" w:hAnsi="Arial" w:cs="Arial"/>
          <w:sz w:val="24"/>
          <w:szCs w:val="24"/>
        </w:rPr>
      </w:pPr>
      <w:r w:rsidRPr="00A45D92">
        <w:rPr>
          <w:rFonts w:ascii="Arial" w:hAnsi="Arial" w:cs="Arial"/>
          <w:sz w:val="24"/>
          <w:szCs w:val="24"/>
        </w:rPr>
        <w:t>However, the Week 1 discussion of globalization also stresses higher complexity and risks for MNCs than for domestic firms (Week 1; S2).</w:t>
      </w:r>
    </w:p>
    <w:p w14:paraId="7D666C27" w14:textId="77777777" w:rsidR="0005391F" w:rsidRPr="00A45D92" w:rsidRDefault="0005391F" w:rsidP="0005391F">
      <w:pPr>
        <w:rPr>
          <w:rFonts w:ascii="Arial" w:hAnsi="Arial" w:cs="Arial"/>
          <w:sz w:val="24"/>
          <w:szCs w:val="24"/>
        </w:rPr>
      </w:pPr>
      <w:r w:rsidRPr="00A45D92">
        <w:rPr>
          <w:rFonts w:ascii="Arial" w:hAnsi="Arial" w:cs="Arial"/>
          <w:sz w:val="24"/>
          <w:szCs w:val="24"/>
        </w:rPr>
        <w:t>Key challenges faced by Tesla include:</w:t>
      </w:r>
    </w:p>
    <w:p w14:paraId="5D5005D5" w14:textId="15086DB6" w:rsidR="0005391F" w:rsidRPr="00B90BFB" w:rsidRDefault="0005391F" w:rsidP="00672DFE">
      <w:pPr>
        <w:pStyle w:val="ListParagraph"/>
        <w:numPr>
          <w:ilvl w:val="0"/>
          <w:numId w:val="4"/>
        </w:numPr>
        <w:rPr>
          <w:rFonts w:ascii="Arial" w:hAnsi="Arial" w:cs="Arial"/>
          <w:b/>
          <w:bCs/>
          <w:sz w:val="24"/>
          <w:szCs w:val="24"/>
        </w:rPr>
      </w:pPr>
      <w:r w:rsidRPr="00B90BFB">
        <w:rPr>
          <w:rFonts w:ascii="Arial" w:hAnsi="Arial" w:cs="Arial"/>
          <w:b/>
          <w:bCs/>
          <w:sz w:val="24"/>
          <w:szCs w:val="24"/>
        </w:rPr>
        <w:t>Exposure to Political, Economic and Legal Risks</w:t>
      </w:r>
    </w:p>
    <w:p w14:paraId="61FCAB59" w14:textId="77777777" w:rsidR="0005391F" w:rsidRPr="00A45D92" w:rsidRDefault="0005391F" w:rsidP="0005391F">
      <w:pPr>
        <w:rPr>
          <w:rFonts w:ascii="Arial" w:hAnsi="Arial" w:cs="Arial"/>
          <w:sz w:val="24"/>
          <w:szCs w:val="24"/>
        </w:rPr>
      </w:pPr>
      <w:r w:rsidRPr="00A45D92">
        <w:rPr>
          <w:rFonts w:ascii="Arial" w:hAnsi="Arial" w:cs="Arial"/>
          <w:sz w:val="24"/>
          <w:szCs w:val="24"/>
        </w:rPr>
        <w:t>These differences in political systems, levels of regulatory regimes, trade policies and legal protections obviously raise political, economic, and legal risk (Week 5).</w:t>
      </w:r>
    </w:p>
    <w:p w14:paraId="35464F8C" w14:textId="77777777" w:rsidR="0005391F" w:rsidRPr="00A45D92" w:rsidRDefault="0005391F" w:rsidP="0005391F">
      <w:pPr>
        <w:rPr>
          <w:rFonts w:ascii="Arial" w:hAnsi="Arial" w:cs="Arial"/>
          <w:sz w:val="24"/>
          <w:szCs w:val="24"/>
        </w:rPr>
      </w:pPr>
      <w:r w:rsidRPr="00A45D92">
        <w:rPr>
          <w:rFonts w:ascii="Arial" w:hAnsi="Arial" w:cs="Arial"/>
          <w:sz w:val="24"/>
          <w:szCs w:val="24"/>
        </w:rPr>
        <w:t>Changes in EV subsidies, local content requirements, or data regulations, for example, can diminish or enhance Tesla's profitability and strategic options in overseas markets.</w:t>
      </w:r>
    </w:p>
    <w:p w14:paraId="65667C02" w14:textId="36D67943" w:rsidR="0005391F" w:rsidRPr="00B90BFB" w:rsidRDefault="0005391F" w:rsidP="00672DFE">
      <w:pPr>
        <w:pStyle w:val="ListParagraph"/>
        <w:numPr>
          <w:ilvl w:val="0"/>
          <w:numId w:val="4"/>
        </w:numPr>
        <w:rPr>
          <w:rFonts w:ascii="Arial" w:hAnsi="Arial" w:cs="Arial"/>
          <w:b/>
          <w:bCs/>
          <w:sz w:val="24"/>
          <w:szCs w:val="24"/>
        </w:rPr>
      </w:pPr>
      <w:r w:rsidRPr="00B90BFB">
        <w:rPr>
          <w:rFonts w:ascii="Arial" w:hAnsi="Arial" w:cs="Arial"/>
          <w:b/>
          <w:bCs/>
          <w:sz w:val="24"/>
          <w:szCs w:val="24"/>
        </w:rPr>
        <w:t>Financial and Currency Risks</w:t>
      </w:r>
    </w:p>
    <w:p w14:paraId="27B043E0" w14:textId="77777777" w:rsidR="0005391F" w:rsidRPr="00A45D92" w:rsidRDefault="0005391F" w:rsidP="0005391F">
      <w:pPr>
        <w:rPr>
          <w:rFonts w:ascii="Arial" w:hAnsi="Arial" w:cs="Arial"/>
          <w:sz w:val="24"/>
          <w:szCs w:val="24"/>
        </w:rPr>
      </w:pPr>
      <w:r w:rsidRPr="00A45D92">
        <w:rPr>
          <w:rFonts w:ascii="Arial" w:hAnsi="Arial" w:cs="Arial"/>
          <w:sz w:val="24"/>
          <w:szCs w:val="24"/>
        </w:rPr>
        <w:t>As noted in Week 3, foreign exchange volatility can greatly affect revenues and costs.</w:t>
      </w:r>
    </w:p>
    <w:p w14:paraId="3028B87A" w14:textId="77777777" w:rsidR="0005391F" w:rsidRPr="00A45D92" w:rsidRDefault="0005391F" w:rsidP="0005391F">
      <w:pPr>
        <w:rPr>
          <w:rFonts w:ascii="Arial" w:hAnsi="Arial" w:cs="Arial"/>
          <w:sz w:val="24"/>
          <w:szCs w:val="24"/>
        </w:rPr>
      </w:pPr>
      <w:r w:rsidRPr="00A45D92">
        <w:rPr>
          <w:rFonts w:ascii="Arial" w:hAnsi="Arial" w:cs="Arial"/>
          <w:sz w:val="24"/>
          <w:szCs w:val="24"/>
        </w:rPr>
        <w:t>Tesla generates significant revenues in the euro, yuan and other currencies while reporting in US dollars, thereby exposing it to translation and transaction risk.</w:t>
      </w:r>
    </w:p>
    <w:p w14:paraId="2539DA77" w14:textId="6CAA69FF" w:rsidR="0005391F" w:rsidRPr="00B90BFB" w:rsidRDefault="0005391F" w:rsidP="00672DFE">
      <w:pPr>
        <w:pStyle w:val="ListParagraph"/>
        <w:numPr>
          <w:ilvl w:val="0"/>
          <w:numId w:val="4"/>
        </w:numPr>
        <w:rPr>
          <w:rFonts w:ascii="Arial" w:hAnsi="Arial" w:cs="Arial"/>
          <w:b/>
          <w:bCs/>
          <w:sz w:val="24"/>
          <w:szCs w:val="24"/>
        </w:rPr>
      </w:pPr>
      <w:r w:rsidRPr="00B90BFB">
        <w:rPr>
          <w:rFonts w:ascii="Arial" w:hAnsi="Arial" w:cs="Arial"/>
          <w:b/>
          <w:bCs/>
          <w:sz w:val="24"/>
          <w:szCs w:val="24"/>
        </w:rPr>
        <w:t>Increasing Global Competition</w:t>
      </w:r>
    </w:p>
    <w:p w14:paraId="377EDF46" w14:textId="77777777" w:rsidR="0005391F" w:rsidRPr="00A45D92" w:rsidRDefault="0005391F" w:rsidP="0005391F">
      <w:pPr>
        <w:rPr>
          <w:rFonts w:ascii="Arial" w:hAnsi="Arial" w:cs="Arial"/>
          <w:sz w:val="24"/>
          <w:szCs w:val="24"/>
        </w:rPr>
      </w:pPr>
      <w:r w:rsidRPr="00A45D92">
        <w:rPr>
          <w:rFonts w:ascii="Arial" w:hAnsi="Arial" w:cs="Arial"/>
          <w:sz w:val="24"/>
          <w:szCs w:val="24"/>
        </w:rPr>
        <w:t xml:space="preserve">Global EV competition is getting fierce, including investments by both established automakers and new entrants such as BYD, </w:t>
      </w:r>
      <w:proofErr w:type="spellStart"/>
      <w:r w:rsidRPr="00A45D92">
        <w:rPr>
          <w:rFonts w:ascii="Arial" w:hAnsi="Arial" w:cs="Arial"/>
          <w:sz w:val="24"/>
          <w:szCs w:val="24"/>
        </w:rPr>
        <w:t>VinFast</w:t>
      </w:r>
      <w:proofErr w:type="spellEnd"/>
      <w:r w:rsidRPr="00A45D92">
        <w:rPr>
          <w:rFonts w:ascii="Arial" w:hAnsi="Arial" w:cs="Arial"/>
          <w:sz w:val="24"/>
          <w:szCs w:val="24"/>
        </w:rPr>
        <w:t>, and Tata, who have made or plan substantial investments. This raises pressure on prices and shortens product life cycles, placing constant demands for innovation and cost-cutting.</w:t>
      </w:r>
    </w:p>
    <w:p w14:paraId="19484451" w14:textId="5809E626" w:rsidR="0005391F" w:rsidRPr="00B90BFB" w:rsidRDefault="0005391F" w:rsidP="00672DFE">
      <w:pPr>
        <w:pStyle w:val="ListParagraph"/>
        <w:numPr>
          <w:ilvl w:val="0"/>
          <w:numId w:val="4"/>
        </w:numPr>
        <w:rPr>
          <w:rFonts w:ascii="Arial" w:hAnsi="Arial" w:cs="Arial"/>
          <w:b/>
          <w:bCs/>
          <w:sz w:val="24"/>
          <w:szCs w:val="24"/>
        </w:rPr>
      </w:pPr>
      <w:r w:rsidRPr="00B90BFB">
        <w:rPr>
          <w:rFonts w:ascii="Arial" w:hAnsi="Arial" w:cs="Arial"/>
          <w:b/>
          <w:bCs/>
          <w:sz w:val="24"/>
          <w:szCs w:val="24"/>
        </w:rPr>
        <w:lastRenderedPageBreak/>
        <w:t>Cultural and Consumer Preference Differences</w:t>
      </w:r>
    </w:p>
    <w:p w14:paraId="0471A0A2" w14:textId="77777777" w:rsidR="0005391F" w:rsidRPr="00A45D92" w:rsidRDefault="0005391F" w:rsidP="0005391F">
      <w:pPr>
        <w:rPr>
          <w:rFonts w:ascii="Arial" w:hAnsi="Arial" w:cs="Arial"/>
          <w:sz w:val="24"/>
          <w:szCs w:val="24"/>
        </w:rPr>
      </w:pPr>
      <w:r w:rsidRPr="00A45D92">
        <w:rPr>
          <w:rFonts w:ascii="Arial" w:hAnsi="Arial" w:cs="Arial"/>
          <w:sz w:val="24"/>
          <w:szCs w:val="24"/>
        </w:rPr>
        <w:t>Cultural differences in values, attitudes towards risk, status signalling and concern for the environment also shape consumer response to Tesla's brand, pricing and direct-sales model-Week 4; Week 9. Price-sensitive markets like India present a particular challenge to any brand that was initially positioned in the premium market segment.</w:t>
      </w:r>
    </w:p>
    <w:p w14:paraId="162C2C17" w14:textId="057B8F87" w:rsidR="0005391F" w:rsidRPr="00B90BFB" w:rsidRDefault="0005391F" w:rsidP="00672DFE">
      <w:pPr>
        <w:pStyle w:val="ListParagraph"/>
        <w:numPr>
          <w:ilvl w:val="0"/>
          <w:numId w:val="4"/>
        </w:numPr>
        <w:rPr>
          <w:rFonts w:ascii="Arial" w:hAnsi="Arial" w:cs="Arial"/>
          <w:sz w:val="24"/>
          <w:szCs w:val="24"/>
        </w:rPr>
      </w:pPr>
      <w:r w:rsidRPr="00B90BFB">
        <w:rPr>
          <w:rFonts w:ascii="Arial" w:hAnsi="Arial" w:cs="Arial"/>
          <w:b/>
          <w:bCs/>
          <w:sz w:val="24"/>
          <w:szCs w:val="24"/>
        </w:rPr>
        <w:t>Operational and Supply Chain Complexity</w:t>
      </w:r>
    </w:p>
    <w:p w14:paraId="37A41B8A" w14:textId="77777777" w:rsidR="0005391F" w:rsidRPr="00A45D92" w:rsidRDefault="0005391F" w:rsidP="0005391F">
      <w:pPr>
        <w:rPr>
          <w:rFonts w:ascii="Arial" w:hAnsi="Arial" w:cs="Arial"/>
          <w:sz w:val="24"/>
          <w:szCs w:val="24"/>
        </w:rPr>
      </w:pPr>
      <w:r w:rsidRPr="00A45D92">
        <w:rPr>
          <w:rFonts w:ascii="Arial" w:hAnsi="Arial" w:cs="Arial"/>
          <w:sz w:val="24"/>
          <w:szCs w:val="24"/>
        </w:rPr>
        <w:t>Coordinating a global supply chain for batteries, semiconductors, and critical minerals is a complex systems challenge. Disruptions from geopolitical tension, trade restrictions, or logistic bottlenecks can affect production and delivery performance.</w:t>
      </w:r>
    </w:p>
    <w:p w14:paraId="2DC144EA" w14:textId="77777777" w:rsidR="0005391F" w:rsidRPr="00A45D92" w:rsidRDefault="0005391F" w:rsidP="0005391F">
      <w:pPr>
        <w:rPr>
          <w:rFonts w:ascii="Arial" w:hAnsi="Arial" w:cs="Arial"/>
          <w:sz w:val="24"/>
          <w:szCs w:val="24"/>
        </w:rPr>
      </w:pPr>
      <w:r w:rsidRPr="00A45D92">
        <w:rPr>
          <w:rFonts w:ascii="Arial" w:hAnsi="Arial" w:cs="Arial"/>
          <w:sz w:val="24"/>
          <w:szCs w:val="24"/>
        </w:rPr>
        <w:t>Overall, Tesla's internationalization yields substantial benefits in growth and competitive positioning but places it in a high-risk environment with high complexity, which makes strategic choices-especially those related to India-particularly consequential.</w:t>
      </w:r>
    </w:p>
    <w:p w14:paraId="7054FBBA" w14:textId="0383A09E" w:rsidR="0005391F" w:rsidRPr="00B90BFB" w:rsidRDefault="0005391F" w:rsidP="00672DFE">
      <w:pPr>
        <w:pStyle w:val="Heading1"/>
        <w:numPr>
          <w:ilvl w:val="0"/>
          <w:numId w:val="1"/>
        </w:numPr>
        <w:rPr>
          <w:rFonts w:ascii="Arial" w:hAnsi="Arial" w:cs="Arial"/>
          <w:b/>
          <w:bCs/>
          <w:color w:val="auto"/>
          <w:sz w:val="28"/>
          <w:szCs w:val="28"/>
        </w:rPr>
      </w:pPr>
      <w:bookmarkStart w:id="9" w:name="_Toc214570787"/>
      <w:r w:rsidRPr="00B90BFB">
        <w:rPr>
          <w:rFonts w:ascii="Arial" w:hAnsi="Arial" w:cs="Arial"/>
          <w:b/>
          <w:bCs/>
          <w:color w:val="auto"/>
          <w:sz w:val="28"/>
          <w:szCs w:val="28"/>
        </w:rPr>
        <w:t>OLI Analysis: Tesla and India</w:t>
      </w:r>
      <w:bookmarkEnd w:id="9"/>
      <w:r w:rsidRPr="00B90BFB">
        <w:rPr>
          <w:rFonts w:ascii="Arial" w:hAnsi="Arial" w:cs="Arial"/>
          <w:b/>
          <w:bCs/>
          <w:color w:val="auto"/>
          <w:sz w:val="28"/>
          <w:szCs w:val="28"/>
        </w:rPr>
        <w:t xml:space="preserve"> </w:t>
      </w:r>
    </w:p>
    <w:p w14:paraId="0749F59A" w14:textId="77777777" w:rsidR="0005391F" w:rsidRDefault="0005391F" w:rsidP="0005391F">
      <w:pPr>
        <w:rPr>
          <w:rFonts w:ascii="Arial" w:hAnsi="Arial" w:cs="Arial"/>
          <w:sz w:val="24"/>
          <w:szCs w:val="24"/>
        </w:rPr>
      </w:pPr>
      <w:r w:rsidRPr="00A45D92">
        <w:rPr>
          <w:rFonts w:ascii="Arial" w:hAnsi="Arial" w:cs="Arial"/>
          <w:sz w:val="24"/>
          <w:szCs w:val="24"/>
        </w:rPr>
        <w:t>The eclectic paradigm (OLI) integrates ownership, location, and internalization advantages to explain why firms undertake FDI in specific locations and choose particular entry modes. (Week 7) Applying this framework to Tesla's expansion into India will elucidate the logic behind its likely strategy.</w:t>
      </w:r>
    </w:p>
    <w:p w14:paraId="474D1B2D" w14:textId="77777777" w:rsidR="00BF2CFD" w:rsidRPr="00A45D92" w:rsidRDefault="00BF2CFD" w:rsidP="0005391F">
      <w:pPr>
        <w:rPr>
          <w:rFonts w:ascii="Arial" w:hAnsi="Arial" w:cs="Arial"/>
          <w:sz w:val="24"/>
          <w:szCs w:val="24"/>
        </w:rPr>
      </w:pPr>
    </w:p>
    <w:p w14:paraId="3B5FBF21" w14:textId="6BB580CC" w:rsidR="0005391F" w:rsidRPr="00B90BFB" w:rsidRDefault="0005391F" w:rsidP="00672DFE">
      <w:pPr>
        <w:pStyle w:val="Heading2"/>
        <w:numPr>
          <w:ilvl w:val="1"/>
          <w:numId w:val="1"/>
        </w:numPr>
        <w:rPr>
          <w:rFonts w:ascii="Arial" w:hAnsi="Arial" w:cs="Arial"/>
          <w:b/>
          <w:bCs/>
          <w:color w:val="auto"/>
          <w:sz w:val="24"/>
          <w:szCs w:val="24"/>
        </w:rPr>
      </w:pPr>
      <w:bookmarkStart w:id="10" w:name="_Toc214570788"/>
      <w:r w:rsidRPr="00B90BFB">
        <w:rPr>
          <w:rFonts w:ascii="Arial" w:hAnsi="Arial" w:cs="Arial"/>
          <w:b/>
          <w:bCs/>
          <w:color w:val="auto"/>
          <w:sz w:val="24"/>
          <w:szCs w:val="24"/>
        </w:rPr>
        <w:t>Ownership (O) Benefits</w:t>
      </w:r>
      <w:bookmarkEnd w:id="10"/>
    </w:p>
    <w:p w14:paraId="633438F1" w14:textId="77777777" w:rsidR="0005391F" w:rsidRPr="00A45D92" w:rsidRDefault="0005391F" w:rsidP="0005391F">
      <w:pPr>
        <w:rPr>
          <w:rFonts w:ascii="Arial" w:hAnsi="Arial" w:cs="Arial"/>
          <w:sz w:val="24"/>
          <w:szCs w:val="24"/>
        </w:rPr>
      </w:pPr>
      <w:r w:rsidRPr="00A45D92">
        <w:rPr>
          <w:rFonts w:ascii="Arial" w:hAnsi="Arial" w:cs="Arial"/>
          <w:sz w:val="24"/>
          <w:szCs w:val="24"/>
        </w:rPr>
        <w:t>Ownership advantages are firm-specific assets that provide competitive advantage internationally (Week 7). Tesla has a number of potent O-advantages relevant to the Indian context:</w:t>
      </w:r>
    </w:p>
    <w:p w14:paraId="65795B3A" w14:textId="5A4239B1" w:rsidR="0005391F" w:rsidRPr="00B90BFB" w:rsidRDefault="0005391F" w:rsidP="00672DFE">
      <w:pPr>
        <w:pStyle w:val="ListParagraph"/>
        <w:numPr>
          <w:ilvl w:val="0"/>
          <w:numId w:val="5"/>
        </w:numPr>
        <w:rPr>
          <w:rFonts w:ascii="Arial" w:hAnsi="Arial" w:cs="Arial"/>
          <w:b/>
          <w:bCs/>
          <w:sz w:val="24"/>
          <w:szCs w:val="24"/>
        </w:rPr>
      </w:pPr>
      <w:r w:rsidRPr="00B90BFB">
        <w:rPr>
          <w:rFonts w:ascii="Arial" w:hAnsi="Arial" w:cs="Arial"/>
          <w:b/>
          <w:bCs/>
          <w:sz w:val="24"/>
          <w:szCs w:val="24"/>
        </w:rPr>
        <w:t>Proprietary Technology and Innovation Capability</w:t>
      </w:r>
    </w:p>
    <w:p w14:paraId="7BADAC90" w14:textId="77777777" w:rsidR="0005391F" w:rsidRPr="00A45D92" w:rsidRDefault="0005391F" w:rsidP="0005391F">
      <w:pPr>
        <w:rPr>
          <w:rFonts w:ascii="Arial" w:hAnsi="Arial" w:cs="Arial"/>
          <w:sz w:val="24"/>
          <w:szCs w:val="24"/>
        </w:rPr>
      </w:pPr>
      <w:r w:rsidRPr="00A45D92">
        <w:rPr>
          <w:rFonts w:ascii="Arial" w:hAnsi="Arial" w:cs="Arial"/>
          <w:sz w:val="24"/>
          <w:szCs w:val="24"/>
        </w:rPr>
        <w:t>Tesla's differentiated competitiveness in the fields of battery technology, power electronics, software-Autopilot/FSD, and integrated vehicle-energy systems allows for differentiation in range, performance, and ecosystem integration. Tesla, 2024</w:t>
      </w:r>
    </w:p>
    <w:p w14:paraId="50C2111D" w14:textId="295CA84D" w:rsidR="0005391F" w:rsidRPr="00B90BFB" w:rsidRDefault="0005391F" w:rsidP="00672DFE">
      <w:pPr>
        <w:pStyle w:val="ListParagraph"/>
        <w:numPr>
          <w:ilvl w:val="0"/>
          <w:numId w:val="5"/>
        </w:numPr>
        <w:rPr>
          <w:rFonts w:ascii="Arial" w:hAnsi="Arial" w:cs="Arial"/>
          <w:b/>
          <w:bCs/>
          <w:sz w:val="24"/>
          <w:szCs w:val="24"/>
        </w:rPr>
      </w:pPr>
      <w:r w:rsidRPr="00B90BFB">
        <w:rPr>
          <w:rFonts w:ascii="Arial" w:hAnsi="Arial" w:cs="Arial"/>
          <w:b/>
          <w:bCs/>
          <w:sz w:val="24"/>
          <w:szCs w:val="24"/>
        </w:rPr>
        <w:t>Global Brand and First-Mover Image in EVs</w:t>
      </w:r>
    </w:p>
    <w:p w14:paraId="401768AA" w14:textId="77777777" w:rsidR="0005391F" w:rsidRPr="00A45D92" w:rsidRDefault="0005391F" w:rsidP="0005391F">
      <w:pPr>
        <w:rPr>
          <w:rFonts w:ascii="Arial" w:hAnsi="Arial" w:cs="Arial"/>
          <w:sz w:val="24"/>
          <w:szCs w:val="24"/>
        </w:rPr>
      </w:pPr>
      <w:r w:rsidRPr="00A45D92">
        <w:rPr>
          <w:rFonts w:ascii="Arial" w:hAnsi="Arial" w:cs="Arial"/>
          <w:sz w:val="24"/>
          <w:szCs w:val="24"/>
        </w:rPr>
        <w:t>It strongly pertains to innovation, sustainability, and aspirational status, which may appeal to the growing affluent urban segment in India and the rapidly expanding luxury EV market (Economic Times, 2025).</w:t>
      </w:r>
    </w:p>
    <w:p w14:paraId="5D172782" w14:textId="7A37D8E0" w:rsidR="0005391F" w:rsidRPr="00B90BFB" w:rsidRDefault="0005391F" w:rsidP="00672DFE">
      <w:pPr>
        <w:pStyle w:val="ListParagraph"/>
        <w:numPr>
          <w:ilvl w:val="0"/>
          <w:numId w:val="5"/>
        </w:numPr>
        <w:rPr>
          <w:rFonts w:ascii="Arial" w:hAnsi="Arial" w:cs="Arial"/>
          <w:b/>
          <w:bCs/>
          <w:sz w:val="24"/>
          <w:szCs w:val="24"/>
        </w:rPr>
      </w:pPr>
      <w:r w:rsidRPr="00B90BFB">
        <w:rPr>
          <w:rFonts w:ascii="Arial" w:hAnsi="Arial" w:cs="Arial"/>
          <w:b/>
          <w:bCs/>
          <w:sz w:val="24"/>
          <w:szCs w:val="24"/>
        </w:rPr>
        <w:t>Direct-to-Consumer Business Model and Data Capabilities</w:t>
      </w:r>
    </w:p>
    <w:p w14:paraId="5C5399B1" w14:textId="77777777" w:rsidR="0005391F" w:rsidRPr="00A45D92" w:rsidRDefault="0005391F" w:rsidP="0005391F">
      <w:pPr>
        <w:rPr>
          <w:rFonts w:ascii="Arial" w:hAnsi="Arial" w:cs="Arial"/>
          <w:sz w:val="24"/>
          <w:szCs w:val="24"/>
        </w:rPr>
      </w:pPr>
      <w:r w:rsidRPr="00A45D92">
        <w:rPr>
          <w:rFonts w:ascii="Arial" w:hAnsi="Arial" w:cs="Arial"/>
          <w:sz w:val="24"/>
          <w:szCs w:val="24"/>
        </w:rPr>
        <w:t>Online sales, over-the-air software updates, and data-driven product improvement at Tesla create ongoing customer lock-in and learning effects that are difficult to replicate by rivals.</w:t>
      </w:r>
    </w:p>
    <w:p w14:paraId="0E3BF19F" w14:textId="53287999" w:rsidR="0005391F" w:rsidRPr="00B90BFB" w:rsidRDefault="0005391F" w:rsidP="00672DFE">
      <w:pPr>
        <w:pStyle w:val="ListParagraph"/>
        <w:numPr>
          <w:ilvl w:val="0"/>
          <w:numId w:val="5"/>
        </w:numPr>
        <w:rPr>
          <w:rFonts w:ascii="Arial" w:hAnsi="Arial" w:cs="Arial"/>
          <w:sz w:val="24"/>
          <w:szCs w:val="24"/>
        </w:rPr>
      </w:pPr>
      <w:r w:rsidRPr="00B90BFB">
        <w:rPr>
          <w:rFonts w:ascii="Arial" w:hAnsi="Arial" w:cs="Arial"/>
          <w:b/>
          <w:bCs/>
          <w:sz w:val="24"/>
          <w:szCs w:val="24"/>
        </w:rPr>
        <w:t>Integrated Charging Infrastructure</w:t>
      </w:r>
    </w:p>
    <w:p w14:paraId="2CB11DD4" w14:textId="77777777" w:rsidR="0005391F" w:rsidRPr="00A45D92" w:rsidRDefault="0005391F" w:rsidP="0005391F">
      <w:pPr>
        <w:rPr>
          <w:rFonts w:ascii="Arial" w:hAnsi="Arial" w:cs="Arial"/>
          <w:sz w:val="24"/>
          <w:szCs w:val="24"/>
        </w:rPr>
      </w:pPr>
      <w:r w:rsidRPr="00A45D92">
        <w:rPr>
          <w:rFonts w:ascii="Arial" w:hAnsi="Arial" w:cs="Arial"/>
          <w:sz w:val="24"/>
          <w:szCs w:val="24"/>
        </w:rPr>
        <w:lastRenderedPageBreak/>
        <w:t>In this way, the supercharger network acts as almost physical proof of internalized infrastructure that reduces range anxiety and supports premium positioning. This is crucial in India, where public charging infrastructure, though growing, is imbalanced, according to NITI Aayog (2024).</w:t>
      </w:r>
    </w:p>
    <w:p w14:paraId="16866BC7" w14:textId="795294F4" w:rsidR="0005391F" w:rsidRDefault="0005391F" w:rsidP="0005391F">
      <w:pPr>
        <w:rPr>
          <w:rFonts w:ascii="Arial" w:hAnsi="Arial" w:cs="Arial"/>
          <w:sz w:val="24"/>
          <w:szCs w:val="24"/>
        </w:rPr>
      </w:pPr>
      <w:r w:rsidRPr="00A45D92">
        <w:rPr>
          <w:rFonts w:ascii="Arial" w:hAnsi="Arial" w:cs="Arial"/>
          <w:sz w:val="24"/>
          <w:szCs w:val="24"/>
        </w:rPr>
        <w:t>These ownership advantages support high-control entry modes, such as wholly owned subsidiaries, for example, in India, to protect intellectual property, brand integrity, and fully appropriate returns from innovation. This is consistent with internalisation theory (Week 7).</w:t>
      </w:r>
    </w:p>
    <w:p w14:paraId="03757C4D" w14:textId="77777777" w:rsidR="00BF2CFD" w:rsidRPr="00A45D92" w:rsidRDefault="00BF2CFD" w:rsidP="0005391F">
      <w:pPr>
        <w:rPr>
          <w:rFonts w:ascii="Arial" w:hAnsi="Arial" w:cs="Arial"/>
          <w:sz w:val="24"/>
          <w:szCs w:val="24"/>
        </w:rPr>
      </w:pPr>
    </w:p>
    <w:p w14:paraId="3DE162BF" w14:textId="4819782A" w:rsidR="0005391F" w:rsidRPr="00B90BFB" w:rsidRDefault="0005391F" w:rsidP="00672DFE">
      <w:pPr>
        <w:pStyle w:val="Heading2"/>
        <w:numPr>
          <w:ilvl w:val="1"/>
          <w:numId w:val="1"/>
        </w:numPr>
        <w:rPr>
          <w:rFonts w:ascii="Arial" w:hAnsi="Arial" w:cs="Arial"/>
          <w:b/>
          <w:bCs/>
          <w:color w:val="auto"/>
          <w:sz w:val="24"/>
          <w:szCs w:val="24"/>
        </w:rPr>
      </w:pPr>
      <w:bookmarkStart w:id="11" w:name="_Toc214570789"/>
      <w:r w:rsidRPr="00B90BFB">
        <w:rPr>
          <w:rFonts w:ascii="Arial" w:hAnsi="Arial" w:cs="Arial"/>
          <w:b/>
          <w:bCs/>
          <w:color w:val="auto"/>
          <w:sz w:val="24"/>
          <w:szCs w:val="24"/>
        </w:rPr>
        <w:t>Location (L) Advantages of India</w:t>
      </w:r>
      <w:bookmarkEnd w:id="11"/>
    </w:p>
    <w:p w14:paraId="0A960EBC" w14:textId="77777777" w:rsidR="0005391F" w:rsidRPr="00A45D92" w:rsidRDefault="0005391F" w:rsidP="0005391F">
      <w:pPr>
        <w:rPr>
          <w:rFonts w:ascii="Arial" w:hAnsi="Arial" w:cs="Arial"/>
          <w:sz w:val="24"/>
          <w:szCs w:val="24"/>
        </w:rPr>
      </w:pPr>
      <w:r w:rsidRPr="00A45D92">
        <w:rPr>
          <w:rFonts w:ascii="Arial" w:hAnsi="Arial" w:cs="Arial"/>
          <w:sz w:val="24"/>
          <w:szCs w:val="24"/>
        </w:rPr>
        <w:t>Location advantages reflect how host-country conditions make it attractive for FDI. India provides a mixed but increasingly favourable profile for Tesla.</w:t>
      </w:r>
    </w:p>
    <w:p w14:paraId="39BFF181" w14:textId="77777777" w:rsidR="0005391F" w:rsidRPr="00B90BFB" w:rsidRDefault="0005391F" w:rsidP="00672DFE">
      <w:pPr>
        <w:pStyle w:val="Heading3"/>
        <w:numPr>
          <w:ilvl w:val="2"/>
          <w:numId w:val="1"/>
        </w:numPr>
        <w:rPr>
          <w:rFonts w:ascii="Arial" w:hAnsi="Arial" w:cs="Arial"/>
          <w:b/>
          <w:bCs/>
          <w:color w:val="auto"/>
          <w:sz w:val="24"/>
          <w:szCs w:val="24"/>
        </w:rPr>
      </w:pPr>
      <w:bookmarkStart w:id="12" w:name="_Toc214570790"/>
      <w:r w:rsidRPr="00B90BFB">
        <w:rPr>
          <w:rFonts w:ascii="Arial" w:hAnsi="Arial" w:cs="Arial"/>
          <w:b/>
          <w:bCs/>
          <w:color w:val="auto"/>
          <w:sz w:val="24"/>
          <w:szCs w:val="24"/>
        </w:rPr>
        <w:t>Market-Related Advantages</w:t>
      </w:r>
      <w:bookmarkEnd w:id="12"/>
    </w:p>
    <w:p w14:paraId="13A0A5FA" w14:textId="77777777" w:rsidR="0005391F" w:rsidRPr="00B90BFB" w:rsidRDefault="0005391F" w:rsidP="00672DFE">
      <w:pPr>
        <w:pStyle w:val="ListParagraph"/>
        <w:numPr>
          <w:ilvl w:val="0"/>
          <w:numId w:val="5"/>
        </w:numPr>
        <w:rPr>
          <w:rFonts w:ascii="Arial" w:hAnsi="Arial" w:cs="Arial"/>
          <w:b/>
          <w:bCs/>
          <w:sz w:val="24"/>
          <w:szCs w:val="24"/>
        </w:rPr>
      </w:pPr>
      <w:r w:rsidRPr="00B90BFB">
        <w:rPr>
          <w:rFonts w:ascii="Arial" w:hAnsi="Arial" w:cs="Arial"/>
          <w:b/>
          <w:bCs/>
          <w:sz w:val="24"/>
          <w:szCs w:val="24"/>
        </w:rPr>
        <w:t>Large, Growing Automotive Market</w:t>
      </w:r>
    </w:p>
    <w:p w14:paraId="150C1F92" w14:textId="77777777" w:rsidR="0005391F" w:rsidRPr="00A45D92" w:rsidRDefault="0005391F" w:rsidP="0005391F">
      <w:pPr>
        <w:rPr>
          <w:rFonts w:ascii="Arial" w:hAnsi="Arial" w:cs="Arial"/>
          <w:sz w:val="24"/>
          <w:szCs w:val="24"/>
        </w:rPr>
      </w:pPr>
      <w:r w:rsidRPr="00A45D92">
        <w:rPr>
          <w:rFonts w:ascii="Arial" w:hAnsi="Arial" w:cs="Arial"/>
          <w:sz w:val="24"/>
          <w:szCs w:val="24"/>
        </w:rPr>
        <w:t xml:space="preserve">India is among the largest markets for passenger vehicles in the world, with rising incomes and rapid urbanization. Electric cars still represent a relatively small but fast-growing share: EV car registrations reached around 2% of new car sales in 2023 and have been expanding rapidly (IEA, 2024; </w:t>
      </w:r>
      <w:proofErr w:type="spellStart"/>
      <w:r w:rsidRPr="00A45D92">
        <w:rPr>
          <w:rFonts w:ascii="Arial" w:hAnsi="Arial" w:cs="Arial"/>
          <w:sz w:val="24"/>
          <w:szCs w:val="24"/>
        </w:rPr>
        <w:t>AckoDrive</w:t>
      </w:r>
      <w:proofErr w:type="spellEnd"/>
      <w:r w:rsidRPr="00A45D92">
        <w:rPr>
          <w:rFonts w:ascii="Arial" w:hAnsi="Arial" w:cs="Arial"/>
          <w:sz w:val="24"/>
          <w:szCs w:val="24"/>
        </w:rPr>
        <w:t>, 2025). This suggests significant long-term growth potential.</w:t>
      </w:r>
    </w:p>
    <w:p w14:paraId="0D23DCEA" w14:textId="578FB43F" w:rsidR="0005391F" w:rsidRPr="00B90BFB" w:rsidRDefault="0005391F" w:rsidP="00672DFE">
      <w:pPr>
        <w:pStyle w:val="ListParagraph"/>
        <w:numPr>
          <w:ilvl w:val="0"/>
          <w:numId w:val="5"/>
        </w:numPr>
        <w:rPr>
          <w:rFonts w:ascii="Arial" w:hAnsi="Arial" w:cs="Arial"/>
          <w:b/>
          <w:bCs/>
          <w:sz w:val="24"/>
          <w:szCs w:val="24"/>
        </w:rPr>
      </w:pPr>
      <w:r w:rsidRPr="00B90BFB">
        <w:rPr>
          <w:rFonts w:ascii="Arial" w:hAnsi="Arial" w:cs="Arial"/>
          <w:b/>
          <w:bCs/>
          <w:sz w:val="24"/>
          <w:szCs w:val="24"/>
        </w:rPr>
        <w:t>Policy Support for EVs</w:t>
      </w:r>
    </w:p>
    <w:p w14:paraId="33DEAB51" w14:textId="77777777" w:rsidR="0005391F" w:rsidRPr="00A45D92" w:rsidRDefault="0005391F" w:rsidP="0005391F">
      <w:pPr>
        <w:rPr>
          <w:rFonts w:ascii="Arial" w:hAnsi="Arial" w:cs="Arial"/>
          <w:sz w:val="24"/>
          <w:szCs w:val="24"/>
        </w:rPr>
      </w:pPr>
      <w:r w:rsidRPr="00A45D92">
        <w:rPr>
          <w:rFonts w:ascii="Arial" w:hAnsi="Arial" w:cs="Arial"/>
          <w:sz w:val="24"/>
          <w:szCs w:val="24"/>
        </w:rPr>
        <w:t>Government schemes like FAME II, Production Linked Incentive programmes, and more recently, the Scheme to Promote Manufacturing of Electric Passenger Cars in India (SPMEPCI), provide demand incentives and lowered import duties linked to investment and domestic value addition (Press Information Bureau, 2024; Press Information Bureau, 2025; APAC News Network, 2025). These can improve Tesla's medium-term economics on committing to local manufacturing.</w:t>
      </w:r>
    </w:p>
    <w:p w14:paraId="005EFFA5" w14:textId="77777777" w:rsidR="0005391F" w:rsidRPr="00C755D3" w:rsidRDefault="0005391F" w:rsidP="00672DFE">
      <w:pPr>
        <w:pStyle w:val="Heading3"/>
        <w:numPr>
          <w:ilvl w:val="2"/>
          <w:numId w:val="1"/>
        </w:numPr>
        <w:rPr>
          <w:rFonts w:ascii="Arial" w:hAnsi="Arial" w:cs="Arial"/>
          <w:b/>
          <w:bCs/>
          <w:color w:val="auto"/>
          <w:sz w:val="24"/>
          <w:szCs w:val="24"/>
        </w:rPr>
      </w:pPr>
      <w:bookmarkStart w:id="13" w:name="_Toc214570791"/>
      <w:r w:rsidRPr="00C755D3">
        <w:rPr>
          <w:rFonts w:ascii="Arial" w:hAnsi="Arial" w:cs="Arial"/>
          <w:b/>
          <w:bCs/>
          <w:color w:val="auto"/>
          <w:sz w:val="24"/>
          <w:szCs w:val="24"/>
        </w:rPr>
        <w:t>Factor- and Production-Related Advantages</w:t>
      </w:r>
      <w:bookmarkEnd w:id="13"/>
    </w:p>
    <w:p w14:paraId="57821FC7" w14:textId="26F527C1" w:rsidR="0005391F" w:rsidRPr="00C755D3" w:rsidRDefault="0005391F" w:rsidP="00672DFE">
      <w:pPr>
        <w:pStyle w:val="ListParagraph"/>
        <w:numPr>
          <w:ilvl w:val="0"/>
          <w:numId w:val="5"/>
        </w:numPr>
        <w:rPr>
          <w:rFonts w:ascii="Arial" w:hAnsi="Arial" w:cs="Arial"/>
          <w:sz w:val="24"/>
          <w:szCs w:val="24"/>
        </w:rPr>
      </w:pPr>
      <w:r w:rsidRPr="00C755D3">
        <w:rPr>
          <w:rFonts w:ascii="Arial" w:hAnsi="Arial" w:cs="Arial"/>
          <w:b/>
          <w:bCs/>
          <w:sz w:val="24"/>
          <w:szCs w:val="24"/>
        </w:rPr>
        <w:t>Cost-Competitive, Skilled Labor</w:t>
      </w:r>
    </w:p>
    <w:p w14:paraId="3609F009" w14:textId="77777777" w:rsidR="0005391F" w:rsidRPr="00A45D92" w:rsidRDefault="0005391F" w:rsidP="0005391F">
      <w:pPr>
        <w:rPr>
          <w:rFonts w:ascii="Arial" w:hAnsi="Arial" w:cs="Arial"/>
          <w:sz w:val="24"/>
          <w:szCs w:val="24"/>
        </w:rPr>
      </w:pPr>
      <w:r w:rsidRPr="00A45D92">
        <w:rPr>
          <w:rFonts w:ascii="Arial" w:hAnsi="Arial" w:cs="Arial"/>
          <w:sz w:val="24"/>
          <w:szCs w:val="24"/>
        </w:rPr>
        <w:t>India offers low-cost engineers, software developers, and manufacturing workers that supplement Tesla's need for both physical and digital capabilities.</w:t>
      </w:r>
    </w:p>
    <w:p w14:paraId="364A49DC" w14:textId="4C709285" w:rsidR="0005391F" w:rsidRPr="00C755D3" w:rsidRDefault="0005391F" w:rsidP="00672DFE">
      <w:pPr>
        <w:pStyle w:val="ListParagraph"/>
        <w:numPr>
          <w:ilvl w:val="0"/>
          <w:numId w:val="5"/>
        </w:numPr>
        <w:rPr>
          <w:rFonts w:ascii="Arial" w:hAnsi="Arial" w:cs="Arial"/>
          <w:b/>
          <w:bCs/>
          <w:sz w:val="24"/>
          <w:szCs w:val="24"/>
        </w:rPr>
      </w:pPr>
      <w:r w:rsidRPr="00C755D3">
        <w:rPr>
          <w:rFonts w:ascii="Arial" w:hAnsi="Arial" w:cs="Arial"/>
          <w:b/>
          <w:bCs/>
          <w:sz w:val="24"/>
          <w:szCs w:val="24"/>
        </w:rPr>
        <w:t>Emerging EV and Battery Ecosystem</w:t>
      </w:r>
    </w:p>
    <w:p w14:paraId="5B00466D" w14:textId="77777777" w:rsidR="0005391F" w:rsidRPr="00A45D92" w:rsidRDefault="0005391F" w:rsidP="0005391F">
      <w:pPr>
        <w:rPr>
          <w:rFonts w:ascii="Arial" w:hAnsi="Arial" w:cs="Arial"/>
          <w:sz w:val="24"/>
          <w:szCs w:val="24"/>
        </w:rPr>
      </w:pPr>
      <w:r w:rsidRPr="00A45D92">
        <w:rPr>
          <w:rFonts w:ascii="Arial" w:hAnsi="Arial" w:cs="Arial"/>
          <w:sz w:val="24"/>
          <w:szCs w:val="24"/>
        </w:rPr>
        <w:t xml:space="preserve">Domestic and foreign manufacturers like Tata, Mahindra, Suzuki, and </w:t>
      </w:r>
      <w:proofErr w:type="spellStart"/>
      <w:r w:rsidRPr="00A45D92">
        <w:rPr>
          <w:rFonts w:ascii="Arial" w:hAnsi="Arial" w:cs="Arial"/>
          <w:sz w:val="24"/>
          <w:szCs w:val="24"/>
        </w:rPr>
        <w:t>VinFast</w:t>
      </w:r>
      <w:proofErr w:type="spellEnd"/>
      <w:r w:rsidRPr="00A45D92">
        <w:rPr>
          <w:rFonts w:ascii="Arial" w:hAnsi="Arial" w:cs="Arial"/>
          <w:sz w:val="24"/>
          <w:szCs w:val="24"/>
        </w:rPr>
        <w:t xml:space="preserve"> are luring EV investments into India, pointing towards emerging supplier clusters and ecosystem potential.</w:t>
      </w:r>
    </w:p>
    <w:p w14:paraId="349AA4B5" w14:textId="77777777" w:rsidR="0005391F" w:rsidRPr="00C755D3" w:rsidRDefault="0005391F" w:rsidP="00672DFE">
      <w:pPr>
        <w:pStyle w:val="ListParagraph"/>
        <w:numPr>
          <w:ilvl w:val="0"/>
          <w:numId w:val="5"/>
        </w:numPr>
        <w:rPr>
          <w:rFonts w:ascii="Arial" w:hAnsi="Arial" w:cs="Arial"/>
          <w:b/>
          <w:bCs/>
          <w:sz w:val="24"/>
          <w:szCs w:val="24"/>
        </w:rPr>
      </w:pPr>
      <w:r w:rsidRPr="00C755D3">
        <w:rPr>
          <w:rFonts w:ascii="Arial" w:hAnsi="Arial" w:cs="Arial"/>
          <w:b/>
          <w:bCs/>
          <w:sz w:val="24"/>
          <w:szCs w:val="24"/>
        </w:rPr>
        <w:t>Institutional and Risk Considerations</w:t>
      </w:r>
    </w:p>
    <w:p w14:paraId="2BAD76D1" w14:textId="77777777" w:rsidR="0005391F" w:rsidRPr="00A45D92" w:rsidRDefault="0005391F" w:rsidP="0005391F">
      <w:pPr>
        <w:rPr>
          <w:rFonts w:ascii="Arial" w:hAnsi="Arial" w:cs="Arial"/>
          <w:sz w:val="24"/>
          <w:szCs w:val="24"/>
        </w:rPr>
      </w:pPr>
      <w:r w:rsidRPr="00A45D92">
        <w:rPr>
          <w:rFonts w:ascii="Arial" w:hAnsi="Arial" w:cs="Arial"/>
          <w:sz w:val="24"/>
          <w:szCs w:val="24"/>
        </w:rPr>
        <w:t>Week 5 underlined that political, economic and legal risks determine the overall location attractiveness.</w:t>
      </w:r>
    </w:p>
    <w:p w14:paraId="38B3F935" w14:textId="44B0AC7C" w:rsidR="0005391F" w:rsidRPr="00C755D3" w:rsidRDefault="0005391F" w:rsidP="00672DFE">
      <w:pPr>
        <w:pStyle w:val="ListParagraph"/>
        <w:numPr>
          <w:ilvl w:val="0"/>
          <w:numId w:val="5"/>
        </w:numPr>
        <w:rPr>
          <w:rFonts w:ascii="Arial" w:hAnsi="Arial" w:cs="Arial"/>
          <w:b/>
          <w:bCs/>
          <w:sz w:val="24"/>
          <w:szCs w:val="24"/>
        </w:rPr>
      </w:pPr>
      <w:r w:rsidRPr="00C755D3">
        <w:rPr>
          <w:rFonts w:ascii="Arial" w:hAnsi="Arial" w:cs="Arial"/>
          <w:b/>
          <w:bCs/>
          <w:sz w:val="24"/>
          <w:szCs w:val="24"/>
        </w:rPr>
        <w:t>For Tesla, India presents</w:t>
      </w:r>
    </w:p>
    <w:p w14:paraId="6B6C3274" w14:textId="2DA7DDB0" w:rsidR="0005391F" w:rsidRPr="00A45D92" w:rsidRDefault="0005391F" w:rsidP="0005391F">
      <w:pPr>
        <w:rPr>
          <w:rFonts w:ascii="Arial" w:hAnsi="Arial" w:cs="Arial"/>
          <w:sz w:val="24"/>
          <w:szCs w:val="24"/>
        </w:rPr>
      </w:pPr>
      <w:r w:rsidRPr="00A45D92">
        <w:rPr>
          <w:rFonts w:ascii="Arial" w:hAnsi="Arial" w:cs="Arial"/>
          <w:sz w:val="24"/>
          <w:szCs w:val="24"/>
        </w:rPr>
        <w:lastRenderedPageBreak/>
        <w:t>There is regulatory and policy uncertainty with respect to the tariffs on imported EVs, on local content requirements, and tax treatment of luxury EVs that can impact initial entry economics.</w:t>
      </w:r>
    </w:p>
    <w:p w14:paraId="105840BF" w14:textId="77777777" w:rsidR="00C755D3" w:rsidRPr="00C755D3" w:rsidRDefault="0005391F" w:rsidP="00672DFE">
      <w:pPr>
        <w:pStyle w:val="ListParagraph"/>
        <w:numPr>
          <w:ilvl w:val="0"/>
          <w:numId w:val="5"/>
        </w:numPr>
        <w:rPr>
          <w:rFonts w:ascii="Arial" w:hAnsi="Arial" w:cs="Arial"/>
          <w:sz w:val="24"/>
          <w:szCs w:val="24"/>
        </w:rPr>
      </w:pPr>
      <w:r w:rsidRPr="00C755D3">
        <w:rPr>
          <w:rFonts w:ascii="Arial" w:hAnsi="Arial" w:cs="Arial"/>
          <w:b/>
          <w:bCs/>
          <w:sz w:val="24"/>
          <w:szCs w:val="24"/>
        </w:rPr>
        <w:t>Infrastructure Constrains</w:t>
      </w:r>
    </w:p>
    <w:p w14:paraId="30D881EE" w14:textId="2678267F" w:rsidR="0005391F" w:rsidRPr="00C755D3" w:rsidRDefault="00C755D3" w:rsidP="00C755D3">
      <w:pPr>
        <w:rPr>
          <w:rFonts w:ascii="Arial" w:hAnsi="Arial" w:cs="Arial"/>
          <w:sz w:val="24"/>
          <w:szCs w:val="24"/>
        </w:rPr>
      </w:pPr>
      <w:r>
        <w:rPr>
          <w:rFonts w:ascii="Arial" w:hAnsi="Arial" w:cs="Arial"/>
          <w:sz w:val="24"/>
          <w:szCs w:val="24"/>
        </w:rPr>
        <w:t>U</w:t>
      </w:r>
      <w:r w:rsidR="0005391F" w:rsidRPr="00C755D3">
        <w:rPr>
          <w:rFonts w:ascii="Arial" w:hAnsi="Arial" w:cs="Arial"/>
          <w:sz w:val="24"/>
          <w:szCs w:val="24"/>
        </w:rPr>
        <w:t>neven charging networks, bottlenecks in logistics, and reliability of electricity, though at an accelerated pace by government and private initiatives  NITI Aayog, 2024;, NITI Aayog, 2025</w:t>
      </w:r>
    </w:p>
    <w:p w14:paraId="1CE4372B" w14:textId="6F01CFFF" w:rsidR="0005391F" w:rsidRDefault="0005391F" w:rsidP="0005391F">
      <w:pPr>
        <w:rPr>
          <w:rFonts w:ascii="Arial" w:hAnsi="Arial" w:cs="Arial"/>
          <w:sz w:val="24"/>
          <w:szCs w:val="24"/>
        </w:rPr>
      </w:pPr>
      <w:r w:rsidRPr="00A45D92">
        <w:rPr>
          <w:rFonts w:ascii="Arial" w:hAnsi="Arial" w:cs="Arial"/>
          <w:sz w:val="24"/>
          <w:szCs w:val="24"/>
        </w:rPr>
        <w:t>It follows that the overall location advantages of India rest on long-term market potential and cost-competitive capabilities but are challenging in the short run because of policy uncertainty, infrastructure gaps, and price-sensitive demand.</w:t>
      </w:r>
    </w:p>
    <w:p w14:paraId="506B0B62" w14:textId="77777777" w:rsidR="00BF2CFD" w:rsidRPr="00A45D92" w:rsidRDefault="00BF2CFD" w:rsidP="0005391F">
      <w:pPr>
        <w:rPr>
          <w:rFonts w:ascii="Arial" w:hAnsi="Arial" w:cs="Arial"/>
          <w:sz w:val="24"/>
          <w:szCs w:val="24"/>
        </w:rPr>
      </w:pPr>
    </w:p>
    <w:p w14:paraId="7A252D48" w14:textId="5F5F29BE" w:rsidR="0005391F" w:rsidRPr="00C755D3" w:rsidRDefault="0005391F" w:rsidP="00672DFE">
      <w:pPr>
        <w:pStyle w:val="Heading2"/>
        <w:numPr>
          <w:ilvl w:val="1"/>
          <w:numId w:val="1"/>
        </w:numPr>
        <w:rPr>
          <w:rFonts w:ascii="Arial" w:hAnsi="Arial" w:cs="Arial"/>
          <w:b/>
          <w:bCs/>
          <w:color w:val="auto"/>
          <w:sz w:val="24"/>
          <w:szCs w:val="24"/>
        </w:rPr>
      </w:pPr>
      <w:bookmarkStart w:id="14" w:name="_Toc214570792"/>
      <w:r w:rsidRPr="00C755D3">
        <w:rPr>
          <w:rFonts w:ascii="Arial" w:hAnsi="Arial" w:cs="Arial"/>
          <w:b/>
          <w:bCs/>
          <w:color w:val="auto"/>
          <w:sz w:val="24"/>
          <w:szCs w:val="24"/>
        </w:rPr>
        <w:t>Internalisation (I) Advantages and Entry Mode</w:t>
      </w:r>
      <w:bookmarkEnd w:id="14"/>
    </w:p>
    <w:p w14:paraId="7F4719FD" w14:textId="77777777" w:rsidR="0005391F" w:rsidRPr="00A45D92" w:rsidRDefault="0005391F" w:rsidP="0005391F">
      <w:pPr>
        <w:rPr>
          <w:rFonts w:ascii="Arial" w:hAnsi="Arial" w:cs="Arial"/>
          <w:sz w:val="24"/>
          <w:szCs w:val="24"/>
        </w:rPr>
      </w:pPr>
      <w:r w:rsidRPr="00A45D92">
        <w:rPr>
          <w:rFonts w:ascii="Arial" w:hAnsi="Arial" w:cs="Arial"/>
          <w:sz w:val="24"/>
          <w:szCs w:val="24"/>
        </w:rPr>
        <w:t>Advantages of internalisation arise when it is more efficient to conduct activities within the firm than through licensing, franchising or arm's-length contracts (Week 7).</w:t>
      </w:r>
    </w:p>
    <w:p w14:paraId="65BD0268" w14:textId="77777777" w:rsidR="0005391F" w:rsidRPr="00C755D3" w:rsidRDefault="0005391F" w:rsidP="0005391F">
      <w:pPr>
        <w:rPr>
          <w:rFonts w:ascii="Arial" w:hAnsi="Arial" w:cs="Arial"/>
          <w:b/>
          <w:bCs/>
          <w:sz w:val="24"/>
          <w:szCs w:val="24"/>
        </w:rPr>
      </w:pPr>
      <w:r w:rsidRPr="00C755D3">
        <w:rPr>
          <w:rFonts w:ascii="Arial" w:hAnsi="Arial" w:cs="Arial"/>
          <w:b/>
          <w:bCs/>
          <w:sz w:val="24"/>
          <w:szCs w:val="24"/>
        </w:rPr>
        <w:t>For Tesla in India:</w:t>
      </w:r>
    </w:p>
    <w:p w14:paraId="0BE51276" w14:textId="77777777" w:rsidR="00C755D3" w:rsidRDefault="0005391F" w:rsidP="00672DFE">
      <w:pPr>
        <w:pStyle w:val="ListParagraph"/>
        <w:numPr>
          <w:ilvl w:val="0"/>
          <w:numId w:val="5"/>
        </w:numPr>
        <w:rPr>
          <w:rFonts w:ascii="Arial" w:hAnsi="Arial" w:cs="Arial"/>
          <w:sz w:val="24"/>
          <w:szCs w:val="24"/>
        </w:rPr>
      </w:pPr>
      <w:r w:rsidRPr="00C755D3">
        <w:rPr>
          <w:rFonts w:ascii="Arial" w:hAnsi="Arial" w:cs="Arial"/>
          <w:sz w:val="24"/>
          <w:szCs w:val="24"/>
        </w:rPr>
        <w:t>Protecting software, battery technology, and data analytics strongly favours internalisation rather than licensing technology to a local manufacturer.</w:t>
      </w:r>
      <w:r w:rsidR="00C755D3">
        <w:rPr>
          <w:rFonts w:ascii="Arial" w:hAnsi="Arial" w:cs="Arial"/>
          <w:sz w:val="24"/>
          <w:szCs w:val="24"/>
        </w:rPr>
        <w:t>\</w:t>
      </w:r>
    </w:p>
    <w:p w14:paraId="5925A808" w14:textId="77777777" w:rsidR="00C755D3" w:rsidRDefault="00C755D3" w:rsidP="00C755D3">
      <w:pPr>
        <w:pStyle w:val="ListParagraph"/>
        <w:rPr>
          <w:rFonts w:ascii="Arial" w:hAnsi="Arial" w:cs="Arial"/>
          <w:sz w:val="24"/>
          <w:szCs w:val="24"/>
        </w:rPr>
      </w:pPr>
    </w:p>
    <w:p w14:paraId="1B5156B5" w14:textId="6E01E11B" w:rsidR="0005391F" w:rsidRPr="00C755D3" w:rsidRDefault="0005391F" w:rsidP="00672DFE">
      <w:pPr>
        <w:pStyle w:val="ListParagraph"/>
        <w:numPr>
          <w:ilvl w:val="0"/>
          <w:numId w:val="5"/>
        </w:numPr>
        <w:rPr>
          <w:rFonts w:ascii="Arial" w:hAnsi="Arial" w:cs="Arial"/>
          <w:sz w:val="24"/>
          <w:szCs w:val="24"/>
        </w:rPr>
      </w:pPr>
      <w:r w:rsidRPr="00C755D3">
        <w:rPr>
          <w:rFonts w:ascii="Arial" w:hAnsi="Arial" w:cs="Arial"/>
          <w:sz w:val="24"/>
          <w:szCs w:val="24"/>
        </w:rPr>
        <w:t>Ensuring consistent brand experience, safety standards, and service quality also supports fully controlled operations, consistent with the internalization of the value chain discussed in (Week 8).</w:t>
      </w:r>
    </w:p>
    <w:p w14:paraId="1A7811FB" w14:textId="77777777" w:rsidR="0005391F" w:rsidRPr="00A45D92" w:rsidRDefault="0005391F" w:rsidP="0005391F">
      <w:pPr>
        <w:rPr>
          <w:rFonts w:ascii="Arial" w:hAnsi="Arial" w:cs="Arial"/>
          <w:sz w:val="24"/>
          <w:szCs w:val="24"/>
        </w:rPr>
      </w:pPr>
      <w:r w:rsidRPr="00A45D92">
        <w:rPr>
          <w:rFonts w:ascii="Arial" w:hAnsi="Arial" w:cs="Arial"/>
          <w:sz w:val="24"/>
          <w:szCs w:val="24"/>
        </w:rPr>
        <w:t>Given these OLI conditions, Tesla's emerging strategy appears to be a staged high-control one:</w:t>
      </w:r>
    </w:p>
    <w:p w14:paraId="0B5694D1" w14:textId="052EC5F9" w:rsidR="0005391F" w:rsidRPr="00C755D3" w:rsidRDefault="0005391F" w:rsidP="00672DFE">
      <w:pPr>
        <w:pStyle w:val="Heading3"/>
        <w:numPr>
          <w:ilvl w:val="2"/>
          <w:numId w:val="1"/>
        </w:numPr>
        <w:rPr>
          <w:rFonts w:ascii="Arial" w:hAnsi="Arial" w:cs="Arial"/>
          <w:b/>
          <w:bCs/>
          <w:sz w:val="24"/>
          <w:szCs w:val="24"/>
        </w:rPr>
      </w:pPr>
      <w:bookmarkStart w:id="15" w:name="_Toc214570793"/>
      <w:r w:rsidRPr="00C755D3">
        <w:rPr>
          <w:rFonts w:ascii="Arial" w:hAnsi="Arial" w:cs="Arial"/>
          <w:b/>
          <w:bCs/>
          <w:color w:val="auto"/>
          <w:sz w:val="24"/>
          <w:szCs w:val="24"/>
        </w:rPr>
        <w:t>Phase 1 – Import-Led Entry with Wholly Owned Sales Subsidiary</w:t>
      </w:r>
      <w:bookmarkEnd w:id="15"/>
    </w:p>
    <w:p w14:paraId="1397C61C" w14:textId="77777777" w:rsidR="0005391F" w:rsidRPr="00A45D92" w:rsidRDefault="0005391F" w:rsidP="0005391F">
      <w:pPr>
        <w:rPr>
          <w:rFonts w:ascii="Arial" w:hAnsi="Arial" w:cs="Arial"/>
          <w:sz w:val="24"/>
          <w:szCs w:val="24"/>
        </w:rPr>
      </w:pPr>
      <w:r w:rsidRPr="00A45D92">
        <w:rPr>
          <w:rFonts w:ascii="Arial" w:hAnsi="Arial" w:cs="Arial"/>
          <w:sz w:val="24"/>
          <w:szCs w:val="24"/>
        </w:rPr>
        <w:t>Various reports say Tesla will import the vehicles first, probably from Europe or China, by using the revised EV import policy as a way of testing the demand and negotiating with Indian states for a potential manufacturing site. (Reuters, 2024; Vora, 2025; Times of India, 2025) This combines exporting with local wholly-owned sales and service entities.</w:t>
      </w:r>
    </w:p>
    <w:p w14:paraId="4097CBC8" w14:textId="224C2B6D" w:rsidR="0005391F" w:rsidRPr="00C755D3" w:rsidRDefault="0005391F" w:rsidP="00672DFE">
      <w:pPr>
        <w:pStyle w:val="Heading3"/>
        <w:numPr>
          <w:ilvl w:val="2"/>
          <w:numId w:val="1"/>
        </w:numPr>
        <w:rPr>
          <w:rFonts w:ascii="Arial" w:hAnsi="Arial" w:cs="Arial"/>
          <w:b/>
          <w:bCs/>
          <w:color w:val="auto"/>
          <w:sz w:val="24"/>
          <w:szCs w:val="24"/>
        </w:rPr>
      </w:pPr>
      <w:bookmarkStart w:id="16" w:name="_Toc214570794"/>
      <w:r w:rsidRPr="00C755D3">
        <w:rPr>
          <w:rFonts w:ascii="Arial" w:hAnsi="Arial" w:cs="Arial"/>
          <w:b/>
          <w:bCs/>
          <w:color w:val="auto"/>
          <w:sz w:val="24"/>
          <w:szCs w:val="24"/>
        </w:rPr>
        <w:t>Phase 2 - Greenfield Manufacturing FDI</w:t>
      </w:r>
      <w:bookmarkEnd w:id="16"/>
    </w:p>
    <w:p w14:paraId="1A71868F" w14:textId="77777777" w:rsidR="0005391F" w:rsidRPr="00A45D92" w:rsidRDefault="0005391F" w:rsidP="0005391F">
      <w:pPr>
        <w:rPr>
          <w:rFonts w:ascii="Arial" w:hAnsi="Arial" w:cs="Arial"/>
          <w:sz w:val="24"/>
          <w:szCs w:val="24"/>
        </w:rPr>
      </w:pPr>
      <w:r w:rsidRPr="00A45D92">
        <w:rPr>
          <w:rFonts w:ascii="Arial" w:hAnsi="Arial" w:cs="Arial"/>
          <w:sz w:val="24"/>
          <w:szCs w:val="24"/>
        </w:rPr>
        <w:t>Tesla is likely to build a greenfield manufacturing facility, contingent on volumes, policy clarity and incentives, in a state like Gujarat, Maharashtra or Tamil Nadu, similar to Gigafactory investments in the past, according to Reuters, 2024; Reuters, 2025. This would enable Tesla to get the cost of production down, avoid high import duties and become qualified for localisation-linked incentives.</w:t>
      </w:r>
    </w:p>
    <w:p w14:paraId="1603288E" w14:textId="21BA9118" w:rsidR="0005391F" w:rsidRPr="00A45D92" w:rsidRDefault="0005391F" w:rsidP="0005391F">
      <w:pPr>
        <w:rPr>
          <w:rFonts w:ascii="Arial" w:hAnsi="Arial" w:cs="Arial"/>
          <w:sz w:val="24"/>
          <w:szCs w:val="24"/>
        </w:rPr>
      </w:pPr>
      <w:r w:rsidRPr="00A45D92">
        <w:rPr>
          <w:rFonts w:ascii="Arial" w:hAnsi="Arial" w:cs="Arial"/>
          <w:sz w:val="24"/>
          <w:szCs w:val="24"/>
        </w:rPr>
        <w:t xml:space="preserve">Licensing and joint ventures would be less attractive since that would diffuse the control over technology, brand, and data, undermining Tesla's ownership and internalization advantage. Hence, OLI analysis </w:t>
      </w:r>
      <w:proofErr w:type="spellStart"/>
      <w:r w:rsidRPr="00A45D92">
        <w:rPr>
          <w:rFonts w:ascii="Arial" w:hAnsi="Arial" w:cs="Arial"/>
          <w:sz w:val="24"/>
          <w:szCs w:val="24"/>
        </w:rPr>
        <w:t>favors</w:t>
      </w:r>
      <w:proofErr w:type="spellEnd"/>
      <w:r w:rsidRPr="00A45D92">
        <w:rPr>
          <w:rFonts w:ascii="Arial" w:hAnsi="Arial" w:cs="Arial"/>
          <w:sz w:val="24"/>
          <w:szCs w:val="24"/>
        </w:rPr>
        <w:t xml:space="preserve"> a predominantly wholly-owned greenfield FDI entry mode in India following an initial import-based testing phase.</w:t>
      </w:r>
    </w:p>
    <w:p w14:paraId="12378D7B" w14:textId="2EF23171" w:rsidR="0005391F" w:rsidRPr="00C755D3" w:rsidRDefault="0005391F" w:rsidP="00672DFE">
      <w:pPr>
        <w:pStyle w:val="Heading1"/>
        <w:numPr>
          <w:ilvl w:val="0"/>
          <w:numId w:val="1"/>
        </w:numPr>
        <w:rPr>
          <w:rFonts w:ascii="Arial" w:hAnsi="Arial" w:cs="Arial"/>
          <w:b/>
          <w:bCs/>
          <w:color w:val="auto"/>
          <w:sz w:val="28"/>
          <w:szCs w:val="28"/>
        </w:rPr>
      </w:pPr>
      <w:bookmarkStart w:id="17" w:name="_Toc214570795"/>
      <w:r w:rsidRPr="00C755D3">
        <w:rPr>
          <w:rFonts w:ascii="Arial" w:hAnsi="Arial" w:cs="Arial"/>
          <w:b/>
          <w:bCs/>
          <w:color w:val="auto"/>
          <w:sz w:val="28"/>
          <w:szCs w:val="28"/>
        </w:rPr>
        <w:lastRenderedPageBreak/>
        <w:t>Cultural Differences and Their Impact on Strategy and Success</w:t>
      </w:r>
      <w:bookmarkEnd w:id="17"/>
    </w:p>
    <w:p w14:paraId="783B5C81" w14:textId="77777777" w:rsidR="0005391F" w:rsidRPr="00A45D92" w:rsidRDefault="0005391F" w:rsidP="0005391F">
      <w:pPr>
        <w:rPr>
          <w:rFonts w:ascii="Arial" w:hAnsi="Arial" w:cs="Arial"/>
          <w:sz w:val="24"/>
          <w:szCs w:val="24"/>
        </w:rPr>
      </w:pPr>
      <w:r w:rsidRPr="00A45D92">
        <w:rPr>
          <w:rFonts w:ascii="Arial" w:hAnsi="Arial" w:cs="Arial"/>
          <w:sz w:val="24"/>
          <w:szCs w:val="24"/>
        </w:rPr>
        <w:t>Culture can be understood as a system of shared values, norms, and assumptions that shape behaviour and expectations within a society. In the case of Tesla, whose business model is largely reliant on high levels of customer trust, digital engagement, and innovative work practices, cultural distance between the United States (home country) and India (host country) has direct implications for both market entry strategy and longer-term performance. If these cultural differences are not duly recognized and managed, strong ownership and location advantages identified in the OLI analysis may not translate into sustainable success.</w:t>
      </w:r>
    </w:p>
    <w:p w14:paraId="1858C33E" w14:textId="0DA41D56" w:rsidR="0005391F" w:rsidRPr="00C755D3" w:rsidRDefault="0005391F" w:rsidP="00672DFE">
      <w:pPr>
        <w:pStyle w:val="Heading2"/>
        <w:numPr>
          <w:ilvl w:val="1"/>
          <w:numId w:val="1"/>
        </w:numPr>
        <w:rPr>
          <w:rFonts w:ascii="Arial" w:hAnsi="Arial" w:cs="Arial"/>
          <w:b/>
          <w:bCs/>
          <w:color w:val="auto"/>
          <w:sz w:val="24"/>
          <w:szCs w:val="24"/>
        </w:rPr>
      </w:pPr>
      <w:bookmarkStart w:id="18" w:name="_Toc214570796"/>
      <w:r w:rsidRPr="00C755D3">
        <w:rPr>
          <w:rFonts w:ascii="Arial" w:hAnsi="Arial" w:cs="Arial"/>
          <w:b/>
          <w:bCs/>
          <w:color w:val="auto"/>
          <w:sz w:val="24"/>
          <w:szCs w:val="24"/>
        </w:rPr>
        <w:t>Key Cultural Dimensions: United States versus India</w:t>
      </w:r>
      <w:bookmarkEnd w:id="18"/>
    </w:p>
    <w:p w14:paraId="7219EEF5" w14:textId="77777777" w:rsidR="0005391F" w:rsidRPr="00A45D92" w:rsidRDefault="0005391F" w:rsidP="0005391F">
      <w:pPr>
        <w:rPr>
          <w:rFonts w:ascii="Arial" w:hAnsi="Arial" w:cs="Arial"/>
          <w:sz w:val="24"/>
          <w:szCs w:val="24"/>
        </w:rPr>
      </w:pPr>
      <w:r w:rsidRPr="00A45D92">
        <w:rPr>
          <w:rFonts w:ascii="Arial" w:hAnsi="Arial" w:cs="Arial"/>
          <w:sz w:val="24"/>
          <w:szCs w:val="24"/>
        </w:rPr>
        <w:t>Hofstede's model provides a useful framework for comparing national cultures along dimensions that include individualism, power distance, uncertainty avoidance, masculinity, long-term orientation, and communication context (Week 4; Hofstede 2011). These dimensions influence how consumers in different countries make purchase decisions, how employees relate to managers, and how business partners build trust.</w:t>
      </w:r>
    </w:p>
    <w:p w14:paraId="6D1EA449" w14:textId="4CBE39F7" w:rsidR="0017381F" w:rsidRPr="00C755D3" w:rsidRDefault="0017381F" w:rsidP="00672DFE">
      <w:pPr>
        <w:pStyle w:val="Heading2"/>
        <w:numPr>
          <w:ilvl w:val="1"/>
          <w:numId w:val="1"/>
        </w:numPr>
        <w:rPr>
          <w:rFonts w:ascii="Arial" w:hAnsi="Arial" w:cs="Arial"/>
          <w:b/>
          <w:bCs/>
          <w:color w:val="auto"/>
          <w:sz w:val="24"/>
          <w:szCs w:val="24"/>
        </w:rPr>
      </w:pPr>
      <w:bookmarkStart w:id="19" w:name="_Toc214570797"/>
      <w:r w:rsidRPr="00C755D3">
        <w:rPr>
          <w:rFonts w:ascii="Arial" w:hAnsi="Arial" w:cs="Arial"/>
          <w:b/>
          <w:bCs/>
          <w:color w:val="auto"/>
          <w:sz w:val="24"/>
          <w:szCs w:val="24"/>
        </w:rPr>
        <w:t>Stylised Cultural Comparison – United States vs India (Based on Hofstede Dimensions)</w:t>
      </w:r>
      <w:bookmarkEnd w:id="19"/>
    </w:p>
    <w:p w14:paraId="04D75CA1" w14:textId="173EE5F0" w:rsidR="00EF7C73" w:rsidRPr="00A45D92" w:rsidRDefault="00EF7C73" w:rsidP="0017381F">
      <w:pPr>
        <w:rPr>
          <w:rFonts w:ascii="Arial" w:hAnsi="Arial" w:cs="Arial"/>
          <w:sz w:val="24"/>
          <w:szCs w:val="24"/>
        </w:rPr>
      </w:pPr>
      <w:r w:rsidRPr="00A45D92">
        <w:rPr>
          <w:rFonts w:ascii="Arial" w:hAnsi="Arial" w:cs="Arial"/>
          <w:noProof/>
          <w:sz w:val="24"/>
          <w:szCs w:val="24"/>
        </w:rPr>
        <w:drawing>
          <wp:inline distT="0" distB="0" distL="0" distR="0" wp14:anchorId="72375D20" wp14:editId="452E2B46">
            <wp:extent cx="5731510" cy="2162175"/>
            <wp:effectExtent l="0" t="0" r="2540" b="9525"/>
            <wp:docPr id="96601621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016215" name="Picture 7"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162175"/>
                    </a:xfrm>
                    <a:prstGeom prst="rect">
                      <a:avLst/>
                    </a:prstGeom>
                    <a:noFill/>
                    <a:ln>
                      <a:noFill/>
                    </a:ln>
                  </pic:spPr>
                </pic:pic>
              </a:graphicData>
            </a:graphic>
          </wp:inline>
        </w:drawing>
      </w:r>
    </w:p>
    <w:p w14:paraId="78D5910C" w14:textId="3781AD05" w:rsidR="0017381F" w:rsidRPr="0017381F" w:rsidRDefault="0017381F" w:rsidP="0017381F">
      <w:pPr>
        <w:rPr>
          <w:rFonts w:ascii="Arial" w:hAnsi="Arial" w:cs="Arial"/>
          <w:sz w:val="24"/>
          <w:szCs w:val="24"/>
        </w:rPr>
      </w:pPr>
      <w:r w:rsidRPr="0017381F">
        <w:rPr>
          <w:rFonts w:ascii="Arial" w:hAnsi="Arial" w:cs="Arial"/>
          <w:sz w:val="24"/>
          <w:szCs w:val="24"/>
        </w:rPr>
        <w:t xml:space="preserve">(Adapted from Hofstede’s framework; interpretation supported by Week 4 discussion.) </w:t>
      </w:r>
    </w:p>
    <w:p w14:paraId="745BBB27" w14:textId="77777777" w:rsidR="0005391F" w:rsidRPr="00A45D92" w:rsidRDefault="0005391F" w:rsidP="0005391F">
      <w:pPr>
        <w:rPr>
          <w:rFonts w:ascii="Arial" w:hAnsi="Arial" w:cs="Arial"/>
          <w:sz w:val="24"/>
          <w:szCs w:val="24"/>
        </w:rPr>
      </w:pPr>
      <w:r w:rsidRPr="00A45D92">
        <w:rPr>
          <w:rFonts w:ascii="Arial" w:hAnsi="Arial" w:cs="Arial"/>
          <w:sz w:val="24"/>
          <w:szCs w:val="24"/>
        </w:rPr>
        <w:t>Though these are stylized profiles and there is considerable diversity within India and the United States, they do point to some systematic differences that Tesla needs to consider in developing marketing, HR, and organizational practices.</w:t>
      </w:r>
    </w:p>
    <w:p w14:paraId="7E27C02C" w14:textId="264E562A" w:rsidR="0005391F" w:rsidRPr="00C755D3" w:rsidRDefault="0005391F" w:rsidP="00672DFE">
      <w:pPr>
        <w:pStyle w:val="Heading2"/>
        <w:numPr>
          <w:ilvl w:val="1"/>
          <w:numId w:val="1"/>
        </w:numPr>
        <w:rPr>
          <w:rFonts w:ascii="Arial" w:hAnsi="Arial" w:cs="Arial"/>
          <w:b/>
          <w:bCs/>
          <w:color w:val="auto"/>
          <w:sz w:val="24"/>
          <w:szCs w:val="24"/>
        </w:rPr>
      </w:pPr>
      <w:bookmarkStart w:id="20" w:name="_Toc214570798"/>
      <w:r w:rsidRPr="00C755D3">
        <w:rPr>
          <w:rFonts w:ascii="Arial" w:hAnsi="Arial" w:cs="Arial"/>
          <w:b/>
          <w:bCs/>
          <w:color w:val="auto"/>
          <w:sz w:val="24"/>
          <w:szCs w:val="24"/>
        </w:rPr>
        <w:t>Impact on Market Entry Strategy</w:t>
      </w:r>
      <w:bookmarkEnd w:id="20"/>
    </w:p>
    <w:p w14:paraId="560465AC" w14:textId="4ACB6A74" w:rsidR="0005391F" w:rsidRPr="00C755D3" w:rsidRDefault="0005391F" w:rsidP="00672DFE">
      <w:pPr>
        <w:pStyle w:val="Heading3"/>
        <w:numPr>
          <w:ilvl w:val="2"/>
          <w:numId w:val="1"/>
        </w:numPr>
        <w:rPr>
          <w:rFonts w:ascii="Arial" w:hAnsi="Arial" w:cs="Arial"/>
          <w:b/>
          <w:bCs/>
        </w:rPr>
      </w:pPr>
      <w:bookmarkStart w:id="21" w:name="_Toc214570799"/>
      <w:r w:rsidRPr="00C755D3">
        <w:rPr>
          <w:rFonts w:ascii="Arial" w:hAnsi="Arial" w:cs="Arial"/>
          <w:b/>
          <w:bCs/>
          <w:color w:val="auto"/>
        </w:rPr>
        <w:t>Consumer Behaviour and Positioning</w:t>
      </w:r>
      <w:bookmarkEnd w:id="21"/>
    </w:p>
    <w:p w14:paraId="01BD63E9" w14:textId="77777777" w:rsidR="0005391F" w:rsidRPr="00C755D3" w:rsidRDefault="0005391F" w:rsidP="00672DFE">
      <w:pPr>
        <w:pStyle w:val="ListParagraph"/>
        <w:numPr>
          <w:ilvl w:val="0"/>
          <w:numId w:val="7"/>
        </w:numPr>
        <w:rPr>
          <w:rFonts w:ascii="Arial" w:hAnsi="Arial" w:cs="Arial"/>
          <w:sz w:val="24"/>
          <w:szCs w:val="24"/>
        </w:rPr>
      </w:pPr>
      <w:r w:rsidRPr="00C755D3">
        <w:rPr>
          <w:rFonts w:ascii="Arial" w:hAnsi="Arial" w:cs="Arial"/>
          <w:sz w:val="24"/>
          <w:szCs w:val="24"/>
        </w:rPr>
        <w:t xml:space="preserve">In the United States, Tesla has built its position by appealing to individualistic, tech-savvy early adopters willing to pay a premium for innovation, performance, and environmental benefits. This fits a culture where personal </w:t>
      </w:r>
      <w:r w:rsidRPr="00C755D3">
        <w:rPr>
          <w:rFonts w:ascii="Arial" w:hAnsi="Arial" w:cs="Arial"/>
          <w:sz w:val="24"/>
          <w:szCs w:val="24"/>
        </w:rPr>
        <w:lastRenderedPageBreak/>
        <w:t>identity and self-expression are central, and where "being different" through technology can be attractive.</w:t>
      </w:r>
    </w:p>
    <w:p w14:paraId="59AE8EC0" w14:textId="77777777" w:rsidR="0005391F" w:rsidRPr="00C755D3" w:rsidRDefault="0005391F" w:rsidP="00672DFE">
      <w:pPr>
        <w:pStyle w:val="ListParagraph"/>
        <w:numPr>
          <w:ilvl w:val="0"/>
          <w:numId w:val="7"/>
        </w:numPr>
        <w:rPr>
          <w:rFonts w:ascii="Arial" w:hAnsi="Arial" w:cs="Arial"/>
          <w:sz w:val="24"/>
          <w:szCs w:val="24"/>
        </w:rPr>
      </w:pPr>
      <w:r w:rsidRPr="00C755D3">
        <w:rPr>
          <w:rFonts w:ascii="Arial" w:hAnsi="Arial" w:cs="Arial"/>
          <w:sz w:val="24"/>
          <w:szCs w:val="24"/>
        </w:rPr>
        <w:t>The more collectivist and family-oriented decision-making in India means that vehicle purchases are often joint decisions weighing family needs, practicality, and social status. Instead of a purely individual "tech enthusiast," the relevant decision unit is often the household. This has a number of implications for Tesla's positioning:</w:t>
      </w:r>
    </w:p>
    <w:p w14:paraId="18A742EE" w14:textId="1E1AD29C" w:rsidR="0005391F" w:rsidRPr="00C755D3" w:rsidRDefault="0005391F" w:rsidP="00672DFE">
      <w:pPr>
        <w:pStyle w:val="ListParagraph"/>
        <w:numPr>
          <w:ilvl w:val="0"/>
          <w:numId w:val="7"/>
        </w:numPr>
        <w:rPr>
          <w:rFonts w:ascii="Arial" w:hAnsi="Arial" w:cs="Arial"/>
          <w:sz w:val="24"/>
          <w:szCs w:val="24"/>
        </w:rPr>
      </w:pPr>
      <w:r w:rsidRPr="00C755D3">
        <w:rPr>
          <w:rFonts w:ascii="Arial" w:hAnsi="Arial" w:cs="Arial"/>
          <w:sz w:val="24"/>
          <w:szCs w:val="24"/>
        </w:rPr>
        <w:t>Positioning needs to balance technology and sustainability with practicality, reliability, and family comfort-such as safety, space, durability, and after-sales support-rather than pure acceleration or high performance.</w:t>
      </w:r>
    </w:p>
    <w:p w14:paraId="63BF7382" w14:textId="566605F5" w:rsidR="0005391F" w:rsidRPr="00C755D3" w:rsidRDefault="0005391F" w:rsidP="00672DFE">
      <w:pPr>
        <w:pStyle w:val="ListParagraph"/>
        <w:numPr>
          <w:ilvl w:val="0"/>
          <w:numId w:val="6"/>
        </w:numPr>
        <w:rPr>
          <w:rFonts w:ascii="Arial" w:hAnsi="Arial" w:cs="Arial"/>
          <w:sz w:val="24"/>
          <w:szCs w:val="24"/>
        </w:rPr>
      </w:pPr>
      <w:r w:rsidRPr="00C755D3">
        <w:rPr>
          <w:rFonts w:ascii="Arial" w:hAnsi="Arial" w:cs="Arial"/>
          <w:sz w:val="24"/>
          <w:szCs w:val="24"/>
        </w:rPr>
        <w:t xml:space="preserve">Status signalling is important; Tesla can leverage its aspirational global brand to appeal to status-conscious consumers, but must be sensitive to price–value trade-offs in a price-conscious market where total cost of ownership is scrutinised (Week 9; </w:t>
      </w:r>
      <w:proofErr w:type="spellStart"/>
      <w:r w:rsidRPr="00C755D3">
        <w:rPr>
          <w:rFonts w:ascii="Arial" w:hAnsi="Arial" w:cs="Arial"/>
          <w:sz w:val="24"/>
          <w:szCs w:val="24"/>
        </w:rPr>
        <w:t>Cavusgil</w:t>
      </w:r>
      <w:proofErr w:type="spellEnd"/>
      <w:r w:rsidRPr="00C755D3">
        <w:rPr>
          <w:rFonts w:ascii="Arial" w:hAnsi="Arial" w:cs="Arial"/>
          <w:sz w:val="24"/>
          <w:szCs w:val="24"/>
        </w:rPr>
        <w:t xml:space="preserve"> et al., 2021).</w:t>
      </w:r>
    </w:p>
    <w:p w14:paraId="42BF3445" w14:textId="7487FDB2" w:rsidR="0005391F" w:rsidRPr="00C755D3" w:rsidRDefault="0005391F" w:rsidP="00672DFE">
      <w:pPr>
        <w:pStyle w:val="Heading3"/>
        <w:numPr>
          <w:ilvl w:val="2"/>
          <w:numId w:val="1"/>
        </w:numPr>
        <w:rPr>
          <w:rFonts w:ascii="Arial" w:hAnsi="Arial" w:cs="Arial"/>
          <w:b/>
          <w:bCs/>
          <w:color w:val="auto"/>
          <w:sz w:val="24"/>
          <w:szCs w:val="24"/>
        </w:rPr>
      </w:pPr>
      <w:bookmarkStart w:id="22" w:name="_Toc214570800"/>
      <w:r w:rsidRPr="00C755D3">
        <w:rPr>
          <w:rFonts w:ascii="Arial" w:hAnsi="Arial" w:cs="Arial"/>
          <w:b/>
          <w:bCs/>
          <w:color w:val="auto"/>
          <w:sz w:val="24"/>
          <w:szCs w:val="24"/>
        </w:rPr>
        <w:t>Trust, Risk and EV Adoption</w:t>
      </w:r>
      <w:bookmarkEnd w:id="22"/>
    </w:p>
    <w:p w14:paraId="3C450013" w14:textId="77777777" w:rsidR="0005391F" w:rsidRPr="00C755D3" w:rsidRDefault="0005391F" w:rsidP="00C755D3">
      <w:pPr>
        <w:rPr>
          <w:rFonts w:ascii="Arial" w:hAnsi="Arial" w:cs="Arial"/>
          <w:sz w:val="24"/>
          <w:szCs w:val="24"/>
        </w:rPr>
      </w:pPr>
      <w:r w:rsidRPr="00C755D3">
        <w:rPr>
          <w:rFonts w:ascii="Arial" w:hAnsi="Arial" w:cs="Arial"/>
          <w:sz w:val="24"/>
          <w:szCs w:val="24"/>
        </w:rPr>
        <w:t>Higher Uncertainty avoidance and risk sensitivity in a relatively new category of technologies like EVs, many Indian consumers may keep apprehension about charging availability, resale value, battery life and maintenance costs. (Week 4; Week 9) This is the reinforcement of the need for:</w:t>
      </w:r>
    </w:p>
    <w:p w14:paraId="3E20BDE8" w14:textId="35C5DF6C" w:rsidR="0005391F" w:rsidRPr="00C755D3" w:rsidRDefault="0005391F" w:rsidP="00672DFE">
      <w:pPr>
        <w:pStyle w:val="ListParagraph"/>
        <w:numPr>
          <w:ilvl w:val="0"/>
          <w:numId w:val="6"/>
        </w:numPr>
        <w:rPr>
          <w:rFonts w:ascii="Arial" w:hAnsi="Arial" w:cs="Arial"/>
          <w:sz w:val="24"/>
          <w:szCs w:val="24"/>
        </w:rPr>
      </w:pPr>
      <w:r w:rsidRPr="00C755D3">
        <w:rPr>
          <w:rFonts w:ascii="Arial" w:hAnsi="Arial" w:cs="Arial"/>
          <w:sz w:val="24"/>
          <w:szCs w:val="24"/>
        </w:rPr>
        <w:t>Visible, reliable charging infrastructure (with clear communication on range, warranty and battery degradation) underpinned by transparent data and credible guarantees.</w:t>
      </w:r>
    </w:p>
    <w:p w14:paraId="0922416E" w14:textId="6CDE8DFE" w:rsidR="0005391F" w:rsidRPr="00C755D3" w:rsidRDefault="0005391F" w:rsidP="00672DFE">
      <w:pPr>
        <w:pStyle w:val="ListParagraph"/>
        <w:numPr>
          <w:ilvl w:val="0"/>
          <w:numId w:val="6"/>
        </w:numPr>
        <w:rPr>
          <w:rFonts w:ascii="Arial" w:hAnsi="Arial" w:cs="Arial"/>
          <w:sz w:val="24"/>
          <w:szCs w:val="24"/>
        </w:rPr>
      </w:pPr>
      <w:r w:rsidRPr="00C755D3">
        <w:rPr>
          <w:rFonts w:ascii="Arial" w:hAnsi="Arial" w:cs="Arial"/>
          <w:sz w:val="24"/>
          <w:szCs w:val="24"/>
        </w:rPr>
        <w:t>Strong after-sales service SOPs and local service centres that will assure buyers that complaints will be addressed timely and amicably.</w:t>
      </w:r>
    </w:p>
    <w:p w14:paraId="0234CBC4" w14:textId="7BCAC73A" w:rsidR="0005391F" w:rsidRPr="00C755D3" w:rsidRDefault="0005391F" w:rsidP="00672DFE">
      <w:pPr>
        <w:pStyle w:val="ListParagraph"/>
        <w:numPr>
          <w:ilvl w:val="0"/>
          <w:numId w:val="6"/>
        </w:numPr>
        <w:rPr>
          <w:rFonts w:ascii="Arial" w:hAnsi="Arial" w:cs="Arial"/>
          <w:sz w:val="24"/>
          <w:szCs w:val="24"/>
        </w:rPr>
      </w:pPr>
      <w:r w:rsidRPr="00C755D3">
        <w:rPr>
          <w:rFonts w:ascii="Arial" w:hAnsi="Arial" w:cs="Arial"/>
          <w:sz w:val="24"/>
          <w:szCs w:val="24"/>
        </w:rPr>
        <w:t>Education-oriented marketing that reduces perceived technological and financial risk: for example, through explanatory content, TCO (total cost of ownership) comparisons and demonstrations of real-world usage.</w:t>
      </w:r>
    </w:p>
    <w:p w14:paraId="3E79D786" w14:textId="77777777" w:rsidR="0005391F" w:rsidRPr="00A45D92" w:rsidRDefault="0005391F" w:rsidP="0005391F">
      <w:pPr>
        <w:rPr>
          <w:rFonts w:ascii="Arial" w:hAnsi="Arial" w:cs="Arial"/>
          <w:sz w:val="24"/>
          <w:szCs w:val="24"/>
        </w:rPr>
      </w:pPr>
      <w:r w:rsidRPr="00A45D92">
        <w:rPr>
          <w:rFonts w:ascii="Arial" w:hAnsi="Arial" w:cs="Arial"/>
          <w:sz w:val="24"/>
          <w:szCs w:val="24"/>
        </w:rPr>
        <w:t>Failure to address these culturally shaped risk perceptions could slow adoption even if the vehicles are technically competitive.</w:t>
      </w:r>
    </w:p>
    <w:p w14:paraId="634E07CC" w14:textId="77777777" w:rsidR="0005391F" w:rsidRPr="00C755D3" w:rsidRDefault="0005391F" w:rsidP="00672DFE">
      <w:pPr>
        <w:pStyle w:val="Heading3"/>
        <w:numPr>
          <w:ilvl w:val="2"/>
          <w:numId w:val="1"/>
        </w:numPr>
        <w:rPr>
          <w:rFonts w:ascii="Arial" w:hAnsi="Arial" w:cs="Arial"/>
          <w:b/>
          <w:bCs/>
          <w:color w:val="auto"/>
          <w:sz w:val="24"/>
          <w:szCs w:val="24"/>
        </w:rPr>
      </w:pPr>
      <w:bookmarkStart w:id="23" w:name="_Toc214570801"/>
      <w:r w:rsidRPr="00C755D3">
        <w:rPr>
          <w:rFonts w:ascii="Arial" w:hAnsi="Arial" w:cs="Arial"/>
          <w:b/>
          <w:bCs/>
          <w:color w:val="auto"/>
          <w:sz w:val="24"/>
          <w:szCs w:val="24"/>
        </w:rPr>
        <w:t>Channel Strategy and Relationships</w:t>
      </w:r>
      <w:bookmarkEnd w:id="23"/>
    </w:p>
    <w:p w14:paraId="438DFEF7" w14:textId="77777777" w:rsidR="0005391F" w:rsidRPr="00A45D92" w:rsidRDefault="0005391F" w:rsidP="0005391F">
      <w:pPr>
        <w:rPr>
          <w:rFonts w:ascii="Arial" w:hAnsi="Arial" w:cs="Arial"/>
          <w:sz w:val="24"/>
          <w:szCs w:val="24"/>
        </w:rPr>
      </w:pPr>
      <w:r w:rsidRPr="00A45D92">
        <w:rPr>
          <w:rFonts w:ascii="Arial" w:hAnsi="Arial" w:cs="Arial"/>
          <w:sz w:val="24"/>
          <w:szCs w:val="24"/>
        </w:rPr>
        <w:t>The direct-to-consumer model in the US is heavily dependent on web-based research, digital configuration, and relatively transactional showroom interactions. In India's high-context culture, however, relationships, word-of-mouth, and face-to-face interplay carry far more weight. For instance, customers may need more time to converse, build relationships, and informally exchange information before making a high-value purchase.</w:t>
      </w:r>
    </w:p>
    <w:p w14:paraId="397B2C1D" w14:textId="77777777" w:rsidR="0005391F" w:rsidRPr="00A45D92" w:rsidRDefault="0005391F" w:rsidP="0005391F">
      <w:pPr>
        <w:rPr>
          <w:rFonts w:ascii="Arial" w:hAnsi="Arial" w:cs="Arial"/>
          <w:sz w:val="24"/>
          <w:szCs w:val="24"/>
        </w:rPr>
      </w:pPr>
      <w:r w:rsidRPr="00A45D92">
        <w:rPr>
          <w:rFonts w:ascii="Arial" w:hAnsi="Arial" w:cs="Arial"/>
          <w:sz w:val="24"/>
          <w:szCs w:val="24"/>
        </w:rPr>
        <w:t>Even while sustaining a direct sales model, Tesla will most probably have to:</w:t>
      </w:r>
    </w:p>
    <w:p w14:paraId="45581AF8" w14:textId="04D5F326" w:rsidR="0005391F" w:rsidRPr="00C755D3" w:rsidRDefault="0005391F" w:rsidP="00672DFE">
      <w:pPr>
        <w:pStyle w:val="ListParagraph"/>
        <w:numPr>
          <w:ilvl w:val="0"/>
          <w:numId w:val="8"/>
        </w:numPr>
        <w:rPr>
          <w:rFonts w:ascii="Arial" w:hAnsi="Arial" w:cs="Arial"/>
          <w:sz w:val="24"/>
          <w:szCs w:val="24"/>
        </w:rPr>
      </w:pPr>
      <w:r w:rsidRPr="00C755D3">
        <w:rPr>
          <w:rFonts w:ascii="Arial" w:hAnsi="Arial" w:cs="Arial"/>
          <w:sz w:val="24"/>
          <w:szCs w:val="24"/>
        </w:rPr>
        <w:t>Emphasize experience centres, test drives, and community events in major cities where families can experience the vehicles together with your expertise and answer more specific questions.</w:t>
      </w:r>
    </w:p>
    <w:p w14:paraId="600F6C0A" w14:textId="2F529A84" w:rsidR="0005391F" w:rsidRPr="00C755D3" w:rsidRDefault="0005391F" w:rsidP="00672DFE">
      <w:pPr>
        <w:pStyle w:val="ListParagraph"/>
        <w:numPr>
          <w:ilvl w:val="0"/>
          <w:numId w:val="8"/>
        </w:numPr>
        <w:rPr>
          <w:rFonts w:ascii="Arial" w:hAnsi="Arial" w:cs="Arial"/>
          <w:sz w:val="24"/>
          <w:szCs w:val="24"/>
        </w:rPr>
      </w:pPr>
      <w:r w:rsidRPr="00C755D3">
        <w:rPr>
          <w:rFonts w:ascii="Arial" w:hAnsi="Arial" w:cs="Arial"/>
          <w:sz w:val="24"/>
          <w:szCs w:val="24"/>
        </w:rPr>
        <w:t>Proactively engage with corporate fleets, technology companies, and high-net-worth communities to build early adopter networks whose endorsement carries cultural weight.</w:t>
      </w:r>
    </w:p>
    <w:p w14:paraId="4AB0B491" w14:textId="22FCA120" w:rsidR="0005391F" w:rsidRPr="00C755D3" w:rsidRDefault="0005391F" w:rsidP="00672DFE">
      <w:pPr>
        <w:pStyle w:val="ListParagraph"/>
        <w:numPr>
          <w:ilvl w:val="0"/>
          <w:numId w:val="8"/>
        </w:numPr>
        <w:rPr>
          <w:rFonts w:ascii="Arial" w:hAnsi="Arial" w:cs="Arial"/>
          <w:sz w:val="24"/>
          <w:szCs w:val="24"/>
        </w:rPr>
      </w:pPr>
      <w:r w:rsidRPr="00C755D3">
        <w:rPr>
          <w:rFonts w:ascii="Arial" w:hAnsi="Arial" w:cs="Arial"/>
          <w:sz w:val="24"/>
          <w:szCs w:val="24"/>
        </w:rPr>
        <w:lastRenderedPageBreak/>
        <w:t>Design relationship-oriented customer service and call-centre SOPs adapted to local languages, norms of politeness, and expectations around responsiveness.</w:t>
      </w:r>
    </w:p>
    <w:p w14:paraId="780BFEF5" w14:textId="77777777" w:rsidR="0005391F" w:rsidRPr="00A45D92" w:rsidRDefault="0005391F" w:rsidP="0005391F">
      <w:pPr>
        <w:rPr>
          <w:rFonts w:ascii="Arial" w:hAnsi="Arial" w:cs="Arial"/>
          <w:sz w:val="24"/>
          <w:szCs w:val="24"/>
        </w:rPr>
      </w:pPr>
      <w:r w:rsidRPr="00A45D92">
        <w:rPr>
          <w:rFonts w:ascii="Arial" w:hAnsi="Arial" w:cs="Arial"/>
          <w:sz w:val="24"/>
          <w:szCs w:val="24"/>
        </w:rPr>
        <w:t>In other words, the market entry strategy needs to surpass mere replication of the US digital-first model and instead embed relationship-building practices congruent with Indian communication norms.</w:t>
      </w:r>
    </w:p>
    <w:p w14:paraId="7F40E680" w14:textId="42416A56" w:rsidR="0005391F" w:rsidRPr="00C755D3" w:rsidRDefault="0005391F" w:rsidP="00672DFE">
      <w:pPr>
        <w:pStyle w:val="Heading2"/>
        <w:numPr>
          <w:ilvl w:val="1"/>
          <w:numId w:val="1"/>
        </w:numPr>
        <w:rPr>
          <w:rFonts w:ascii="Arial" w:hAnsi="Arial" w:cs="Arial"/>
          <w:b/>
          <w:bCs/>
          <w:color w:val="auto"/>
          <w:sz w:val="24"/>
          <w:szCs w:val="24"/>
        </w:rPr>
      </w:pPr>
      <w:bookmarkStart w:id="24" w:name="_Toc214570802"/>
      <w:r w:rsidRPr="00C755D3">
        <w:rPr>
          <w:rFonts w:ascii="Arial" w:hAnsi="Arial" w:cs="Arial"/>
          <w:b/>
          <w:bCs/>
          <w:color w:val="auto"/>
          <w:sz w:val="24"/>
          <w:szCs w:val="24"/>
        </w:rPr>
        <w:t>Impact on Organisational Design and Leadership in India</w:t>
      </w:r>
      <w:bookmarkEnd w:id="24"/>
    </w:p>
    <w:p w14:paraId="77D7B31C" w14:textId="0D602BCE" w:rsidR="0005391F" w:rsidRPr="00A45D92" w:rsidRDefault="00C755D3" w:rsidP="0005391F">
      <w:pPr>
        <w:rPr>
          <w:rFonts w:ascii="Arial" w:hAnsi="Arial" w:cs="Arial"/>
          <w:sz w:val="24"/>
          <w:szCs w:val="24"/>
        </w:rPr>
      </w:pPr>
      <w:r>
        <w:rPr>
          <w:rFonts w:ascii="Arial" w:hAnsi="Arial" w:cs="Arial"/>
          <w:sz w:val="24"/>
          <w:szCs w:val="24"/>
        </w:rPr>
        <w:t>A</w:t>
      </w:r>
      <w:r w:rsidR="0005391F" w:rsidRPr="00A45D92">
        <w:rPr>
          <w:rFonts w:ascii="Arial" w:hAnsi="Arial" w:cs="Arial"/>
          <w:sz w:val="24"/>
          <w:szCs w:val="24"/>
        </w:rPr>
        <w:t>daptive leadership and context-sensitive strategy as critical elements for VUCA environments. Similarly, cultural differences will impact expectations of leadership style, communications, and HR policies in India.</w:t>
      </w:r>
      <w:r>
        <w:rPr>
          <w:rFonts w:ascii="Arial" w:hAnsi="Arial" w:cs="Arial"/>
          <w:sz w:val="24"/>
          <w:szCs w:val="24"/>
        </w:rPr>
        <w:t>(week 2; week 8)</w:t>
      </w:r>
    </w:p>
    <w:p w14:paraId="28FF27B1" w14:textId="77777777" w:rsidR="0005391F" w:rsidRPr="00A45D92" w:rsidRDefault="0005391F" w:rsidP="0005391F">
      <w:pPr>
        <w:rPr>
          <w:rFonts w:ascii="Arial" w:hAnsi="Arial" w:cs="Arial"/>
          <w:sz w:val="24"/>
          <w:szCs w:val="24"/>
        </w:rPr>
      </w:pPr>
      <w:r w:rsidRPr="00A45D92">
        <w:rPr>
          <w:rFonts w:ascii="Arial" w:hAnsi="Arial" w:cs="Arial"/>
          <w:sz w:val="24"/>
          <w:szCs w:val="24"/>
        </w:rPr>
        <w:t>Higher power distance suggests that employees often expect clear direction from senior leaders and may be less comfortable openly challenging authority or raising problems in public forums. Performance management and feedback SOPs must, therefore, balance clarity of expectations and accountability with mechanisms that allow employees to voice concerns in psychologically safe ways—such as one-to-one discussions, anonymous feedback channels, or structured team reviews.</w:t>
      </w:r>
    </w:p>
    <w:p w14:paraId="5FA28824" w14:textId="77777777" w:rsidR="0005391F" w:rsidRPr="00A45D92" w:rsidRDefault="0005391F" w:rsidP="0005391F">
      <w:pPr>
        <w:rPr>
          <w:rFonts w:ascii="Arial" w:hAnsi="Arial" w:cs="Arial"/>
          <w:sz w:val="24"/>
          <w:szCs w:val="24"/>
        </w:rPr>
      </w:pPr>
      <w:r w:rsidRPr="00A45D92">
        <w:rPr>
          <w:rFonts w:ascii="Arial" w:hAnsi="Arial" w:cs="Arial"/>
          <w:sz w:val="24"/>
          <w:szCs w:val="24"/>
        </w:rPr>
        <w:t>A collectivist orientation also suggests that team cohesion, group recognition, and long-term career paths are more motivational than pure individual rewards. Policies in HR, with a focus only on stock options or performance bonuses for individuals without visible investment in team development or community, may be less effective than in the US. Recognition practices that celebrate team achievements, mentoring, and visible internal mobility may better align with local motivational drivers.</w:t>
      </w:r>
    </w:p>
    <w:p w14:paraId="794DBAEB" w14:textId="77777777" w:rsidR="0005391F" w:rsidRPr="00A45D92" w:rsidRDefault="0005391F" w:rsidP="0005391F">
      <w:pPr>
        <w:rPr>
          <w:rFonts w:ascii="Arial" w:hAnsi="Arial" w:cs="Arial"/>
          <w:sz w:val="24"/>
          <w:szCs w:val="24"/>
        </w:rPr>
      </w:pPr>
      <w:r w:rsidRPr="00A45D92">
        <w:rPr>
          <w:rFonts w:ascii="Arial" w:hAnsi="Arial" w:cs="Arial"/>
          <w:sz w:val="24"/>
          <w:szCs w:val="24"/>
        </w:rPr>
        <w:t xml:space="preserve">The EPRG framework-ethnocentric, polycentric, </w:t>
      </w:r>
      <w:proofErr w:type="spellStart"/>
      <w:r w:rsidRPr="00A45D92">
        <w:rPr>
          <w:rFonts w:ascii="Arial" w:hAnsi="Arial" w:cs="Arial"/>
          <w:sz w:val="24"/>
          <w:szCs w:val="24"/>
        </w:rPr>
        <w:t>regiocentric</w:t>
      </w:r>
      <w:proofErr w:type="spellEnd"/>
      <w:r w:rsidRPr="00A45D92">
        <w:rPr>
          <w:rFonts w:ascii="Arial" w:hAnsi="Arial" w:cs="Arial"/>
          <w:sz w:val="24"/>
          <w:szCs w:val="24"/>
        </w:rPr>
        <w:t>, geocentric-from Week 4 suggests that taking a geocentric or at least polycentric approach-employing strong local managers who understand Indian culture while integrating them into Tesla's global leadership model-is likely to be more effective than a purely ethnocentric staffing approach. Over-reliance on expatriate US managers runs the risk of cultural blind spots, slower relationship-building with local stakeholders, and potential morale issues among local staff. A more geocentric approach, whereby Indian managers occupy the key customer-facing, governmental, and operational roles, allows Tesla to combine global standards with local insight.</w:t>
      </w:r>
    </w:p>
    <w:p w14:paraId="3608D484" w14:textId="7466178F" w:rsidR="0005391F" w:rsidRPr="00C755D3" w:rsidRDefault="0005391F" w:rsidP="00672DFE">
      <w:pPr>
        <w:pStyle w:val="Heading2"/>
        <w:numPr>
          <w:ilvl w:val="1"/>
          <w:numId w:val="1"/>
        </w:numPr>
        <w:rPr>
          <w:rFonts w:ascii="Arial" w:hAnsi="Arial" w:cs="Arial"/>
          <w:b/>
          <w:bCs/>
          <w:color w:val="auto"/>
          <w:sz w:val="24"/>
          <w:szCs w:val="24"/>
        </w:rPr>
      </w:pPr>
      <w:bookmarkStart w:id="25" w:name="_Toc214570803"/>
      <w:r w:rsidRPr="00C755D3">
        <w:rPr>
          <w:rFonts w:ascii="Arial" w:hAnsi="Arial" w:cs="Arial"/>
          <w:b/>
          <w:bCs/>
          <w:color w:val="auto"/>
          <w:sz w:val="24"/>
          <w:szCs w:val="24"/>
        </w:rPr>
        <w:t>Implications for Success in the Indian Market</w:t>
      </w:r>
      <w:bookmarkEnd w:id="25"/>
    </w:p>
    <w:p w14:paraId="0BCD8B45" w14:textId="77777777" w:rsidR="0005391F" w:rsidRPr="00A45D92" w:rsidRDefault="0005391F" w:rsidP="0005391F">
      <w:pPr>
        <w:rPr>
          <w:rFonts w:ascii="Arial" w:hAnsi="Arial" w:cs="Arial"/>
          <w:sz w:val="24"/>
          <w:szCs w:val="24"/>
        </w:rPr>
      </w:pPr>
      <w:r w:rsidRPr="00A45D92">
        <w:rPr>
          <w:rFonts w:ascii="Arial" w:hAnsi="Arial" w:cs="Arial"/>
          <w:sz w:val="24"/>
          <w:szCs w:val="24"/>
        </w:rPr>
        <w:t>Cultural misalignment can lead to "cultural collision" where foreign managerial practices or marketing messages are misunderstood, rejected or create unintended offence. (Week 4; House et al., 2004) For Tesla, the main cultural risks include:</w:t>
      </w:r>
    </w:p>
    <w:p w14:paraId="67649C32" w14:textId="77777777" w:rsidR="0005391F" w:rsidRPr="00A45D92" w:rsidRDefault="0005391F" w:rsidP="0005391F">
      <w:pPr>
        <w:rPr>
          <w:rFonts w:ascii="Arial" w:hAnsi="Arial" w:cs="Arial"/>
          <w:sz w:val="24"/>
          <w:szCs w:val="24"/>
        </w:rPr>
      </w:pPr>
      <w:r w:rsidRPr="00A45D92">
        <w:rPr>
          <w:rFonts w:ascii="Arial" w:hAnsi="Arial" w:cs="Arial"/>
          <w:sz w:val="24"/>
          <w:szCs w:val="24"/>
        </w:rPr>
        <w:t>Over-reliance on purely digital, impersonal interactions in a marketplace where trust and personal relationships remain central to high-value purchasing decisions.</w:t>
      </w:r>
    </w:p>
    <w:p w14:paraId="17759B80" w14:textId="77777777" w:rsidR="00C755D3" w:rsidRDefault="0005391F" w:rsidP="00672DFE">
      <w:pPr>
        <w:pStyle w:val="ListParagraph"/>
        <w:numPr>
          <w:ilvl w:val="0"/>
          <w:numId w:val="9"/>
        </w:numPr>
        <w:rPr>
          <w:rFonts w:ascii="Arial" w:hAnsi="Arial" w:cs="Arial"/>
          <w:sz w:val="24"/>
          <w:szCs w:val="24"/>
        </w:rPr>
      </w:pPr>
      <w:r w:rsidRPr="00C755D3">
        <w:rPr>
          <w:rFonts w:ascii="Arial" w:hAnsi="Arial" w:cs="Arial"/>
          <w:sz w:val="24"/>
          <w:szCs w:val="24"/>
        </w:rPr>
        <w:t>The style of communication is not properly adapted, with messages that are too direct and possibly perceived as arrogant or insensitive.</w:t>
      </w:r>
    </w:p>
    <w:p w14:paraId="558228C9" w14:textId="1C2D7887" w:rsidR="0005391F" w:rsidRPr="00C755D3" w:rsidRDefault="0005391F" w:rsidP="00672DFE">
      <w:pPr>
        <w:pStyle w:val="ListParagraph"/>
        <w:numPr>
          <w:ilvl w:val="0"/>
          <w:numId w:val="9"/>
        </w:numPr>
        <w:rPr>
          <w:rFonts w:ascii="Arial" w:hAnsi="Arial" w:cs="Arial"/>
          <w:sz w:val="24"/>
          <w:szCs w:val="24"/>
        </w:rPr>
      </w:pPr>
      <w:r w:rsidRPr="00C755D3">
        <w:rPr>
          <w:rFonts w:ascii="Arial" w:hAnsi="Arial" w:cs="Arial"/>
          <w:sz w:val="24"/>
          <w:szCs w:val="24"/>
        </w:rPr>
        <w:t>Underestimating the influence of family and community in guiding purchase decisions, thereby crafting campaigns that speak to individual ego rather than household concerns.</w:t>
      </w:r>
    </w:p>
    <w:p w14:paraId="7D6385CD" w14:textId="77777777" w:rsidR="0005391F" w:rsidRPr="00A45D92" w:rsidRDefault="0005391F" w:rsidP="0005391F">
      <w:pPr>
        <w:rPr>
          <w:rFonts w:ascii="Arial" w:hAnsi="Arial" w:cs="Arial"/>
          <w:sz w:val="24"/>
          <w:szCs w:val="24"/>
        </w:rPr>
      </w:pPr>
      <w:r w:rsidRPr="00A45D92">
        <w:rPr>
          <w:rFonts w:ascii="Arial" w:hAnsi="Arial" w:cs="Arial"/>
          <w:sz w:val="24"/>
          <w:szCs w:val="24"/>
        </w:rPr>
        <w:lastRenderedPageBreak/>
        <w:t>These risks can undermine the success of the Indian venture directly by depressing demand, increasing employee turnover, or creating regulatory friction.</w:t>
      </w:r>
    </w:p>
    <w:p w14:paraId="6E11010E" w14:textId="77777777" w:rsidR="0005391F" w:rsidRPr="00A45D92" w:rsidRDefault="0005391F" w:rsidP="0005391F">
      <w:pPr>
        <w:rPr>
          <w:rFonts w:ascii="Arial" w:hAnsi="Arial" w:cs="Arial"/>
          <w:sz w:val="24"/>
          <w:szCs w:val="24"/>
        </w:rPr>
      </w:pPr>
      <w:r w:rsidRPr="00A45D92">
        <w:rPr>
          <w:rFonts w:ascii="Arial" w:hAnsi="Arial" w:cs="Arial"/>
          <w:sz w:val="24"/>
          <w:szCs w:val="24"/>
        </w:rPr>
        <w:t>On the other hand, cultural sensitivity can have positive effects on performance as it allows for greater customer insight, employee engagement, and community relationships that lead to a sustained competitive advantage. This concept is grounded in the idea that culture relates to national competitive advantage (Week 4; Hill, 2023). To this end, when cultural adaptation is put into practice in marketing, HR, and leadership, Tesla is well-placed to:</w:t>
      </w:r>
    </w:p>
    <w:p w14:paraId="75DF7FA0" w14:textId="77777777" w:rsidR="00C755D3" w:rsidRDefault="0005391F" w:rsidP="00672DFE">
      <w:pPr>
        <w:pStyle w:val="ListParagraph"/>
        <w:numPr>
          <w:ilvl w:val="0"/>
          <w:numId w:val="10"/>
        </w:numPr>
        <w:rPr>
          <w:rFonts w:ascii="Arial" w:hAnsi="Arial" w:cs="Arial"/>
          <w:sz w:val="24"/>
          <w:szCs w:val="24"/>
        </w:rPr>
      </w:pPr>
      <w:r w:rsidRPr="00C755D3">
        <w:rPr>
          <w:rFonts w:ascii="Arial" w:hAnsi="Arial" w:cs="Arial"/>
          <w:sz w:val="24"/>
          <w:szCs w:val="24"/>
        </w:rPr>
        <w:t>Convert the global brand into locally meaningful value propositions that resonate with the aspirations and constraints of Indian consumers.</w:t>
      </w:r>
    </w:p>
    <w:p w14:paraId="6B216561" w14:textId="77777777" w:rsidR="00C755D3" w:rsidRDefault="0005391F" w:rsidP="00672DFE">
      <w:pPr>
        <w:pStyle w:val="ListParagraph"/>
        <w:numPr>
          <w:ilvl w:val="0"/>
          <w:numId w:val="10"/>
        </w:numPr>
        <w:rPr>
          <w:rFonts w:ascii="Arial" w:hAnsi="Arial" w:cs="Arial"/>
          <w:sz w:val="24"/>
          <w:szCs w:val="24"/>
        </w:rPr>
      </w:pPr>
      <w:r w:rsidRPr="00C755D3">
        <w:rPr>
          <w:rFonts w:ascii="Arial" w:hAnsi="Arial" w:cs="Arial"/>
          <w:sz w:val="24"/>
          <w:szCs w:val="24"/>
        </w:rPr>
        <w:t>Build a committed high-performance local workforce that understands Tesla's culture of innovation and Indian societal norms.</w:t>
      </w:r>
    </w:p>
    <w:p w14:paraId="66636C88" w14:textId="4EE2BAB4" w:rsidR="0005391F" w:rsidRPr="00C755D3" w:rsidRDefault="0005391F" w:rsidP="00672DFE">
      <w:pPr>
        <w:pStyle w:val="ListParagraph"/>
        <w:numPr>
          <w:ilvl w:val="0"/>
          <w:numId w:val="10"/>
        </w:numPr>
        <w:rPr>
          <w:rFonts w:ascii="Arial" w:hAnsi="Arial" w:cs="Arial"/>
          <w:sz w:val="24"/>
          <w:szCs w:val="24"/>
        </w:rPr>
      </w:pPr>
      <w:r w:rsidRPr="00C755D3">
        <w:rPr>
          <w:rFonts w:ascii="Arial" w:hAnsi="Arial" w:cs="Arial"/>
          <w:sz w:val="24"/>
          <w:szCs w:val="24"/>
        </w:rPr>
        <w:t>Better navigate government, media and civil-society relationships to mitigate non-market risks.</w:t>
      </w:r>
    </w:p>
    <w:p w14:paraId="0F477A65" w14:textId="77777777" w:rsidR="0005391F" w:rsidRPr="00A45D92" w:rsidRDefault="0005391F" w:rsidP="0005391F">
      <w:pPr>
        <w:rPr>
          <w:rFonts w:ascii="Arial" w:hAnsi="Arial" w:cs="Arial"/>
          <w:sz w:val="24"/>
          <w:szCs w:val="24"/>
        </w:rPr>
      </w:pPr>
      <w:r w:rsidRPr="00A45D92">
        <w:rPr>
          <w:rFonts w:ascii="Arial" w:hAnsi="Arial" w:cs="Arial"/>
          <w:sz w:val="24"/>
          <w:szCs w:val="24"/>
        </w:rPr>
        <w:t>In all, cultural issues between the US and India are not peripheral but rather central to whether ownership and location advantages for Tesla can be realized in practice. Only with a culturally attuned strategy reflecting Hofstede's dimensions, VUCA-oriented adaptive leadership, and EPRG staffing logic will Tesla be able to achieve not just market entry but also long-term success in India.</w:t>
      </w:r>
    </w:p>
    <w:p w14:paraId="62890FBF" w14:textId="2F0EF8EF" w:rsidR="0005391F" w:rsidRPr="00C755D3" w:rsidRDefault="0005391F" w:rsidP="00672DFE">
      <w:pPr>
        <w:pStyle w:val="Heading1"/>
        <w:numPr>
          <w:ilvl w:val="0"/>
          <w:numId w:val="1"/>
        </w:numPr>
        <w:rPr>
          <w:rFonts w:ascii="Arial" w:hAnsi="Arial" w:cs="Arial"/>
          <w:b/>
          <w:bCs/>
          <w:sz w:val="28"/>
          <w:szCs w:val="28"/>
        </w:rPr>
      </w:pPr>
      <w:bookmarkStart w:id="26" w:name="_Toc214570804"/>
      <w:r w:rsidRPr="00C755D3">
        <w:rPr>
          <w:rFonts w:ascii="Arial" w:hAnsi="Arial" w:cs="Arial"/>
          <w:b/>
          <w:bCs/>
          <w:color w:val="auto"/>
          <w:sz w:val="28"/>
          <w:szCs w:val="28"/>
        </w:rPr>
        <w:t>Suggested SOP Improvements to Ensure Success in India</w:t>
      </w:r>
      <w:bookmarkEnd w:id="26"/>
    </w:p>
    <w:p w14:paraId="3F2DF059" w14:textId="77777777" w:rsidR="0005391F" w:rsidRDefault="0005391F" w:rsidP="0005391F">
      <w:pPr>
        <w:rPr>
          <w:rFonts w:ascii="Arial" w:hAnsi="Arial" w:cs="Arial"/>
          <w:sz w:val="24"/>
          <w:szCs w:val="24"/>
        </w:rPr>
      </w:pPr>
      <w:r w:rsidRPr="00A45D92">
        <w:rPr>
          <w:rFonts w:ascii="Arial" w:hAnsi="Arial" w:cs="Arial"/>
          <w:sz w:val="24"/>
          <w:szCs w:val="24"/>
        </w:rPr>
        <w:t>Building on the OLI and cultural analyses, this section puts forward three significant SOP adjustments Tesla should make to better its prospects in India. Each of these recommendations fixes certain problems as identified earlier.</w:t>
      </w:r>
    </w:p>
    <w:p w14:paraId="2E580507" w14:textId="77777777" w:rsidR="00BF2CFD" w:rsidRPr="00A45D92" w:rsidRDefault="00BF2CFD" w:rsidP="0005391F">
      <w:pPr>
        <w:rPr>
          <w:rFonts w:ascii="Arial" w:hAnsi="Arial" w:cs="Arial"/>
          <w:sz w:val="24"/>
          <w:szCs w:val="24"/>
        </w:rPr>
      </w:pPr>
    </w:p>
    <w:p w14:paraId="606A57A1" w14:textId="055C56FF" w:rsidR="0005391F" w:rsidRPr="007475CD" w:rsidRDefault="0005391F" w:rsidP="00672DFE">
      <w:pPr>
        <w:pStyle w:val="Heading2"/>
        <w:numPr>
          <w:ilvl w:val="1"/>
          <w:numId w:val="4"/>
        </w:numPr>
        <w:rPr>
          <w:rFonts w:ascii="Arial" w:hAnsi="Arial" w:cs="Arial"/>
          <w:b/>
          <w:bCs/>
          <w:color w:val="auto"/>
          <w:sz w:val="24"/>
          <w:szCs w:val="24"/>
        </w:rPr>
      </w:pPr>
      <w:bookmarkStart w:id="27" w:name="_Toc214570805"/>
      <w:r w:rsidRPr="007475CD">
        <w:rPr>
          <w:rFonts w:ascii="Arial" w:hAnsi="Arial" w:cs="Arial"/>
          <w:b/>
          <w:bCs/>
          <w:color w:val="auto"/>
          <w:sz w:val="24"/>
          <w:szCs w:val="24"/>
        </w:rPr>
        <w:t>SOP 1: Localised Market, Product and Pricing Strategy</w:t>
      </w:r>
      <w:bookmarkEnd w:id="27"/>
    </w:p>
    <w:p w14:paraId="6AB09866" w14:textId="77777777" w:rsidR="0005391F" w:rsidRPr="007475CD" w:rsidRDefault="0005391F" w:rsidP="0005391F">
      <w:pPr>
        <w:rPr>
          <w:rFonts w:ascii="Arial" w:hAnsi="Arial" w:cs="Arial"/>
          <w:b/>
          <w:bCs/>
          <w:sz w:val="24"/>
          <w:szCs w:val="24"/>
        </w:rPr>
      </w:pPr>
      <w:r w:rsidRPr="007475CD">
        <w:rPr>
          <w:rFonts w:ascii="Arial" w:hAnsi="Arial" w:cs="Arial"/>
          <w:b/>
          <w:bCs/>
          <w:sz w:val="24"/>
          <w:szCs w:val="24"/>
        </w:rPr>
        <w:t>Problem Addressed:</w:t>
      </w:r>
    </w:p>
    <w:p w14:paraId="13D363E3" w14:textId="77777777" w:rsidR="0005391F" w:rsidRPr="00A45D92" w:rsidRDefault="0005391F" w:rsidP="0005391F">
      <w:pPr>
        <w:rPr>
          <w:rFonts w:ascii="Arial" w:hAnsi="Arial" w:cs="Arial"/>
          <w:sz w:val="24"/>
          <w:szCs w:val="24"/>
        </w:rPr>
      </w:pPr>
      <w:r w:rsidRPr="00A45D92">
        <w:rPr>
          <w:rFonts w:ascii="Arial" w:hAnsi="Arial" w:cs="Arial"/>
          <w:sz w:val="24"/>
          <w:szCs w:val="24"/>
        </w:rPr>
        <w:t>High import duties, price sensitivity, and risk perceptions restrict demand for premium imported EVs, despite strong long-term potential. Times of India, 2025; Vora, 2025; IBEF, 2025</w:t>
      </w:r>
    </w:p>
    <w:p w14:paraId="2FABC558" w14:textId="77777777" w:rsidR="0005391F" w:rsidRPr="007475CD" w:rsidRDefault="0005391F" w:rsidP="0005391F">
      <w:pPr>
        <w:rPr>
          <w:rFonts w:ascii="Arial" w:hAnsi="Arial" w:cs="Arial"/>
          <w:b/>
          <w:bCs/>
          <w:sz w:val="24"/>
          <w:szCs w:val="24"/>
        </w:rPr>
      </w:pPr>
      <w:r w:rsidRPr="007475CD">
        <w:rPr>
          <w:rFonts w:ascii="Arial" w:hAnsi="Arial" w:cs="Arial"/>
          <w:b/>
          <w:bCs/>
          <w:sz w:val="24"/>
          <w:szCs w:val="24"/>
        </w:rPr>
        <w:t>Recommended SOP Changes</w:t>
      </w:r>
    </w:p>
    <w:p w14:paraId="6BBE9E8D" w14:textId="69F06223" w:rsidR="0005391F" w:rsidRPr="007475CD" w:rsidRDefault="0005391F" w:rsidP="00672DFE">
      <w:pPr>
        <w:pStyle w:val="Heading3"/>
        <w:numPr>
          <w:ilvl w:val="2"/>
          <w:numId w:val="4"/>
        </w:numPr>
        <w:rPr>
          <w:rFonts w:ascii="Arial" w:hAnsi="Arial" w:cs="Arial"/>
          <w:b/>
          <w:bCs/>
          <w:sz w:val="24"/>
          <w:szCs w:val="24"/>
        </w:rPr>
      </w:pPr>
      <w:bookmarkStart w:id="28" w:name="_Toc214570806"/>
      <w:r w:rsidRPr="007475CD">
        <w:rPr>
          <w:rFonts w:ascii="Arial" w:hAnsi="Arial" w:cs="Arial"/>
          <w:b/>
          <w:bCs/>
          <w:color w:val="auto"/>
          <w:sz w:val="24"/>
          <w:szCs w:val="24"/>
        </w:rPr>
        <w:t>Phased Localisation and Portfolio Strategy</w:t>
      </w:r>
      <w:bookmarkEnd w:id="28"/>
    </w:p>
    <w:p w14:paraId="0AD58269" w14:textId="4811E61A" w:rsidR="0005391F" w:rsidRDefault="0005391F" w:rsidP="00672DFE">
      <w:pPr>
        <w:pStyle w:val="ListParagraph"/>
        <w:numPr>
          <w:ilvl w:val="0"/>
          <w:numId w:val="11"/>
        </w:numPr>
        <w:rPr>
          <w:rFonts w:ascii="Arial" w:hAnsi="Arial" w:cs="Arial"/>
          <w:sz w:val="24"/>
          <w:szCs w:val="24"/>
        </w:rPr>
      </w:pPr>
      <w:r w:rsidRPr="007475CD">
        <w:rPr>
          <w:rFonts w:ascii="Arial" w:hAnsi="Arial" w:cs="Arial"/>
          <w:sz w:val="24"/>
          <w:szCs w:val="24"/>
        </w:rPr>
        <w:t>Formalize an SOP that defines a phased pathway:</w:t>
      </w:r>
    </w:p>
    <w:p w14:paraId="14871AB3" w14:textId="77777777" w:rsidR="007475CD" w:rsidRPr="007475CD" w:rsidRDefault="007475CD" w:rsidP="007475CD">
      <w:pPr>
        <w:pStyle w:val="ListParagraph"/>
        <w:rPr>
          <w:rFonts w:ascii="Arial" w:hAnsi="Arial" w:cs="Arial"/>
          <w:sz w:val="24"/>
          <w:szCs w:val="24"/>
        </w:rPr>
      </w:pPr>
    </w:p>
    <w:p w14:paraId="69AFE8BA" w14:textId="77777777" w:rsidR="007475CD" w:rsidRDefault="0005391F" w:rsidP="00672DFE">
      <w:pPr>
        <w:pStyle w:val="ListParagraph"/>
        <w:numPr>
          <w:ilvl w:val="0"/>
          <w:numId w:val="12"/>
        </w:numPr>
        <w:rPr>
          <w:rFonts w:ascii="Arial" w:hAnsi="Arial" w:cs="Arial"/>
          <w:sz w:val="24"/>
          <w:szCs w:val="24"/>
        </w:rPr>
      </w:pPr>
      <w:r w:rsidRPr="007475CD">
        <w:rPr>
          <w:rFonts w:ascii="Arial" w:hAnsi="Arial" w:cs="Arial"/>
          <w:b/>
          <w:bCs/>
          <w:sz w:val="24"/>
          <w:szCs w:val="24"/>
        </w:rPr>
        <w:t>Phase 1:</w:t>
      </w:r>
      <w:r w:rsidRPr="007475CD">
        <w:rPr>
          <w:rFonts w:ascii="Arial" w:hAnsi="Arial" w:cs="Arial"/>
          <w:sz w:val="24"/>
          <w:szCs w:val="24"/>
        </w:rPr>
        <w:t xml:space="preserve"> Import limited volumes of higher-end models, for instance, Model Y, to create brand presence in top metros like Mumbai, Delhi, Bengaluru, and Hyderabad.</w:t>
      </w:r>
    </w:p>
    <w:p w14:paraId="4B5CA3C8" w14:textId="383523EC" w:rsidR="0005391F" w:rsidRPr="007475CD" w:rsidRDefault="0005391F" w:rsidP="00672DFE">
      <w:pPr>
        <w:pStyle w:val="ListParagraph"/>
        <w:numPr>
          <w:ilvl w:val="0"/>
          <w:numId w:val="12"/>
        </w:numPr>
        <w:rPr>
          <w:rFonts w:ascii="Arial" w:hAnsi="Arial" w:cs="Arial"/>
          <w:sz w:val="24"/>
          <w:szCs w:val="24"/>
        </w:rPr>
      </w:pPr>
      <w:r w:rsidRPr="007475CD">
        <w:rPr>
          <w:rFonts w:ascii="Arial" w:hAnsi="Arial" w:cs="Arial"/>
          <w:b/>
          <w:bCs/>
          <w:sz w:val="24"/>
          <w:szCs w:val="24"/>
        </w:rPr>
        <w:t>Phase 2:</w:t>
      </w:r>
      <w:r w:rsidRPr="007475CD">
        <w:rPr>
          <w:rFonts w:ascii="Arial" w:hAnsi="Arial" w:cs="Arial"/>
          <w:sz w:val="24"/>
          <w:szCs w:val="24"/>
        </w:rPr>
        <w:t xml:space="preserve"> Once local manufacturing has been established, introduce an India-optimized, more affordable vehicle. Consider offering global platform-based models in compact sedan or crossover body styles.</w:t>
      </w:r>
    </w:p>
    <w:p w14:paraId="3C040B25" w14:textId="19B9321F" w:rsidR="0005391F" w:rsidRPr="00A45D92" w:rsidRDefault="0005391F" w:rsidP="0005391F">
      <w:pPr>
        <w:rPr>
          <w:rFonts w:ascii="Arial" w:hAnsi="Arial" w:cs="Arial"/>
          <w:sz w:val="24"/>
          <w:szCs w:val="24"/>
        </w:rPr>
      </w:pPr>
      <w:r w:rsidRPr="00A45D92">
        <w:rPr>
          <w:rFonts w:ascii="Arial" w:hAnsi="Arial" w:cs="Arial"/>
          <w:sz w:val="24"/>
          <w:szCs w:val="24"/>
        </w:rPr>
        <w:lastRenderedPageBreak/>
        <w:t>The SOP must incorporate Porter's diamond and market-size hypothesis thinking (Week 6; Week 7) by connecting product decisions to urban income distribution, infrastructure readiness and local competition.</w:t>
      </w:r>
    </w:p>
    <w:p w14:paraId="022C5BF8" w14:textId="4B26FBED" w:rsidR="0005391F" w:rsidRPr="007475CD" w:rsidRDefault="0005391F" w:rsidP="00672DFE">
      <w:pPr>
        <w:pStyle w:val="Heading3"/>
        <w:numPr>
          <w:ilvl w:val="2"/>
          <w:numId w:val="4"/>
        </w:numPr>
        <w:rPr>
          <w:rFonts w:ascii="Arial" w:hAnsi="Arial" w:cs="Arial"/>
          <w:b/>
          <w:bCs/>
          <w:color w:val="auto"/>
          <w:sz w:val="24"/>
          <w:szCs w:val="24"/>
        </w:rPr>
      </w:pPr>
      <w:bookmarkStart w:id="29" w:name="_Toc214570807"/>
      <w:r w:rsidRPr="007475CD">
        <w:rPr>
          <w:rFonts w:ascii="Arial" w:hAnsi="Arial" w:cs="Arial"/>
          <w:b/>
          <w:bCs/>
          <w:color w:val="auto"/>
          <w:sz w:val="24"/>
          <w:szCs w:val="24"/>
        </w:rPr>
        <w:t>India-specific pricing and financing framework</w:t>
      </w:r>
      <w:bookmarkEnd w:id="29"/>
    </w:p>
    <w:p w14:paraId="280AD647" w14:textId="77777777" w:rsidR="007475CD" w:rsidRDefault="0005391F" w:rsidP="00672DFE">
      <w:pPr>
        <w:pStyle w:val="ListParagraph"/>
        <w:numPr>
          <w:ilvl w:val="0"/>
          <w:numId w:val="11"/>
        </w:numPr>
        <w:rPr>
          <w:rFonts w:ascii="Arial" w:hAnsi="Arial" w:cs="Arial"/>
          <w:sz w:val="24"/>
          <w:szCs w:val="24"/>
        </w:rPr>
      </w:pPr>
      <w:r w:rsidRPr="007475CD">
        <w:rPr>
          <w:rFonts w:ascii="Arial" w:hAnsi="Arial" w:cs="Arial"/>
          <w:sz w:val="24"/>
          <w:szCs w:val="24"/>
        </w:rPr>
        <w:t>Establish standard procedures for designing bundled offers that combine vehicle price, long-term warranties, maintenance packages, and financing to reduce the perceived total cost of ownership.</w:t>
      </w:r>
    </w:p>
    <w:p w14:paraId="050CDD75" w14:textId="77777777" w:rsidR="007475CD" w:rsidRDefault="007475CD" w:rsidP="007475CD">
      <w:pPr>
        <w:pStyle w:val="ListParagraph"/>
        <w:rPr>
          <w:rFonts w:ascii="Arial" w:hAnsi="Arial" w:cs="Arial"/>
          <w:sz w:val="24"/>
          <w:szCs w:val="24"/>
        </w:rPr>
      </w:pPr>
    </w:p>
    <w:p w14:paraId="39E8878B" w14:textId="42CB1C63" w:rsidR="0005391F" w:rsidRPr="007475CD" w:rsidRDefault="0005391F" w:rsidP="00672DFE">
      <w:pPr>
        <w:pStyle w:val="ListParagraph"/>
        <w:numPr>
          <w:ilvl w:val="0"/>
          <w:numId w:val="11"/>
        </w:numPr>
        <w:rPr>
          <w:rFonts w:ascii="Arial" w:hAnsi="Arial" w:cs="Arial"/>
          <w:sz w:val="24"/>
          <w:szCs w:val="24"/>
        </w:rPr>
      </w:pPr>
      <w:r w:rsidRPr="007475CD">
        <w:rPr>
          <w:rFonts w:ascii="Arial" w:hAnsi="Arial" w:cs="Arial"/>
          <w:sz w:val="24"/>
          <w:szCs w:val="24"/>
        </w:rPr>
        <w:t>Develop partnerships with Indian banks and fintech companies for the development of EMIs and leasing products aligned with Indian consumer cash-flow patterns. This is a reflection of the economic conditions and the importance of income distribution discussed in Week 5 (Week 5).</w:t>
      </w:r>
    </w:p>
    <w:p w14:paraId="28A4C194" w14:textId="167F5B16" w:rsidR="0005391F" w:rsidRPr="007475CD" w:rsidRDefault="0005391F" w:rsidP="00672DFE">
      <w:pPr>
        <w:pStyle w:val="Heading3"/>
        <w:numPr>
          <w:ilvl w:val="2"/>
          <w:numId w:val="4"/>
        </w:numPr>
        <w:rPr>
          <w:rFonts w:ascii="Arial" w:hAnsi="Arial" w:cs="Arial"/>
          <w:b/>
          <w:bCs/>
          <w:color w:val="auto"/>
          <w:sz w:val="24"/>
          <w:szCs w:val="24"/>
        </w:rPr>
      </w:pPr>
      <w:bookmarkStart w:id="30" w:name="_Toc214570808"/>
      <w:r w:rsidRPr="007475CD">
        <w:rPr>
          <w:rFonts w:ascii="Arial" w:hAnsi="Arial" w:cs="Arial"/>
          <w:b/>
          <w:bCs/>
          <w:color w:val="auto"/>
          <w:sz w:val="24"/>
          <w:szCs w:val="24"/>
        </w:rPr>
        <w:t>Demand-Side Risk Reduction</w:t>
      </w:r>
      <w:bookmarkEnd w:id="30"/>
    </w:p>
    <w:p w14:paraId="53A31BB0" w14:textId="4F2A5304" w:rsidR="0005391F" w:rsidRPr="007475CD" w:rsidRDefault="0005391F" w:rsidP="00672DFE">
      <w:pPr>
        <w:pStyle w:val="ListParagraph"/>
        <w:numPr>
          <w:ilvl w:val="0"/>
          <w:numId w:val="13"/>
        </w:numPr>
        <w:rPr>
          <w:rFonts w:ascii="Arial" w:hAnsi="Arial" w:cs="Arial"/>
          <w:sz w:val="24"/>
          <w:szCs w:val="24"/>
        </w:rPr>
      </w:pPr>
      <w:r w:rsidRPr="007475CD">
        <w:rPr>
          <w:rFonts w:ascii="Arial" w:hAnsi="Arial" w:cs="Arial"/>
          <w:sz w:val="24"/>
          <w:szCs w:val="24"/>
        </w:rPr>
        <w:t>Create SOP guidelines for transparent communication on range, battery life, resale value and government incentives.</w:t>
      </w:r>
    </w:p>
    <w:p w14:paraId="01EABFD1" w14:textId="77777777" w:rsidR="007475CD" w:rsidRDefault="007475CD" w:rsidP="007475CD">
      <w:pPr>
        <w:pStyle w:val="ListParagraph"/>
        <w:rPr>
          <w:rFonts w:ascii="Arial" w:hAnsi="Arial" w:cs="Arial"/>
          <w:sz w:val="24"/>
          <w:szCs w:val="24"/>
        </w:rPr>
      </w:pPr>
    </w:p>
    <w:p w14:paraId="336A0F5F" w14:textId="54274765" w:rsidR="0005391F" w:rsidRPr="007475CD" w:rsidRDefault="0005391F" w:rsidP="00672DFE">
      <w:pPr>
        <w:pStyle w:val="ListParagraph"/>
        <w:numPr>
          <w:ilvl w:val="0"/>
          <w:numId w:val="13"/>
        </w:numPr>
        <w:rPr>
          <w:rFonts w:ascii="Arial" w:hAnsi="Arial" w:cs="Arial"/>
          <w:sz w:val="24"/>
          <w:szCs w:val="24"/>
        </w:rPr>
      </w:pPr>
      <w:r w:rsidRPr="007475CD">
        <w:rPr>
          <w:rFonts w:ascii="Arial" w:hAnsi="Arial" w:cs="Arial"/>
          <w:sz w:val="24"/>
          <w:szCs w:val="24"/>
        </w:rPr>
        <w:t xml:space="preserve">Incorporate structured “EV education” activities at showrooms, corporate roadshows, and digital channels in accordance with the role of information and risk-taking </w:t>
      </w:r>
      <w:proofErr w:type="spellStart"/>
      <w:r w:rsidRPr="007475CD">
        <w:rPr>
          <w:rFonts w:ascii="Arial" w:hAnsi="Arial" w:cs="Arial"/>
          <w:sz w:val="24"/>
          <w:szCs w:val="24"/>
        </w:rPr>
        <w:t>behavior</w:t>
      </w:r>
      <w:proofErr w:type="spellEnd"/>
      <w:r w:rsidRPr="007475CD">
        <w:rPr>
          <w:rFonts w:ascii="Arial" w:hAnsi="Arial" w:cs="Arial"/>
          <w:sz w:val="24"/>
          <w:szCs w:val="24"/>
        </w:rPr>
        <w:t xml:space="preserve"> discussed under culture in Week 4.</w:t>
      </w:r>
    </w:p>
    <w:p w14:paraId="06DC8097" w14:textId="77777777" w:rsidR="0005391F" w:rsidRPr="007475CD" w:rsidRDefault="0005391F" w:rsidP="0005391F">
      <w:pPr>
        <w:rPr>
          <w:rFonts w:ascii="Arial" w:hAnsi="Arial" w:cs="Arial"/>
          <w:b/>
          <w:bCs/>
          <w:sz w:val="24"/>
          <w:szCs w:val="24"/>
        </w:rPr>
      </w:pPr>
      <w:r w:rsidRPr="007475CD">
        <w:rPr>
          <w:rFonts w:ascii="Arial" w:hAnsi="Arial" w:cs="Arial"/>
          <w:b/>
          <w:bCs/>
          <w:sz w:val="24"/>
          <w:szCs w:val="24"/>
        </w:rPr>
        <w:t>Expected Impact</w:t>
      </w:r>
    </w:p>
    <w:p w14:paraId="605B7154" w14:textId="549E03EB" w:rsidR="0005391F" w:rsidRDefault="0005391F" w:rsidP="0005391F">
      <w:pPr>
        <w:rPr>
          <w:rFonts w:ascii="Arial" w:hAnsi="Arial" w:cs="Arial"/>
          <w:sz w:val="24"/>
          <w:szCs w:val="24"/>
        </w:rPr>
      </w:pPr>
      <w:r w:rsidRPr="00A45D92">
        <w:rPr>
          <w:rFonts w:ascii="Arial" w:hAnsi="Arial" w:cs="Arial"/>
          <w:sz w:val="24"/>
          <w:szCs w:val="24"/>
        </w:rPr>
        <w:t>This set of SOPs directly addresses the location-specific challenges tariffs, price sensitivity, and infrastructure-identified under the L element of OLI while leveraging ownership advantages in technology and brand. It also aligns with the transnational strategy of global platforms with local adaptation (Week 8).</w:t>
      </w:r>
    </w:p>
    <w:p w14:paraId="41D05E91" w14:textId="77777777" w:rsidR="00BF2CFD" w:rsidRPr="00A45D92" w:rsidRDefault="00BF2CFD" w:rsidP="0005391F">
      <w:pPr>
        <w:rPr>
          <w:rFonts w:ascii="Arial" w:hAnsi="Arial" w:cs="Arial"/>
          <w:sz w:val="24"/>
          <w:szCs w:val="24"/>
        </w:rPr>
      </w:pPr>
    </w:p>
    <w:p w14:paraId="2F1792A3" w14:textId="77777777" w:rsidR="0005391F" w:rsidRPr="007475CD" w:rsidRDefault="0005391F" w:rsidP="00672DFE">
      <w:pPr>
        <w:pStyle w:val="Heading2"/>
        <w:numPr>
          <w:ilvl w:val="1"/>
          <w:numId w:val="4"/>
        </w:numPr>
        <w:rPr>
          <w:rFonts w:ascii="Arial" w:hAnsi="Arial" w:cs="Arial"/>
          <w:b/>
          <w:bCs/>
          <w:sz w:val="24"/>
          <w:szCs w:val="24"/>
        </w:rPr>
      </w:pPr>
      <w:bookmarkStart w:id="31" w:name="_Toc214570809"/>
      <w:r w:rsidRPr="007475CD">
        <w:rPr>
          <w:rFonts w:ascii="Arial" w:hAnsi="Arial" w:cs="Arial"/>
          <w:b/>
          <w:bCs/>
          <w:color w:val="auto"/>
          <w:sz w:val="24"/>
          <w:szCs w:val="24"/>
        </w:rPr>
        <w:t>SOP 2: Culturally Aligned HR, Leadership, and Customer Experience</w:t>
      </w:r>
      <w:bookmarkEnd w:id="31"/>
    </w:p>
    <w:p w14:paraId="36613901" w14:textId="77777777" w:rsidR="0005391F" w:rsidRPr="007475CD" w:rsidRDefault="0005391F" w:rsidP="0005391F">
      <w:pPr>
        <w:rPr>
          <w:rFonts w:ascii="Arial" w:hAnsi="Arial" w:cs="Arial"/>
          <w:b/>
          <w:bCs/>
          <w:sz w:val="24"/>
          <w:szCs w:val="24"/>
        </w:rPr>
      </w:pPr>
      <w:r w:rsidRPr="007475CD">
        <w:rPr>
          <w:rFonts w:ascii="Arial" w:hAnsi="Arial" w:cs="Arial"/>
          <w:b/>
          <w:bCs/>
          <w:sz w:val="24"/>
          <w:szCs w:val="24"/>
        </w:rPr>
        <w:t>Problem Addressed:</w:t>
      </w:r>
    </w:p>
    <w:p w14:paraId="4AD4A145" w14:textId="77777777" w:rsidR="0005391F" w:rsidRPr="00A45D92" w:rsidRDefault="0005391F" w:rsidP="0005391F">
      <w:pPr>
        <w:rPr>
          <w:rFonts w:ascii="Arial" w:hAnsi="Arial" w:cs="Arial"/>
          <w:sz w:val="24"/>
          <w:szCs w:val="24"/>
        </w:rPr>
      </w:pPr>
      <w:r w:rsidRPr="00A45D92">
        <w:rPr>
          <w:rFonts w:ascii="Arial" w:hAnsi="Arial" w:cs="Arial"/>
          <w:sz w:val="24"/>
          <w:szCs w:val="24"/>
        </w:rPr>
        <w:t>Cultural distance between the US and India creates risks of mismatched HR practices, leadership expectations, and customer experiences that can undermine employee engagement and brand trust.</w:t>
      </w:r>
    </w:p>
    <w:p w14:paraId="5A3BBFF6" w14:textId="77777777" w:rsidR="0005391F" w:rsidRPr="007475CD" w:rsidRDefault="0005391F" w:rsidP="00672DFE">
      <w:pPr>
        <w:pStyle w:val="Heading3"/>
        <w:numPr>
          <w:ilvl w:val="2"/>
          <w:numId w:val="4"/>
        </w:numPr>
        <w:rPr>
          <w:rFonts w:ascii="Arial" w:hAnsi="Arial" w:cs="Arial"/>
          <w:b/>
          <w:bCs/>
          <w:sz w:val="24"/>
          <w:szCs w:val="24"/>
        </w:rPr>
      </w:pPr>
      <w:bookmarkStart w:id="32" w:name="_Toc214570810"/>
      <w:r w:rsidRPr="007475CD">
        <w:rPr>
          <w:rFonts w:ascii="Arial" w:hAnsi="Arial" w:cs="Arial"/>
          <w:b/>
          <w:bCs/>
          <w:color w:val="auto"/>
          <w:sz w:val="24"/>
          <w:szCs w:val="24"/>
        </w:rPr>
        <w:t>Recommended SOP Changes</w:t>
      </w:r>
      <w:bookmarkEnd w:id="32"/>
    </w:p>
    <w:p w14:paraId="41402FC9" w14:textId="118D81C5" w:rsidR="0005391F" w:rsidRPr="007475CD" w:rsidRDefault="0005391F" w:rsidP="00672DFE">
      <w:pPr>
        <w:pStyle w:val="ListParagraph"/>
        <w:numPr>
          <w:ilvl w:val="0"/>
          <w:numId w:val="14"/>
        </w:numPr>
        <w:rPr>
          <w:rFonts w:ascii="Arial" w:hAnsi="Arial" w:cs="Arial"/>
          <w:b/>
          <w:bCs/>
          <w:sz w:val="24"/>
          <w:szCs w:val="24"/>
        </w:rPr>
      </w:pPr>
      <w:r w:rsidRPr="007475CD">
        <w:rPr>
          <w:rFonts w:ascii="Arial" w:hAnsi="Arial" w:cs="Arial"/>
          <w:b/>
          <w:bCs/>
          <w:sz w:val="24"/>
          <w:szCs w:val="24"/>
        </w:rPr>
        <w:t>Cross-Cultural Training and Leadership Development specific to India</w:t>
      </w:r>
    </w:p>
    <w:p w14:paraId="0744FFA6" w14:textId="77777777" w:rsidR="007475CD" w:rsidRDefault="007475CD" w:rsidP="007475CD">
      <w:pPr>
        <w:pStyle w:val="ListParagraph"/>
        <w:rPr>
          <w:rFonts w:ascii="Arial" w:hAnsi="Arial" w:cs="Arial"/>
          <w:sz w:val="24"/>
          <w:szCs w:val="24"/>
        </w:rPr>
      </w:pPr>
    </w:p>
    <w:p w14:paraId="4715F2E3" w14:textId="77777777" w:rsidR="007475CD" w:rsidRDefault="0005391F" w:rsidP="00672DFE">
      <w:pPr>
        <w:pStyle w:val="ListParagraph"/>
        <w:numPr>
          <w:ilvl w:val="0"/>
          <w:numId w:val="15"/>
        </w:numPr>
        <w:rPr>
          <w:rFonts w:ascii="Arial" w:hAnsi="Arial" w:cs="Arial"/>
          <w:sz w:val="24"/>
          <w:szCs w:val="24"/>
        </w:rPr>
      </w:pPr>
      <w:r w:rsidRPr="007475CD">
        <w:rPr>
          <w:rFonts w:ascii="Arial" w:hAnsi="Arial" w:cs="Arial"/>
          <w:sz w:val="24"/>
          <w:szCs w:val="24"/>
        </w:rPr>
        <w:t>Introduce compulsory cross-cultural training for expatriate managers and key functions, based on Hofstede's dimensions and the VUCA/adaptive leadership frameworks.</w:t>
      </w:r>
    </w:p>
    <w:p w14:paraId="0A446200" w14:textId="0E03E933" w:rsidR="0005391F" w:rsidRPr="007475CD" w:rsidRDefault="0005391F" w:rsidP="00672DFE">
      <w:pPr>
        <w:pStyle w:val="ListParagraph"/>
        <w:numPr>
          <w:ilvl w:val="0"/>
          <w:numId w:val="15"/>
        </w:numPr>
        <w:rPr>
          <w:rFonts w:ascii="Arial" w:hAnsi="Arial" w:cs="Arial"/>
          <w:sz w:val="24"/>
          <w:szCs w:val="24"/>
        </w:rPr>
      </w:pPr>
      <w:r w:rsidRPr="007475CD">
        <w:rPr>
          <w:rFonts w:ascii="Arial" w:hAnsi="Arial" w:cs="Arial"/>
          <w:sz w:val="24"/>
          <w:szCs w:val="24"/>
        </w:rPr>
        <w:t>SOPs should spell out that senior roles in India fuse global Tesla leadership competencies with adaptive leadership traits: systems thinking, learning orientation, and collaboration across boundaries (Week 2).</w:t>
      </w:r>
    </w:p>
    <w:p w14:paraId="7C706107" w14:textId="3DD8A93F" w:rsidR="0005391F" w:rsidRPr="007475CD" w:rsidRDefault="0005391F" w:rsidP="00672DFE">
      <w:pPr>
        <w:pStyle w:val="Heading3"/>
        <w:numPr>
          <w:ilvl w:val="2"/>
          <w:numId w:val="4"/>
        </w:numPr>
        <w:rPr>
          <w:rFonts w:ascii="Arial" w:hAnsi="Arial" w:cs="Arial"/>
          <w:b/>
          <w:bCs/>
          <w:color w:val="auto"/>
          <w:sz w:val="24"/>
          <w:szCs w:val="24"/>
        </w:rPr>
      </w:pPr>
      <w:bookmarkStart w:id="33" w:name="_Toc214570811"/>
      <w:r w:rsidRPr="007475CD">
        <w:rPr>
          <w:rFonts w:ascii="Arial" w:hAnsi="Arial" w:cs="Arial"/>
          <w:b/>
          <w:bCs/>
          <w:color w:val="auto"/>
          <w:sz w:val="24"/>
          <w:szCs w:val="24"/>
        </w:rPr>
        <w:lastRenderedPageBreak/>
        <w:t>Geocentric Staffing and Career Path SOP</w:t>
      </w:r>
      <w:bookmarkEnd w:id="33"/>
    </w:p>
    <w:p w14:paraId="7E47513C" w14:textId="598878FF" w:rsidR="0005391F" w:rsidRPr="007475CD" w:rsidRDefault="0005391F" w:rsidP="00672DFE">
      <w:pPr>
        <w:pStyle w:val="ListParagraph"/>
        <w:numPr>
          <w:ilvl w:val="0"/>
          <w:numId w:val="14"/>
        </w:numPr>
        <w:rPr>
          <w:rFonts w:ascii="Arial" w:hAnsi="Arial" w:cs="Arial"/>
          <w:b/>
          <w:bCs/>
          <w:sz w:val="24"/>
          <w:szCs w:val="24"/>
        </w:rPr>
      </w:pPr>
      <w:r w:rsidRPr="007475CD">
        <w:rPr>
          <w:rFonts w:ascii="Arial" w:hAnsi="Arial" w:cs="Arial"/>
          <w:b/>
          <w:bCs/>
          <w:sz w:val="24"/>
          <w:szCs w:val="24"/>
        </w:rPr>
        <w:t>Adopt a geocentric or polycentric staffing policy (EPRG model) by:</w:t>
      </w:r>
    </w:p>
    <w:p w14:paraId="5FC0A412" w14:textId="77777777" w:rsidR="007475CD" w:rsidRDefault="007475CD" w:rsidP="007475CD">
      <w:pPr>
        <w:pStyle w:val="ListParagraph"/>
        <w:rPr>
          <w:rFonts w:ascii="Arial" w:hAnsi="Arial" w:cs="Arial"/>
          <w:sz w:val="24"/>
          <w:szCs w:val="24"/>
        </w:rPr>
      </w:pPr>
    </w:p>
    <w:p w14:paraId="11046934" w14:textId="0538667E" w:rsidR="0005391F" w:rsidRPr="007475CD" w:rsidRDefault="0005391F" w:rsidP="00672DFE">
      <w:pPr>
        <w:pStyle w:val="ListParagraph"/>
        <w:numPr>
          <w:ilvl w:val="0"/>
          <w:numId w:val="16"/>
        </w:numPr>
        <w:rPr>
          <w:rFonts w:ascii="Arial" w:hAnsi="Arial" w:cs="Arial"/>
          <w:sz w:val="24"/>
          <w:szCs w:val="24"/>
        </w:rPr>
      </w:pPr>
      <w:r w:rsidRPr="007475CD">
        <w:rPr>
          <w:rFonts w:ascii="Arial" w:hAnsi="Arial" w:cs="Arial"/>
          <w:sz w:val="24"/>
          <w:szCs w:val="24"/>
        </w:rPr>
        <w:t>Prioritizing Indian managers for customer-facing and government relations roles.</w:t>
      </w:r>
    </w:p>
    <w:p w14:paraId="49527CF0" w14:textId="77777777" w:rsidR="007475CD" w:rsidRDefault="0005391F" w:rsidP="00672DFE">
      <w:pPr>
        <w:pStyle w:val="ListParagraph"/>
        <w:numPr>
          <w:ilvl w:val="0"/>
          <w:numId w:val="16"/>
        </w:numPr>
        <w:rPr>
          <w:rFonts w:ascii="Arial" w:hAnsi="Arial" w:cs="Arial"/>
          <w:sz w:val="24"/>
          <w:szCs w:val="24"/>
        </w:rPr>
      </w:pPr>
      <w:r w:rsidRPr="007475CD">
        <w:rPr>
          <w:rFonts w:ascii="Arial" w:hAnsi="Arial" w:cs="Arial"/>
          <w:sz w:val="24"/>
          <w:szCs w:val="24"/>
        </w:rPr>
        <w:t>Designing clear career pathways that allow Indian talent to move into regional and global roles (Week 4).</w:t>
      </w:r>
    </w:p>
    <w:p w14:paraId="73B4825E" w14:textId="62D2BABB" w:rsidR="0005391F" w:rsidRPr="007475CD" w:rsidRDefault="0005391F" w:rsidP="00672DFE">
      <w:pPr>
        <w:pStyle w:val="ListParagraph"/>
        <w:numPr>
          <w:ilvl w:val="0"/>
          <w:numId w:val="16"/>
        </w:numPr>
        <w:rPr>
          <w:rFonts w:ascii="Arial" w:hAnsi="Arial" w:cs="Arial"/>
          <w:sz w:val="24"/>
          <w:szCs w:val="24"/>
        </w:rPr>
      </w:pPr>
      <w:r w:rsidRPr="007475CD">
        <w:rPr>
          <w:rFonts w:ascii="Arial" w:hAnsi="Arial" w:cs="Arial"/>
          <w:sz w:val="24"/>
          <w:szCs w:val="24"/>
        </w:rPr>
        <w:t>Standardize procedures for talent identification, performance management, and succession planning which reflect local expectations of hierarchy, feedback style, and collective recognition.</w:t>
      </w:r>
    </w:p>
    <w:p w14:paraId="6EFA37C6" w14:textId="2748D2D5" w:rsidR="0005391F" w:rsidRPr="007475CD" w:rsidRDefault="0005391F" w:rsidP="00672DFE">
      <w:pPr>
        <w:pStyle w:val="Heading3"/>
        <w:numPr>
          <w:ilvl w:val="2"/>
          <w:numId w:val="4"/>
        </w:numPr>
        <w:rPr>
          <w:rFonts w:ascii="Arial" w:hAnsi="Arial" w:cs="Arial"/>
          <w:b/>
          <w:bCs/>
          <w:sz w:val="24"/>
          <w:szCs w:val="24"/>
        </w:rPr>
      </w:pPr>
      <w:bookmarkStart w:id="34" w:name="_Toc214570812"/>
      <w:r w:rsidRPr="007475CD">
        <w:rPr>
          <w:rFonts w:ascii="Arial" w:hAnsi="Arial" w:cs="Arial"/>
          <w:b/>
          <w:bCs/>
          <w:color w:val="auto"/>
          <w:sz w:val="24"/>
          <w:szCs w:val="24"/>
        </w:rPr>
        <w:t>Customer-Centric Service and Complaint-Handling SOP</w:t>
      </w:r>
      <w:bookmarkEnd w:id="34"/>
    </w:p>
    <w:p w14:paraId="103A88DD" w14:textId="681683D0" w:rsidR="0005391F" w:rsidRPr="007475CD" w:rsidRDefault="0005391F" w:rsidP="00672DFE">
      <w:pPr>
        <w:pStyle w:val="ListParagraph"/>
        <w:numPr>
          <w:ilvl w:val="0"/>
          <w:numId w:val="14"/>
        </w:numPr>
        <w:rPr>
          <w:rFonts w:ascii="Arial" w:hAnsi="Arial" w:cs="Arial"/>
          <w:sz w:val="24"/>
          <w:szCs w:val="24"/>
        </w:rPr>
      </w:pPr>
      <w:r w:rsidRPr="007475CD">
        <w:rPr>
          <w:rFonts w:ascii="Arial" w:hAnsi="Arial" w:cs="Arial"/>
          <w:sz w:val="24"/>
          <w:szCs w:val="24"/>
        </w:rPr>
        <w:t>Development of detailed SOPs for after-sales service, response times, escalation and complaint resolution appropriate for Indian expectations of interpersonal interaction and relationship-based trust (Week 9)</w:t>
      </w:r>
    </w:p>
    <w:p w14:paraId="4EFC941B" w14:textId="68A4FBDC" w:rsidR="0005391F" w:rsidRDefault="0005391F" w:rsidP="00672DFE">
      <w:pPr>
        <w:pStyle w:val="ListParagraph"/>
        <w:numPr>
          <w:ilvl w:val="0"/>
          <w:numId w:val="14"/>
        </w:numPr>
        <w:rPr>
          <w:rFonts w:ascii="Arial" w:hAnsi="Arial" w:cs="Arial"/>
          <w:sz w:val="24"/>
          <w:szCs w:val="24"/>
        </w:rPr>
      </w:pPr>
      <w:r w:rsidRPr="007475CD">
        <w:rPr>
          <w:rFonts w:ascii="Arial" w:hAnsi="Arial" w:cs="Arial"/>
          <w:sz w:val="24"/>
          <w:szCs w:val="24"/>
        </w:rPr>
        <w:t>Include guidelines for multilingual communication-English plus key regional languages; culturally appropriate greetings and other forms of communication; and flexible problem-solving with consideration of global policy parameters.</w:t>
      </w:r>
    </w:p>
    <w:p w14:paraId="5AA2F015" w14:textId="77777777" w:rsidR="00BF2CFD" w:rsidRPr="00BF2CFD" w:rsidRDefault="00BF2CFD" w:rsidP="00BF2CFD">
      <w:pPr>
        <w:rPr>
          <w:rFonts w:ascii="Arial" w:hAnsi="Arial" w:cs="Arial"/>
          <w:sz w:val="24"/>
          <w:szCs w:val="24"/>
        </w:rPr>
      </w:pPr>
    </w:p>
    <w:p w14:paraId="0DA60C22" w14:textId="7C78FE4F" w:rsidR="0017381F" w:rsidRPr="007475CD" w:rsidRDefault="0017381F" w:rsidP="00672DFE">
      <w:pPr>
        <w:pStyle w:val="Heading2"/>
        <w:numPr>
          <w:ilvl w:val="1"/>
          <w:numId w:val="4"/>
        </w:numPr>
        <w:rPr>
          <w:rFonts w:ascii="Arial" w:hAnsi="Arial" w:cs="Arial"/>
          <w:b/>
          <w:bCs/>
          <w:sz w:val="24"/>
          <w:szCs w:val="24"/>
        </w:rPr>
      </w:pPr>
      <w:bookmarkStart w:id="35" w:name="_Toc214570813"/>
      <w:r w:rsidRPr="007475CD">
        <w:rPr>
          <w:rFonts w:ascii="Arial" w:hAnsi="Arial" w:cs="Arial"/>
          <w:b/>
          <w:bCs/>
          <w:color w:val="auto"/>
          <w:sz w:val="24"/>
          <w:szCs w:val="24"/>
        </w:rPr>
        <w:t>Tesla India Customer Experience Loop</w:t>
      </w:r>
      <w:bookmarkEnd w:id="35"/>
    </w:p>
    <w:p w14:paraId="4BC57387" w14:textId="05E8FB35" w:rsidR="0005391F" w:rsidRPr="0005391F" w:rsidRDefault="0005391F" w:rsidP="0005391F">
      <w:pPr>
        <w:rPr>
          <w:rFonts w:ascii="Arial" w:hAnsi="Arial" w:cs="Arial"/>
          <w:sz w:val="24"/>
          <w:szCs w:val="24"/>
        </w:rPr>
      </w:pPr>
      <w:r w:rsidRPr="00A45D92">
        <w:rPr>
          <w:rFonts w:ascii="Arial" w:hAnsi="Arial" w:cs="Arial"/>
          <w:noProof/>
          <w:sz w:val="24"/>
          <w:szCs w:val="24"/>
        </w:rPr>
        <w:drawing>
          <wp:inline distT="0" distB="0" distL="0" distR="0" wp14:anchorId="5BC91207" wp14:editId="0AF21B67">
            <wp:extent cx="5731510" cy="4274820"/>
            <wp:effectExtent l="0" t="0" r="2540" b="0"/>
            <wp:docPr id="703079486" name="Picture 9" descr="A diagram of customer experience lo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079486" name="Picture 9" descr="A diagram of customer experience loop&#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noFill/>
                    </a:ln>
                  </pic:spPr>
                </pic:pic>
              </a:graphicData>
            </a:graphic>
          </wp:inline>
        </w:drawing>
      </w:r>
    </w:p>
    <w:p w14:paraId="48C3E1B9" w14:textId="77777777" w:rsidR="00A45D92" w:rsidRPr="00A45D92" w:rsidRDefault="00A45D92" w:rsidP="00A45D92">
      <w:pPr>
        <w:rPr>
          <w:rFonts w:ascii="Arial" w:hAnsi="Arial" w:cs="Arial"/>
          <w:sz w:val="24"/>
          <w:szCs w:val="24"/>
        </w:rPr>
      </w:pPr>
      <w:r w:rsidRPr="00A45D92">
        <w:rPr>
          <w:rFonts w:ascii="Arial" w:hAnsi="Arial" w:cs="Arial"/>
          <w:sz w:val="24"/>
          <w:szCs w:val="24"/>
        </w:rPr>
        <w:lastRenderedPageBreak/>
        <w:t>Embed this loop into SOPs to connect cultural insights-family, status, and trust-to marketing and service processes that reinforce customer satisfaction and word-of-mouth growth.</w:t>
      </w:r>
    </w:p>
    <w:p w14:paraId="1DB75C56" w14:textId="77777777" w:rsidR="00A45D92" w:rsidRPr="00672DFE" w:rsidRDefault="00A45D92" w:rsidP="00A45D92">
      <w:pPr>
        <w:rPr>
          <w:rFonts w:ascii="Arial" w:hAnsi="Arial" w:cs="Arial"/>
          <w:b/>
          <w:bCs/>
          <w:sz w:val="24"/>
          <w:szCs w:val="24"/>
        </w:rPr>
      </w:pPr>
      <w:r w:rsidRPr="00672DFE">
        <w:rPr>
          <w:rFonts w:ascii="Arial" w:hAnsi="Arial" w:cs="Arial"/>
          <w:b/>
          <w:bCs/>
          <w:sz w:val="24"/>
          <w:szCs w:val="24"/>
        </w:rPr>
        <w:t>Expected Impact</w:t>
      </w:r>
    </w:p>
    <w:p w14:paraId="1E5E18D3" w14:textId="77777777" w:rsidR="00A45D92" w:rsidRDefault="00A45D92" w:rsidP="00A45D92">
      <w:pPr>
        <w:rPr>
          <w:rFonts w:ascii="Arial" w:hAnsi="Arial" w:cs="Arial"/>
          <w:sz w:val="24"/>
          <w:szCs w:val="24"/>
        </w:rPr>
      </w:pPr>
      <w:r w:rsidRPr="00A45D92">
        <w:rPr>
          <w:rFonts w:ascii="Arial" w:hAnsi="Arial" w:cs="Arial"/>
          <w:sz w:val="24"/>
          <w:szCs w:val="24"/>
        </w:rPr>
        <w:t>These adjustments will lead to internalization advantages, wherein Tesla's integrated worldwide organization can function appropriately in the distinctive cultural context of India. It would improve employee retention, customer satisfaction, and brand advocacy, all critical determinants of long-term success in a complex emerging market.</w:t>
      </w:r>
    </w:p>
    <w:p w14:paraId="01D88E3D" w14:textId="77777777" w:rsidR="00BF2CFD" w:rsidRPr="00A45D92" w:rsidRDefault="00BF2CFD" w:rsidP="00A45D92">
      <w:pPr>
        <w:rPr>
          <w:rFonts w:ascii="Arial" w:hAnsi="Arial" w:cs="Arial"/>
          <w:sz w:val="24"/>
          <w:szCs w:val="24"/>
        </w:rPr>
      </w:pPr>
    </w:p>
    <w:p w14:paraId="48128D17" w14:textId="77777777" w:rsidR="00A45D92" w:rsidRPr="007475CD" w:rsidRDefault="00A45D92" w:rsidP="00672DFE">
      <w:pPr>
        <w:pStyle w:val="Heading2"/>
        <w:numPr>
          <w:ilvl w:val="1"/>
          <w:numId w:val="4"/>
        </w:numPr>
        <w:rPr>
          <w:rFonts w:ascii="Arial" w:hAnsi="Arial" w:cs="Arial"/>
          <w:b/>
          <w:bCs/>
          <w:color w:val="auto"/>
          <w:sz w:val="24"/>
          <w:szCs w:val="24"/>
        </w:rPr>
      </w:pPr>
      <w:bookmarkStart w:id="36" w:name="_Toc214570814"/>
      <w:r w:rsidRPr="007475CD">
        <w:rPr>
          <w:rFonts w:ascii="Arial" w:hAnsi="Arial" w:cs="Arial"/>
          <w:b/>
          <w:bCs/>
          <w:color w:val="auto"/>
          <w:sz w:val="24"/>
          <w:szCs w:val="24"/>
        </w:rPr>
        <w:t>SOP 3: Localised, Resilient Operations and Supply Chain Integration</w:t>
      </w:r>
      <w:bookmarkEnd w:id="36"/>
    </w:p>
    <w:p w14:paraId="0ABB7503" w14:textId="77777777" w:rsidR="00A45D92" w:rsidRPr="00A45D92" w:rsidRDefault="00A45D92" w:rsidP="00A45D92">
      <w:pPr>
        <w:rPr>
          <w:rFonts w:ascii="Arial" w:hAnsi="Arial" w:cs="Arial"/>
          <w:sz w:val="24"/>
          <w:szCs w:val="24"/>
        </w:rPr>
      </w:pPr>
      <w:r w:rsidRPr="00A45D92">
        <w:rPr>
          <w:rFonts w:ascii="Arial" w:hAnsi="Arial" w:cs="Arial"/>
          <w:sz w:val="24"/>
          <w:szCs w:val="24"/>
        </w:rPr>
        <w:t>Problem Addressed:</w:t>
      </w:r>
    </w:p>
    <w:p w14:paraId="5484BCC5" w14:textId="77777777" w:rsidR="00A45D92" w:rsidRDefault="00A45D92" w:rsidP="00A45D92">
      <w:pPr>
        <w:rPr>
          <w:rFonts w:ascii="Arial" w:hAnsi="Arial" w:cs="Arial"/>
          <w:sz w:val="24"/>
          <w:szCs w:val="24"/>
        </w:rPr>
      </w:pPr>
      <w:r w:rsidRPr="00A45D92">
        <w:rPr>
          <w:rFonts w:ascii="Arial" w:hAnsi="Arial" w:cs="Arial"/>
          <w:sz w:val="24"/>
          <w:szCs w:val="24"/>
        </w:rPr>
        <w:t>While infrastructure and supply chain reliability has remained variable, India's policy framework promotes localisation and value addition domestically, for instance SPMEPCI. The ability of Tesla to balance internal control and local integration is key to its cost competitiveness and policy compliance.</w:t>
      </w:r>
    </w:p>
    <w:p w14:paraId="422C2260" w14:textId="77777777" w:rsidR="00672DFE" w:rsidRPr="00A45D92" w:rsidRDefault="00672DFE" w:rsidP="00A45D92">
      <w:pPr>
        <w:rPr>
          <w:rFonts w:ascii="Arial" w:hAnsi="Arial" w:cs="Arial"/>
          <w:sz w:val="24"/>
          <w:szCs w:val="24"/>
        </w:rPr>
      </w:pPr>
    </w:p>
    <w:p w14:paraId="034AB2C1" w14:textId="77777777" w:rsidR="00A45D92" w:rsidRPr="007475CD" w:rsidRDefault="00A45D92" w:rsidP="00672DFE">
      <w:pPr>
        <w:pStyle w:val="Heading3"/>
        <w:numPr>
          <w:ilvl w:val="2"/>
          <w:numId w:val="4"/>
        </w:numPr>
        <w:rPr>
          <w:rFonts w:ascii="Arial" w:hAnsi="Arial" w:cs="Arial"/>
          <w:b/>
          <w:bCs/>
          <w:color w:val="auto"/>
          <w:sz w:val="24"/>
          <w:szCs w:val="24"/>
        </w:rPr>
      </w:pPr>
      <w:bookmarkStart w:id="37" w:name="_Toc214570815"/>
      <w:r w:rsidRPr="007475CD">
        <w:rPr>
          <w:rFonts w:ascii="Arial" w:hAnsi="Arial" w:cs="Arial"/>
          <w:b/>
          <w:bCs/>
          <w:color w:val="auto"/>
          <w:sz w:val="24"/>
          <w:szCs w:val="24"/>
        </w:rPr>
        <w:t>Recommended SOP Changes</w:t>
      </w:r>
      <w:bookmarkEnd w:id="37"/>
    </w:p>
    <w:p w14:paraId="63B839C7" w14:textId="07D61CB5" w:rsidR="00A45D92" w:rsidRPr="007475CD" w:rsidRDefault="00A45D92" w:rsidP="00672DFE">
      <w:pPr>
        <w:pStyle w:val="ListParagraph"/>
        <w:numPr>
          <w:ilvl w:val="0"/>
          <w:numId w:val="17"/>
        </w:numPr>
        <w:rPr>
          <w:rFonts w:ascii="Arial" w:hAnsi="Arial" w:cs="Arial"/>
          <w:b/>
          <w:bCs/>
          <w:sz w:val="24"/>
          <w:szCs w:val="24"/>
        </w:rPr>
      </w:pPr>
      <w:r w:rsidRPr="007475CD">
        <w:rPr>
          <w:rFonts w:ascii="Arial" w:hAnsi="Arial" w:cs="Arial"/>
          <w:b/>
          <w:bCs/>
          <w:sz w:val="24"/>
          <w:szCs w:val="24"/>
        </w:rPr>
        <w:t>Local Sourcing and Supplier Development SOP</w:t>
      </w:r>
    </w:p>
    <w:p w14:paraId="6FDA0DE6" w14:textId="77777777" w:rsidR="007475CD" w:rsidRDefault="007475CD" w:rsidP="007475CD">
      <w:pPr>
        <w:pStyle w:val="ListParagraph"/>
        <w:rPr>
          <w:rFonts w:ascii="Arial" w:hAnsi="Arial" w:cs="Arial"/>
          <w:sz w:val="24"/>
          <w:szCs w:val="24"/>
        </w:rPr>
      </w:pPr>
    </w:p>
    <w:p w14:paraId="3793F2E9" w14:textId="77777777" w:rsidR="007475CD" w:rsidRDefault="00A45D92" w:rsidP="00672DFE">
      <w:pPr>
        <w:pStyle w:val="ListParagraph"/>
        <w:numPr>
          <w:ilvl w:val="0"/>
          <w:numId w:val="18"/>
        </w:numPr>
        <w:rPr>
          <w:rFonts w:ascii="Arial" w:hAnsi="Arial" w:cs="Arial"/>
          <w:sz w:val="24"/>
          <w:szCs w:val="24"/>
        </w:rPr>
      </w:pPr>
      <w:r w:rsidRPr="007475CD">
        <w:rPr>
          <w:rFonts w:ascii="Arial" w:hAnsi="Arial" w:cs="Arial"/>
          <w:sz w:val="24"/>
          <w:szCs w:val="24"/>
        </w:rPr>
        <w:t>Establish a formal process for the identification, auditing and development of Indian suppliers for components, sub-assemblies and services. This is in conformity with Week 9's global sourcing and supply chain management frameworks.</w:t>
      </w:r>
    </w:p>
    <w:p w14:paraId="14323C3B" w14:textId="77777777" w:rsidR="007475CD" w:rsidRDefault="00A45D92" w:rsidP="00672DFE">
      <w:pPr>
        <w:pStyle w:val="ListParagraph"/>
        <w:numPr>
          <w:ilvl w:val="0"/>
          <w:numId w:val="18"/>
        </w:numPr>
        <w:rPr>
          <w:rFonts w:ascii="Arial" w:hAnsi="Arial" w:cs="Arial"/>
          <w:sz w:val="24"/>
          <w:szCs w:val="24"/>
        </w:rPr>
      </w:pPr>
      <w:r w:rsidRPr="007475CD">
        <w:rPr>
          <w:rFonts w:ascii="Arial" w:hAnsi="Arial" w:cs="Arial"/>
          <w:sz w:val="24"/>
          <w:szCs w:val="24"/>
        </w:rPr>
        <w:t>Define clear localisation milestones aligned with policy thresholds-such as 25% domestic value addition by year 3 and 50% by year 5 in accordance with SPMEPCI (Press Information Bureau, 2025; Telematics Wire, 2025).</w:t>
      </w:r>
    </w:p>
    <w:p w14:paraId="49460110" w14:textId="4B298DD0" w:rsidR="00A45D92" w:rsidRPr="007475CD" w:rsidRDefault="00A45D92" w:rsidP="00672DFE">
      <w:pPr>
        <w:pStyle w:val="ListParagraph"/>
        <w:numPr>
          <w:ilvl w:val="0"/>
          <w:numId w:val="18"/>
        </w:numPr>
        <w:rPr>
          <w:rFonts w:ascii="Arial" w:hAnsi="Arial" w:cs="Arial"/>
          <w:sz w:val="24"/>
          <w:szCs w:val="24"/>
        </w:rPr>
      </w:pPr>
      <w:r w:rsidRPr="007475CD">
        <w:rPr>
          <w:rFonts w:ascii="Arial" w:hAnsi="Arial" w:cs="Arial"/>
          <w:sz w:val="24"/>
          <w:szCs w:val="24"/>
        </w:rPr>
        <w:t>Include capability-building programmes, quality audits, and joint improvement projects that will bring local suppliers up to Tesla's global standards.</w:t>
      </w:r>
    </w:p>
    <w:p w14:paraId="6F2BC2E0" w14:textId="36ADE69B" w:rsidR="007475CD" w:rsidRDefault="007475CD" w:rsidP="007475CD">
      <w:pPr>
        <w:pStyle w:val="ListParagraph"/>
        <w:rPr>
          <w:rFonts w:ascii="Arial" w:hAnsi="Arial" w:cs="Arial"/>
          <w:b/>
          <w:bCs/>
          <w:sz w:val="24"/>
          <w:szCs w:val="24"/>
        </w:rPr>
      </w:pPr>
    </w:p>
    <w:p w14:paraId="1DA39D8E" w14:textId="249E7CF0" w:rsidR="00A45D92" w:rsidRPr="007475CD" w:rsidRDefault="00A45D92" w:rsidP="00672DFE">
      <w:pPr>
        <w:pStyle w:val="ListParagraph"/>
        <w:numPr>
          <w:ilvl w:val="0"/>
          <w:numId w:val="17"/>
        </w:numPr>
        <w:rPr>
          <w:rFonts w:ascii="Arial" w:hAnsi="Arial" w:cs="Arial"/>
          <w:b/>
          <w:bCs/>
          <w:sz w:val="24"/>
          <w:szCs w:val="24"/>
        </w:rPr>
      </w:pPr>
      <w:r w:rsidRPr="007475CD">
        <w:rPr>
          <w:rFonts w:ascii="Arial" w:hAnsi="Arial" w:cs="Arial"/>
          <w:b/>
          <w:bCs/>
          <w:sz w:val="24"/>
          <w:szCs w:val="24"/>
        </w:rPr>
        <w:t>Operations Footprint and Risk Management SOP</w:t>
      </w:r>
    </w:p>
    <w:p w14:paraId="716A6A1B" w14:textId="77777777" w:rsidR="007475CD" w:rsidRDefault="007475CD" w:rsidP="007475CD">
      <w:pPr>
        <w:pStyle w:val="ListParagraph"/>
        <w:rPr>
          <w:rFonts w:ascii="Arial" w:hAnsi="Arial" w:cs="Arial"/>
          <w:sz w:val="24"/>
          <w:szCs w:val="24"/>
        </w:rPr>
      </w:pPr>
    </w:p>
    <w:p w14:paraId="487824D0" w14:textId="77777777" w:rsidR="007475CD" w:rsidRDefault="00A45D92" w:rsidP="00672DFE">
      <w:pPr>
        <w:pStyle w:val="ListParagraph"/>
        <w:numPr>
          <w:ilvl w:val="0"/>
          <w:numId w:val="19"/>
        </w:numPr>
        <w:rPr>
          <w:rFonts w:ascii="Arial" w:hAnsi="Arial" w:cs="Arial"/>
          <w:sz w:val="24"/>
          <w:szCs w:val="24"/>
        </w:rPr>
      </w:pPr>
      <w:r w:rsidRPr="007475CD">
        <w:rPr>
          <w:rFonts w:ascii="Arial" w:hAnsi="Arial" w:cs="Arial"/>
          <w:sz w:val="24"/>
          <w:szCs w:val="24"/>
        </w:rPr>
        <w:t>Use PESTLE analysis (Week 8) and country risk frameworks (Week 5) to define criteria for plant location selection, such as port access, power reliability, labour environment, state-level incentives.</w:t>
      </w:r>
    </w:p>
    <w:p w14:paraId="34D7CDAF" w14:textId="58E0F086" w:rsidR="00A45D92" w:rsidRDefault="00A45D92" w:rsidP="00672DFE">
      <w:pPr>
        <w:pStyle w:val="ListParagraph"/>
        <w:numPr>
          <w:ilvl w:val="0"/>
          <w:numId w:val="19"/>
        </w:numPr>
        <w:rPr>
          <w:rFonts w:ascii="Arial" w:hAnsi="Arial" w:cs="Arial"/>
          <w:sz w:val="24"/>
          <w:szCs w:val="24"/>
        </w:rPr>
      </w:pPr>
      <w:r w:rsidRPr="007475CD">
        <w:rPr>
          <w:rFonts w:ascii="Arial" w:hAnsi="Arial" w:cs="Arial"/>
          <w:sz w:val="24"/>
          <w:szCs w:val="24"/>
        </w:rPr>
        <w:t>Use standard procedures to monitor political, regulatory, and logistical risks, including contingency planning for key inputs and export routes.</w:t>
      </w:r>
    </w:p>
    <w:p w14:paraId="6462B6EC" w14:textId="77777777" w:rsidR="00672DFE" w:rsidRDefault="00672DFE" w:rsidP="00672DFE">
      <w:pPr>
        <w:rPr>
          <w:rFonts w:ascii="Arial" w:hAnsi="Arial" w:cs="Arial"/>
          <w:sz w:val="24"/>
          <w:szCs w:val="24"/>
        </w:rPr>
      </w:pPr>
    </w:p>
    <w:p w14:paraId="7E9D237F" w14:textId="77777777" w:rsidR="00672DFE" w:rsidRDefault="00672DFE" w:rsidP="00672DFE">
      <w:pPr>
        <w:rPr>
          <w:rFonts w:ascii="Arial" w:hAnsi="Arial" w:cs="Arial"/>
          <w:sz w:val="24"/>
          <w:szCs w:val="24"/>
        </w:rPr>
      </w:pPr>
    </w:p>
    <w:p w14:paraId="3CF10349" w14:textId="77777777" w:rsidR="00672DFE" w:rsidRPr="00672DFE" w:rsidRDefault="00672DFE" w:rsidP="00672DFE">
      <w:pPr>
        <w:rPr>
          <w:rFonts w:ascii="Arial" w:hAnsi="Arial" w:cs="Arial"/>
          <w:sz w:val="24"/>
          <w:szCs w:val="24"/>
        </w:rPr>
      </w:pPr>
    </w:p>
    <w:p w14:paraId="099AB354" w14:textId="77777777" w:rsidR="00BF2CFD" w:rsidRDefault="00BF2CFD" w:rsidP="00BF2CFD">
      <w:pPr>
        <w:pStyle w:val="ListParagraph"/>
        <w:rPr>
          <w:rFonts w:ascii="Arial" w:hAnsi="Arial" w:cs="Arial"/>
          <w:b/>
          <w:bCs/>
          <w:sz w:val="24"/>
          <w:szCs w:val="24"/>
        </w:rPr>
      </w:pPr>
    </w:p>
    <w:p w14:paraId="55FA854B" w14:textId="52FE8755" w:rsidR="00A45D92" w:rsidRDefault="00BF2CFD" w:rsidP="00672DFE">
      <w:pPr>
        <w:pStyle w:val="ListParagraph"/>
        <w:numPr>
          <w:ilvl w:val="0"/>
          <w:numId w:val="17"/>
        </w:numPr>
        <w:rPr>
          <w:rFonts w:ascii="Arial" w:hAnsi="Arial" w:cs="Arial"/>
          <w:b/>
          <w:bCs/>
          <w:sz w:val="24"/>
          <w:szCs w:val="24"/>
        </w:rPr>
      </w:pPr>
      <w:r w:rsidRPr="00BF2CFD">
        <w:rPr>
          <w:rFonts w:ascii="Arial" w:hAnsi="Arial" w:cs="Arial"/>
          <w:b/>
          <w:bCs/>
          <w:sz w:val="24"/>
          <w:szCs w:val="24"/>
        </w:rPr>
        <w:t>P</w:t>
      </w:r>
      <w:r w:rsidR="00A45D92" w:rsidRPr="00BF2CFD">
        <w:rPr>
          <w:rFonts w:ascii="Arial" w:hAnsi="Arial" w:cs="Arial"/>
          <w:b/>
          <w:bCs/>
          <w:sz w:val="24"/>
          <w:szCs w:val="24"/>
        </w:rPr>
        <w:t>rocedure for Sustainable and Ethical Operations</w:t>
      </w:r>
    </w:p>
    <w:p w14:paraId="31671475" w14:textId="77777777" w:rsidR="00BF2CFD" w:rsidRPr="00BF2CFD" w:rsidRDefault="00BF2CFD" w:rsidP="00BF2CFD">
      <w:pPr>
        <w:pStyle w:val="ListParagraph"/>
        <w:rPr>
          <w:rFonts w:ascii="Arial" w:hAnsi="Arial" w:cs="Arial"/>
          <w:b/>
          <w:bCs/>
          <w:sz w:val="24"/>
          <w:szCs w:val="24"/>
        </w:rPr>
      </w:pPr>
    </w:p>
    <w:p w14:paraId="51B67014" w14:textId="77777777" w:rsidR="00BF2CFD" w:rsidRDefault="00A45D92" w:rsidP="00672DFE">
      <w:pPr>
        <w:pStyle w:val="ListParagraph"/>
        <w:numPr>
          <w:ilvl w:val="0"/>
          <w:numId w:val="20"/>
        </w:numPr>
        <w:rPr>
          <w:rFonts w:ascii="Arial" w:hAnsi="Arial" w:cs="Arial"/>
          <w:sz w:val="24"/>
          <w:szCs w:val="24"/>
        </w:rPr>
      </w:pPr>
      <w:r w:rsidRPr="00BF2CFD">
        <w:rPr>
          <w:rFonts w:ascii="Arial" w:hAnsi="Arial" w:cs="Arial"/>
          <w:sz w:val="24"/>
          <w:szCs w:val="24"/>
        </w:rPr>
        <w:t>Embed environmental and social standards consistent with Tesla's global impact commitments into Indian operations, including renewable energy use, waste management, and labour practices.</w:t>
      </w:r>
    </w:p>
    <w:p w14:paraId="1A47FE07" w14:textId="6AB2355F" w:rsidR="00A45D92" w:rsidRDefault="00A45D92" w:rsidP="00672DFE">
      <w:pPr>
        <w:pStyle w:val="ListParagraph"/>
        <w:numPr>
          <w:ilvl w:val="0"/>
          <w:numId w:val="20"/>
        </w:numPr>
        <w:rPr>
          <w:rFonts w:ascii="Arial" w:hAnsi="Arial" w:cs="Arial"/>
          <w:sz w:val="24"/>
          <w:szCs w:val="24"/>
        </w:rPr>
      </w:pPr>
      <w:r w:rsidRPr="00BF2CFD">
        <w:rPr>
          <w:rFonts w:ascii="Arial" w:hAnsi="Arial" w:cs="Arial"/>
          <w:sz w:val="24"/>
          <w:szCs w:val="24"/>
        </w:rPr>
        <w:t>Apply metrics and audit routines for ESG performance in India, according to generally accepted international reporting standards and local regulations.</w:t>
      </w:r>
    </w:p>
    <w:p w14:paraId="46EC74F1" w14:textId="77777777" w:rsidR="00BF2CFD" w:rsidRPr="00BF2CFD" w:rsidRDefault="00BF2CFD" w:rsidP="00BF2CFD">
      <w:pPr>
        <w:pStyle w:val="ListParagraph"/>
        <w:rPr>
          <w:rFonts w:ascii="Arial" w:hAnsi="Arial" w:cs="Arial"/>
          <w:sz w:val="24"/>
          <w:szCs w:val="24"/>
        </w:rPr>
      </w:pPr>
    </w:p>
    <w:p w14:paraId="1CE4BCA3" w14:textId="784F2A73" w:rsidR="0017381F" w:rsidRPr="00BF2CFD" w:rsidRDefault="0017381F" w:rsidP="00672DFE">
      <w:pPr>
        <w:pStyle w:val="Heading2"/>
        <w:numPr>
          <w:ilvl w:val="1"/>
          <w:numId w:val="4"/>
        </w:numPr>
        <w:rPr>
          <w:rFonts w:ascii="Arial" w:hAnsi="Arial" w:cs="Arial"/>
          <w:b/>
          <w:bCs/>
          <w:color w:val="auto"/>
          <w:sz w:val="24"/>
          <w:szCs w:val="24"/>
        </w:rPr>
      </w:pPr>
      <w:bookmarkStart w:id="38" w:name="_Toc214570816"/>
      <w:r w:rsidRPr="00BF2CFD">
        <w:rPr>
          <w:rFonts w:ascii="Arial" w:hAnsi="Arial" w:cs="Arial"/>
          <w:b/>
          <w:bCs/>
          <w:color w:val="auto"/>
          <w:sz w:val="24"/>
          <w:szCs w:val="24"/>
        </w:rPr>
        <w:t>Example SOP Metrics for Tesla India Operations</w:t>
      </w:r>
      <w:bookmarkEnd w:id="38"/>
    </w:p>
    <w:p w14:paraId="2D1909BC" w14:textId="4665AE58" w:rsidR="00A45D92" w:rsidRPr="00BF2CFD" w:rsidRDefault="0005391F" w:rsidP="00672DFE">
      <w:pPr>
        <w:jc w:val="both"/>
        <w:rPr>
          <w:rFonts w:ascii="Arial" w:hAnsi="Arial" w:cs="Arial"/>
          <w:b/>
          <w:bCs/>
          <w:sz w:val="24"/>
          <w:szCs w:val="24"/>
        </w:rPr>
      </w:pPr>
      <w:r w:rsidRPr="00A45D92">
        <w:rPr>
          <w:rFonts w:ascii="Arial" w:hAnsi="Arial" w:cs="Arial"/>
          <w:b/>
          <w:bCs/>
          <w:noProof/>
          <w:sz w:val="24"/>
          <w:szCs w:val="24"/>
        </w:rPr>
        <w:drawing>
          <wp:inline distT="0" distB="0" distL="0" distR="0" wp14:anchorId="2DFCDAD5" wp14:editId="7723313E">
            <wp:extent cx="6322182" cy="4445000"/>
            <wp:effectExtent l="0" t="0" r="2540" b="0"/>
            <wp:docPr id="1460536706" name="Picture 1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536706" name="Picture 11" descr="A table with text on it&#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24959" cy="4446952"/>
                    </a:xfrm>
                    <a:prstGeom prst="rect">
                      <a:avLst/>
                    </a:prstGeom>
                    <a:noFill/>
                    <a:ln>
                      <a:noFill/>
                    </a:ln>
                  </pic:spPr>
                </pic:pic>
              </a:graphicData>
            </a:graphic>
          </wp:inline>
        </w:drawing>
      </w:r>
    </w:p>
    <w:p w14:paraId="5798BA78" w14:textId="77777777" w:rsidR="00672DFE" w:rsidRDefault="00672DFE" w:rsidP="00A45D92">
      <w:pPr>
        <w:rPr>
          <w:rFonts w:ascii="Arial" w:hAnsi="Arial" w:cs="Arial"/>
          <w:b/>
          <w:bCs/>
          <w:sz w:val="24"/>
          <w:szCs w:val="24"/>
        </w:rPr>
      </w:pPr>
    </w:p>
    <w:p w14:paraId="2F4E7B05" w14:textId="1C252212" w:rsidR="00A45D92" w:rsidRPr="00BF2CFD" w:rsidRDefault="00A45D92" w:rsidP="00A45D92">
      <w:pPr>
        <w:rPr>
          <w:rFonts w:ascii="Arial" w:hAnsi="Arial" w:cs="Arial"/>
          <w:b/>
          <w:bCs/>
          <w:sz w:val="24"/>
          <w:szCs w:val="24"/>
        </w:rPr>
      </w:pPr>
      <w:r w:rsidRPr="00BF2CFD">
        <w:rPr>
          <w:rFonts w:ascii="Arial" w:hAnsi="Arial" w:cs="Arial"/>
          <w:b/>
          <w:bCs/>
          <w:sz w:val="24"/>
          <w:szCs w:val="24"/>
        </w:rPr>
        <w:t>Expected Impact</w:t>
      </w:r>
    </w:p>
    <w:p w14:paraId="70D22F7A" w14:textId="77777777" w:rsidR="00A45D92" w:rsidRDefault="00A45D92" w:rsidP="00A45D92">
      <w:pPr>
        <w:rPr>
          <w:rFonts w:ascii="Arial" w:hAnsi="Arial" w:cs="Arial"/>
          <w:sz w:val="24"/>
          <w:szCs w:val="24"/>
        </w:rPr>
      </w:pPr>
      <w:r w:rsidRPr="00A45D92">
        <w:rPr>
          <w:rFonts w:ascii="Arial" w:hAnsi="Arial" w:cs="Arial"/>
          <w:sz w:val="24"/>
          <w:szCs w:val="24"/>
        </w:rPr>
        <w:t>This suite of SOPs concurrently addresses location-specific risks and opportunities while maintaining the benefits of internalisation in the areas of technology and quality control. It follows from FDI theory in its emphasis on location and internalisation advantages, as explained in Week 7, and global operations and supply chain principles have been used, as outlined in Week 9.</w:t>
      </w:r>
    </w:p>
    <w:p w14:paraId="0072F085" w14:textId="77777777" w:rsidR="00BF2CFD" w:rsidRDefault="00BF2CFD" w:rsidP="00A45D92">
      <w:pPr>
        <w:rPr>
          <w:rFonts w:ascii="Arial" w:hAnsi="Arial" w:cs="Arial"/>
          <w:sz w:val="24"/>
          <w:szCs w:val="24"/>
        </w:rPr>
      </w:pPr>
    </w:p>
    <w:p w14:paraId="0C5569EB" w14:textId="77777777" w:rsidR="00BF2CFD" w:rsidRPr="00A45D92" w:rsidRDefault="00BF2CFD" w:rsidP="00A45D92">
      <w:pPr>
        <w:rPr>
          <w:rFonts w:ascii="Arial" w:hAnsi="Arial" w:cs="Arial"/>
          <w:sz w:val="24"/>
          <w:szCs w:val="24"/>
        </w:rPr>
      </w:pPr>
    </w:p>
    <w:p w14:paraId="6B80A5AA" w14:textId="53A55718" w:rsidR="00A45D92" w:rsidRPr="00BF2CFD" w:rsidRDefault="00A45D92" w:rsidP="00672DFE">
      <w:pPr>
        <w:pStyle w:val="Heading1"/>
        <w:numPr>
          <w:ilvl w:val="0"/>
          <w:numId w:val="4"/>
        </w:numPr>
        <w:rPr>
          <w:rFonts w:ascii="Arial" w:hAnsi="Arial" w:cs="Arial"/>
          <w:b/>
          <w:bCs/>
          <w:color w:val="auto"/>
          <w:sz w:val="28"/>
          <w:szCs w:val="28"/>
        </w:rPr>
      </w:pPr>
      <w:bookmarkStart w:id="39" w:name="_Toc214570817"/>
      <w:r w:rsidRPr="00BF2CFD">
        <w:rPr>
          <w:rFonts w:ascii="Arial" w:hAnsi="Arial" w:cs="Arial"/>
          <w:b/>
          <w:bCs/>
          <w:color w:val="auto"/>
          <w:sz w:val="28"/>
          <w:szCs w:val="28"/>
        </w:rPr>
        <w:lastRenderedPageBreak/>
        <w:t>Conclusion</w:t>
      </w:r>
      <w:bookmarkEnd w:id="39"/>
    </w:p>
    <w:p w14:paraId="4160627E" w14:textId="77777777" w:rsidR="00A45D92" w:rsidRPr="00A45D92" w:rsidRDefault="00A45D92" w:rsidP="00A45D92">
      <w:pPr>
        <w:rPr>
          <w:rFonts w:ascii="Arial" w:hAnsi="Arial" w:cs="Arial"/>
          <w:sz w:val="24"/>
          <w:szCs w:val="24"/>
        </w:rPr>
      </w:pPr>
      <w:r w:rsidRPr="00A45D92">
        <w:rPr>
          <w:rFonts w:ascii="Arial" w:hAnsi="Arial" w:cs="Arial"/>
          <w:sz w:val="24"/>
          <w:szCs w:val="24"/>
        </w:rPr>
        <w:t>Tesla's internationalization demonstrates many of the key concepts in international business. As a multinational and transnational corporation, it coordinates a complex global value chain across R&amp;D, battery production, vehicle manufacturing, and software and services, trying to exploit economies of scale, location advantages, and learning effects while mitigating political, economic, and cultural risks (Week 1; Week 3; Week 8).</w:t>
      </w:r>
    </w:p>
    <w:p w14:paraId="29AF5FCE" w14:textId="77777777" w:rsidR="00A45D92" w:rsidRPr="00A45D92" w:rsidRDefault="00A45D92" w:rsidP="00A45D92">
      <w:pPr>
        <w:rPr>
          <w:rFonts w:ascii="Arial" w:hAnsi="Arial" w:cs="Arial"/>
          <w:sz w:val="24"/>
          <w:szCs w:val="24"/>
        </w:rPr>
      </w:pPr>
      <w:r w:rsidRPr="00A45D92">
        <w:rPr>
          <w:rFonts w:ascii="Arial" w:hAnsi="Arial" w:cs="Arial"/>
          <w:sz w:val="24"/>
          <w:szCs w:val="24"/>
        </w:rPr>
        <w:t>Applying the OLI paradigm to the Tesla–India pair, strong ownership advantages in technology, brand and integrated infrastructure, allied with India’s large and growing EV market and cost-competitive capabilities, create a compelling strategic rationale for FDI. At the same time, policy uncertainty, infrastructure gaps and intense price sensitivity complicate the location decision. Internalisation advantages argue against licensing or low-control partnerships, favouring a phased approach based on imports and wholly owned subsidiaries, followed by greenfield manufacturing once conditions are favourable (Week 7). Cultural analysis underlines substantial differences between the United States and India on power distance, individualism, uncertainty avoidance and communication style (Week 4).</w:t>
      </w:r>
    </w:p>
    <w:p w14:paraId="47FB281E" w14:textId="77777777" w:rsidR="00A45D92" w:rsidRPr="00A45D92" w:rsidRDefault="00A45D92" w:rsidP="00A45D92">
      <w:pPr>
        <w:rPr>
          <w:rFonts w:ascii="Arial" w:hAnsi="Arial" w:cs="Arial"/>
          <w:sz w:val="24"/>
          <w:szCs w:val="24"/>
        </w:rPr>
      </w:pPr>
      <w:r w:rsidRPr="00A45D92">
        <w:rPr>
          <w:rFonts w:ascii="Arial" w:hAnsi="Arial" w:cs="Arial"/>
          <w:sz w:val="24"/>
          <w:szCs w:val="24"/>
        </w:rPr>
        <w:t xml:space="preserve">These differences impact consumer </w:t>
      </w:r>
      <w:proofErr w:type="spellStart"/>
      <w:r w:rsidRPr="00A45D92">
        <w:rPr>
          <w:rFonts w:ascii="Arial" w:hAnsi="Arial" w:cs="Arial"/>
          <w:sz w:val="24"/>
          <w:szCs w:val="24"/>
        </w:rPr>
        <w:t>behavior</w:t>
      </w:r>
      <w:proofErr w:type="spellEnd"/>
      <w:r w:rsidRPr="00A45D92">
        <w:rPr>
          <w:rFonts w:ascii="Arial" w:hAnsi="Arial" w:cs="Arial"/>
          <w:sz w:val="24"/>
          <w:szCs w:val="24"/>
        </w:rPr>
        <w:t>, human resources practices, and leadership expectations; thus, they should be part of Tesla's strategy and operations if its ownership and location advantages are to translate into sustainable success.</w:t>
      </w:r>
    </w:p>
    <w:p w14:paraId="587A090F" w14:textId="1D0E3B02" w:rsidR="00132367" w:rsidRDefault="00A45D92" w:rsidP="00A45D92">
      <w:pPr>
        <w:rPr>
          <w:rFonts w:ascii="Arial" w:hAnsi="Arial" w:cs="Arial"/>
          <w:sz w:val="24"/>
          <w:szCs w:val="24"/>
        </w:rPr>
      </w:pPr>
      <w:r w:rsidRPr="00A45D92">
        <w:rPr>
          <w:rFonts w:ascii="Arial" w:hAnsi="Arial" w:cs="Arial"/>
          <w:sz w:val="24"/>
          <w:szCs w:val="24"/>
        </w:rPr>
        <w:t>The three recommended SOP adjustment areas-localised product and pricing strategy; culturally aligned HR, leadership, and customer experience; and localised, resilient operations and supply chain integration-directly address the challenges identified in the earlier analysis. Implemented together, they would position Tesla not merely to enter India but to build a competitive, culturally attuned, and policy-aligned presence that supports both corporate objectives and India's wider EV transition.</w:t>
      </w:r>
    </w:p>
    <w:p w14:paraId="5016F6BF" w14:textId="77777777" w:rsidR="00BF2CFD" w:rsidRDefault="00BF2CFD" w:rsidP="00A45D92">
      <w:pPr>
        <w:rPr>
          <w:rFonts w:ascii="Arial" w:hAnsi="Arial" w:cs="Arial"/>
          <w:sz w:val="24"/>
          <w:szCs w:val="24"/>
        </w:rPr>
      </w:pPr>
    </w:p>
    <w:p w14:paraId="6F93AEF4" w14:textId="77777777" w:rsidR="00BF2CFD" w:rsidRDefault="00BF2CFD" w:rsidP="00A45D92">
      <w:pPr>
        <w:rPr>
          <w:rFonts w:ascii="Arial" w:hAnsi="Arial" w:cs="Arial"/>
          <w:sz w:val="24"/>
          <w:szCs w:val="24"/>
        </w:rPr>
      </w:pPr>
    </w:p>
    <w:p w14:paraId="3DCA0C89" w14:textId="77777777" w:rsidR="00BF2CFD" w:rsidRDefault="00BF2CFD" w:rsidP="00A45D92">
      <w:pPr>
        <w:rPr>
          <w:rFonts w:ascii="Arial" w:hAnsi="Arial" w:cs="Arial"/>
          <w:sz w:val="24"/>
          <w:szCs w:val="24"/>
        </w:rPr>
      </w:pPr>
    </w:p>
    <w:p w14:paraId="5AF2E559" w14:textId="77777777" w:rsidR="00BF2CFD" w:rsidRDefault="00BF2CFD" w:rsidP="00A45D92">
      <w:pPr>
        <w:rPr>
          <w:rFonts w:ascii="Arial" w:hAnsi="Arial" w:cs="Arial"/>
          <w:sz w:val="24"/>
          <w:szCs w:val="24"/>
        </w:rPr>
      </w:pPr>
    </w:p>
    <w:p w14:paraId="4D7D1143" w14:textId="77777777" w:rsidR="00BF2CFD" w:rsidRDefault="00BF2CFD" w:rsidP="00A45D92">
      <w:pPr>
        <w:rPr>
          <w:rFonts w:ascii="Arial" w:hAnsi="Arial" w:cs="Arial"/>
          <w:sz w:val="24"/>
          <w:szCs w:val="24"/>
        </w:rPr>
      </w:pPr>
    </w:p>
    <w:p w14:paraId="595A2206" w14:textId="77777777" w:rsidR="00BF2CFD" w:rsidRDefault="00BF2CFD" w:rsidP="00A45D92">
      <w:pPr>
        <w:rPr>
          <w:rFonts w:ascii="Arial" w:hAnsi="Arial" w:cs="Arial"/>
          <w:sz w:val="24"/>
          <w:szCs w:val="24"/>
        </w:rPr>
      </w:pPr>
    </w:p>
    <w:p w14:paraId="1CC1F241" w14:textId="77777777" w:rsidR="00BF2CFD" w:rsidRDefault="00BF2CFD" w:rsidP="00A45D92">
      <w:pPr>
        <w:rPr>
          <w:rFonts w:ascii="Arial" w:hAnsi="Arial" w:cs="Arial"/>
          <w:sz w:val="24"/>
          <w:szCs w:val="24"/>
        </w:rPr>
      </w:pPr>
    </w:p>
    <w:p w14:paraId="646C34D6" w14:textId="77777777" w:rsidR="00BF2CFD" w:rsidRDefault="00BF2CFD" w:rsidP="00A45D92">
      <w:pPr>
        <w:rPr>
          <w:rFonts w:ascii="Arial" w:hAnsi="Arial" w:cs="Arial"/>
          <w:sz w:val="24"/>
          <w:szCs w:val="24"/>
        </w:rPr>
      </w:pPr>
    </w:p>
    <w:p w14:paraId="74575705" w14:textId="77777777" w:rsidR="00BF2CFD" w:rsidRDefault="00BF2CFD" w:rsidP="00A45D92">
      <w:pPr>
        <w:rPr>
          <w:rFonts w:ascii="Arial" w:hAnsi="Arial" w:cs="Arial"/>
          <w:sz w:val="24"/>
          <w:szCs w:val="24"/>
        </w:rPr>
      </w:pPr>
    </w:p>
    <w:p w14:paraId="0259BB3F" w14:textId="77777777" w:rsidR="00BF2CFD" w:rsidRPr="00132367" w:rsidRDefault="00BF2CFD" w:rsidP="00A45D92">
      <w:pPr>
        <w:rPr>
          <w:rFonts w:ascii="Arial" w:hAnsi="Arial" w:cs="Arial"/>
          <w:sz w:val="24"/>
          <w:szCs w:val="24"/>
        </w:rPr>
      </w:pPr>
    </w:p>
    <w:p w14:paraId="588D0FE5" w14:textId="268AF350" w:rsidR="00BF2CFD" w:rsidRPr="00BF2CFD" w:rsidRDefault="00132367" w:rsidP="00672DFE">
      <w:pPr>
        <w:pStyle w:val="Heading1"/>
        <w:numPr>
          <w:ilvl w:val="0"/>
          <w:numId w:val="4"/>
        </w:numPr>
        <w:rPr>
          <w:rFonts w:ascii="Arial" w:hAnsi="Arial" w:cs="Arial"/>
          <w:b/>
          <w:bCs/>
          <w:color w:val="auto"/>
          <w:sz w:val="28"/>
          <w:szCs w:val="28"/>
        </w:rPr>
      </w:pPr>
      <w:bookmarkStart w:id="40" w:name="_Toc214570818"/>
      <w:r w:rsidRPr="00BF2CFD">
        <w:rPr>
          <w:rFonts w:ascii="Arial" w:hAnsi="Arial" w:cs="Arial"/>
          <w:b/>
          <w:bCs/>
          <w:color w:val="auto"/>
          <w:sz w:val="28"/>
          <w:szCs w:val="28"/>
        </w:rPr>
        <w:lastRenderedPageBreak/>
        <w:t>References</w:t>
      </w:r>
      <w:bookmarkEnd w:id="40"/>
    </w:p>
    <w:p w14:paraId="0BD4FDD9" w14:textId="59566811" w:rsidR="00BF2CFD" w:rsidRPr="00BF2CFD" w:rsidRDefault="00BF2CFD" w:rsidP="00BF2CFD">
      <w:pPr>
        <w:rPr>
          <w:rFonts w:ascii="Arial" w:hAnsi="Arial" w:cs="Arial"/>
          <w:sz w:val="24"/>
          <w:szCs w:val="24"/>
        </w:rPr>
      </w:pPr>
      <w:r w:rsidRPr="00BF2CFD">
        <w:rPr>
          <w:rFonts w:ascii="Arial" w:hAnsi="Arial" w:cs="Arial"/>
          <w:sz w:val="24"/>
          <w:szCs w:val="24"/>
        </w:rPr>
        <w:t xml:space="preserve">Chambers and Partners (2024) ‘Evaluating FAME-II: Insights and the Road Ahead’. [online] Available at: </w:t>
      </w:r>
      <w:hyperlink r:id="rId13" w:tgtFrame="_new" w:history="1">
        <w:r w:rsidRPr="00BF2CFD">
          <w:rPr>
            <w:rStyle w:val="Hyperlink"/>
            <w:rFonts w:ascii="Arial" w:hAnsi="Arial" w:cs="Arial"/>
            <w:sz w:val="24"/>
            <w:szCs w:val="24"/>
          </w:rPr>
          <w:t>https://chambers.com</w:t>
        </w:r>
      </w:hyperlink>
      <w:r w:rsidRPr="00BF2CFD">
        <w:rPr>
          <w:rFonts w:ascii="Arial" w:hAnsi="Arial" w:cs="Arial"/>
          <w:sz w:val="24"/>
          <w:szCs w:val="24"/>
        </w:rPr>
        <w:t xml:space="preserve"> </w:t>
      </w:r>
    </w:p>
    <w:p w14:paraId="051B36AB"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Collinson, S., Narula, R. and Rugman, A.M. (2020) </w:t>
      </w:r>
      <w:r w:rsidRPr="00BF2CFD">
        <w:rPr>
          <w:rFonts w:ascii="Arial" w:hAnsi="Arial" w:cs="Arial"/>
          <w:i/>
          <w:iCs/>
          <w:sz w:val="24"/>
          <w:szCs w:val="24"/>
        </w:rPr>
        <w:t>International Business</w:t>
      </w:r>
      <w:r w:rsidRPr="00BF2CFD">
        <w:rPr>
          <w:rFonts w:ascii="Arial" w:hAnsi="Arial" w:cs="Arial"/>
          <w:sz w:val="24"/>
          <w:szCs w:val="24"/>
        </w:rPr>
        <w:t xml:space="preserve">, 8th </w:t>
      </w:r>
      <w:proofErr w:type="spellStart"/>
      <w:r w:rsidRPr="00BF2CFD">
        <w:rPr>
          <w:rFonts w:ascii="Arial" w:hAnsi="Arial" w:cs="Arial"/>
          <w:sz w:val="24"/>
          <w:szCs w:val="24"/>
        </w:rPr>
        <w:t>edn</w:t>
      </w:r>
      <w:proofErr w:type="spellEnd"/>
      <w:r w:rsidRPr="00BF2CFD">
        <w:rPr>
          <w:rFonts w:ascii="Arial" w:hAnsi="Arial" w:cs="Arial"/>
          <w:sz w:val="24"/>
          <w:szCs w:val="24"/>
        </w:rPr>
        <w:t>. Essex: Pearson Education Limited.</w:t>
      </w:r>
    </w:p>
    <w:p w14:paraId="000CE084"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Daniels, J.D., Radebaugh, L.H., Sullivan, D.P. and Click, R.W. (2022) </w:t>
      </w:r>
      <w:r w:rsidRPr="00BF2CFD">
        <w:rPr>
          <w:rFonts w:ascii="Arial" w:hAnsi="Arial" w:cs="Arial"/>
          <w:i/>
          <w:iCs/>
          <w:sz w:val="24"/>
          <w:szCs w:val="24"/>
        </w:rPr>
        <w:t>International Business: Environments and Operations</w:t>
      </w:r>
      <w:r w:rsidRPr="00BF2CFD">
        <w:rPr>
          <w:rFonts w:ascii="Arial" w:hAnsi="Arial" w:cs="Arial"/>
          <w:sz w:val="24"/>
          <w:szCs w:val="24"/>
        </w:rPr>
        <w:t xml:space="preserve">, 17th </w:t>
      </w:r>
      <w:proofErr w:type="spellStart"/>
      <w:r w:rsidRPr="00BF2CFD">
        <w:rPr>
          <w:rFonts w:ascii="Arial" w:hAnsi="Arial" w:cs="Arial"/>
          <w:sz w:val="24"/>
          <w:szCs w:val="24"/>
        </w:rPr>
        <w:t>edn</w:t>
      </w:r>
      <w:proofErr w:type="spellEnd"/>
      <w:r w:rsidRPr="00BF2CFD">
        <w:rPr>
          <w:rFonts w:ascii="Arial" w:hAnsi="Arial" w:cs="Arial"/>
          <w:sz w:val="24"/>
          <w:szCs w:val="24"/>
        </w:rPr>
        <w:t>. Essex: Pearson Education Limited.</w:t>
      </w:r>
    </w:p>
    <w:p w14:paraId="090DE9BE"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Dunning, J.H. (1988) ‘The Eclectic Paradigm of International Production: A Restatement and Some Possible Extensions’, </w:t>
      </w:r>
      <w:r w:rsidRPr="00BF2CFD">
        <w:rPr>
          <w:rFonts w:ascii="Arial" w:hAnsi="Arial" w:cs="Arial"/>
          <w:i/>
          <w:iCs/>
          <w:sz w:val="24"/>
          <w:szCs w:val="24"/>
        </w:rPr>
        <w:t>Journal of International Business Studies</w:t>
      </w:r>
      <w:r w:rsidRPr="00BF2CFD">
        <w:rPr>
          <w:rFonts w:ascii="Arial" w:hAnsi="Arial" w:cs="Arial"/>
          <w:sz w:val="24"/>
          <w:szCs w:val="24"/>
        </w:rPr>
        <w:t>, 19(1), pp. 1–31.</w:t>
      </w:r>
    </w:p>
    <w:p w14:paraId="75CCE3EE" w14:textId="62E33C19" w:rsidR="00BF2CFD" w:rsidRPr="00BF2CFD" w:rsidRDefault="00BF2CFD" w:rsidP="00BF2CFD">
      <w:pPr>
        <w:rPr>
          <w:rFonts w:ascii="Arial" w:hAnsi="Arial" w:cs="Arial"/>
          <w:sz w:val="24"/>
          <w:szCs w:val="24"/>
        </w:rPr>
      </w:pPr>
      <w:r w:rsidRPr="00BF2CFD">
        <w:rPr>
          <w:rFonts w:ascii="Arial" w:hAnsi="Arial" w:cs="Arial"/>
          <w:sz w:val="24"/>
          <w:szCs w:val="24"/>
        </w:rPr>
        <w:t xml:space="preserve">EV Magazine – Nolan, S. (2025) ‘Tesla’s India Expansion: Strategy and Market Impact’, </w:t>
      </w:r>
      <w:r w:rsidRPr="00BF2CFD">
        <w:rPr>
          <w:rFonts w:ascii="Arial" w:hAnsi="Arial" w:cs="Arial"/>
          <w:i/>
          <w:iCs/>
          <w:sz w:val="24"/>
          <w:szCs w:val="24"/>
        </w:rPr>
        <w:t>EV Magazine</w:t>
      </w:r>
      <w:r w:rsidRPr="00BF2CFD">
        <w:rPr>
          <w:rFonts w:ascii="Arial" w:hAnsi="Arial" w:cs="Arial"/>
          <w:sz w:val="24"/>
          <w:szCs w:val="24"/>
        </w:rPr>
        <w:t xml:space="preserve">, 5 March. [online] Available at: </w:t>
      </w:r>
      <w:hyperlink r:id="rId14" w:tgtFrame="_new" w:history="1">
        <w:r w:rsidRPr="00BF2CFD">
          <w:rPr>
            <w:rStyle w:val="Hyperlink"/>
            <w:rFonts w:ascii="Arial" w:hAnsi="Arial" w:cs="Arial"/>
            <w:sz w:val="24"/>
            <w:szCs w:val="24"/>
          </w:rPr>
          <w:t>https://evmagazine.com</w:t>
        </w:r>
      </w:hyperlink>
      <w:r w:rsidRPr="00BF2CFD">
        <w:rPr>
          <w:rFonts w:ascii="Arial" w:hAnsi="Arial" w:cs="Arial"/>
          <w:sz w:val="24"/>
          <w:szCs w:val="24"/>
        </w:rPr>
        <w:t xml:space="preserve"> </w:t>
      </w:r>
    </w:p>
    <w:p w14:paraId="50511B03" w14:textId="17DE6576" w:rsidR="00BF2CFD" w:rsidRPr="00BF2CFD" w:rsidRDefault="00BF2CFD" w:rsidP="00BF2CFD">
      <w:pPr>
        <w:rPr>
          <w:rFonts w:ascii="Arial" w:hAnsi="Arial" w:cs="Arial"/>
          <w:sz w:val="24"/>
          <w:szCs w:val="24"/>
        </w:rPr>
      </w:pPr>
      <w:r w:rsidRPr="00BF2CFD">
        <w:rPr>
          <w:rFonts w:ascii="Arial" w:hAnsi="Arial" w:cs="Arial"/>
          <w:sz w:val="24"/>
          <w:szCs w:val="24"/>
        </w:rPr>
        <w:t xml:space="preserve">Global Brands Magazine (2025) ‘Can Tesla Crack India’s Price-Conscious Market?’ [online] Available at: </w:t>
      </w:r>
      <w:hyperlink r:id="rId15" w:tgtFrame="_new" w:history="1">
        <w:r w:rsidRPr="00BF2CFD">
          <w:rPr>
            <w:rStyle w:val="Hyperlink"/>
            <w:rFonts w:ascii="Arial" w:hAnsi="Arial" w:cs="Arial"/>
            <w:sz w:val="24"/>
            <w:szCs w:val="24"/>
          </w:rPr>
          <w:t>https://www.globalbrandsmagazine.com</w:t>
        </w:r>
      </w:hyperlink>
      <w:r w:rsidRPr="00BF2CFD">
        <w:rPr>
          <w:rFonts w:ascii="Arial" w:hAnsi="Arial" w:cs="Arial"/>
          <w:sz w:val="24"/>
          <w:szCs w:val="24"/>
        </w:rPr>
        <w:t xml:space="preserve"> </w:t>
      </w:r>
    </w:p>
    <w:p w14:paraId="52862BF6"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Heifetz, R. and Linsky, M. (2002) </w:t>
      </w:r>
      <w:r w:rsidRPr="00BF2CFD">
        <w:rPr>
          <w:rFonts w:ascii="Arial" w:hAnsi="Arial" w:cs="Arial"/>
          <w:i/>
          <w:iCs/>
          <w:sz w:val="24"/>
          <w:szCs w:val="24"/>
        </w:rPr>
        <w:t>Leadership on the Line: Staying Alive Through the Dangers of Leading</w:t>
      </w:r>
      <w:r w:rsidRPr="00BF2CFD">
        <w:rPr>
          <w:rFonts w:ascii="Arial" w:hAnsi="Arial" w:cs="Arial"/>
          <w:sz w:val="24"/>
          <w:szCs w:val="24"/>
        </w:rPr>
        <w:t>. Boston: Harvard Business School Press.</w:t>
      </w:r>
    </w:p>
    <w:p w14:paraId="00516F76"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Hill, C.W.L. (2023) </w:t>
      </w:r>
      <w:r w:rsidRPr="00BF2CFD">
        <w:rPr>
          <w:rFonts w:ascii="Arial" w:hAnsi="Arial" w:cs="Arial"/>
          <w:i/>
          <w:iCs/>
          <w:sz w:val="24"/>
          <w:szCs w:val="24"/>
        </w:rPr>
        <w:t>International Business: Competing in the Global Marketplace</w:t>
      </w:r>
      <w:r w:rsidRPr="00BF2CFD">
        <w:rPr>
          <w:rFonts w:ascii="Arial" w:hAnsi="Arial" w:cs="Arial"/>
          <w:sz w:val="24"/>
          <w:szCs w:val="24"/>
        </w:rPr>
        <w:t xml:space="preserve">, 14th </w:t>
      </w:r>
      <w:proofErr w:type="spellStart"/>
      <w:r w:rsidRPr="00BF2CFD">
        <w:rPr>
          <w:rFonts w:ascii="Arial" w:hAnsi="Arial" w:cs="Arial"/>
          <w:sz w:val="24"/>
          <w:szCs w:val="24"/>
        </w:rPr>
        <w:t>edn</w:t>
      </w:r>
      <w:proofErr w:type="spellEnd"/>
      <w:r w:rsidRPr="00BF2CFD">
        <w:rPr>
          <w:rFonts w:ascii="Arial" w:hAnsi="Arial" w:cs="Arial"/>
          <w:sz w:val="24"/>
          <w:szCs w:val="24"/>
        </w:rPr>
        <w:t>. New York: McGraw-Hill.</w:t>
      </w:r>
    </w:p>
    <w:p w14:paraId="4F2DB558"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Hofstede, G., Hofstede, G.J. and Minkov, M. (2010) </w:t>
      </w:r>
      <w:r w:rsidRPr="00BF2CFD">
        <w:rPr>
          <w:rFonts w:ascii="Arial" w:hAnsi="Arial" w:cs="Arial"/>
          <w:i/>
          <w:iCs/>
          <w:sz w:val="24"/>
          <w:szCs w:val="24"/>
        </w:rPr>
        <w:t>Cultures and Organizations: Software of the Mind</w:t>
      </w:r>
      <w:r w:rsidRPr="00BF2CFD">
        <w:rPr>
          <w:rFonts w:ascii="Arial" w:hAnsi="Arial" w:cs="Arial"/>
          <w:sz w:val="24"/>
          <w:szCs w:val="24"/>
        </w:rPr>
        <w:t xml:space="preserve">, 3rd </w:t>
      </w:r>
      <w:proofErr w:type="spellStart"/>
      <w:r w:rsidRPr="00BF2CFD">
        <w:rPr>
          <w:rFonts w:ascii="Arial" w:hAnsi="Arial" w:cs="Arial"/>
          <w:sz w:val="24"/>
          <w:szCs w:val="24"/>
        </w:rPr>
        <w:t>edn</w:t>
      </w:r>
      <w:proofErr w:type="spellEnd"/>
      <w:r w:rsidRPr="00BF2CFD">
        <w:rPr>
          <w:rFonts w:ascii="Arial" w:hAnsi="Arial" w:cs="Arial"/>
          <w:sz w:val="24"/>
          <w:szCs w:val="24"/>
        </w:rPr>
        <w:t>. New York: McGraw-Hill.</w:t>
      </w:r>
    </w:p>
    <w:p w14:paraId="2792C2A5" w14:textId="43EEA556" w:rsidR="00BF2CFD" w:rsidRPr="00BF2CFD" w:rsidRDefault="00BF2CFD" w:rsidP="00BF2CFD">
      <w:pPr>
        <w:rPr>
          <w:rFonts w:ascii="Arial" w:hAnsi="Arial" w:cs="Arial"/>
          <w:sz w:val="24"/>
          <w:szCs w:val="24"/>
        </w:rPr>
      </w:pPr>
      <w:r w:rsidRPr="00BF2CFD">
        <w:rPr>
          <w:rFonts w:ascii="Arial" w:hAnsi="Arial" w:cs="Arial"/>
          <w:sz w:val="24"/>
          <w:szCs w:val="24"/>
        </w:rPr>
        <w:t xml:space="preserve">ICCT – International Council on Clean Transportation (2024) </w:t>
      </w:r>
      <w:r w:rsidRPr="00BF2CFD">
        <w:rPr>
          <w:rFonts w:ascii="Arial" w:hAnsi="Arial" w:cs="Arial"/>
          <w:i/>
          <w:iCs/>
          <w:sz w:val="24"/>
          <w:szCs w:val="24"/>
        </w:rPr>
        <w:t>Electric Vehicle Demand Incentives in India: The FAME II Scheme and Considerations for a Next Phase</w:t>
      </w:r>
      <w:r w:rsidRPr="00BF2CFD">
        <w:rPr>
          <w:rFonts w:ascii="Arial" w:hAnsi="Arial" w:cs="Arial"/>
          <w:sz w:val="24"/>
          <w:szCs w:val="24"/>
        </w:rPr>
        <w:t xml:space="preserve">. [online] Available at: </w:t>
      </w:r>
      <w:hyperlink r:id="rId16" w:tgtFrame="_new" w:history="1">
        <w:r w:rsidRPr="00BF2CFD">
          <w:rPr>
            <w:rStyle w:val="Hyperlink"/>
            <w:rFonts w:ascii="Arial" w:hAnsi="Arial" w:cs="Arial"/>
            <w:sz w:val="24"/>
            <w:szCs w:val="24"/>
          </w:rPr>
          <w:t>https://theicct.org</w:t>
        </w:r>
      </w:hyperlink>
      <w:r w:rsidRPr="00BF2CFD">
        <w:rPr>
          <w:rFonts w:ascii="Arial" w:hAnsi="Arial" w:cs="Arial"/>
          <w:sz w:val="24"/>
          <w:szCs w:val="24"/>
        </w:rPr>
        <w:t xml:space="preserve"> </w:t>
      </w:r>
    </w:p>
    <w:p w14:paraId="4441F55B" w14:textId="64B6E3AC" w:rsidR="00BF2CFD" w:rsidRPr="00BF2CFD" w:rsidRDefault="00BF2CFD" w:rsidP="00BF2CFD">
      <w:pPr>
        <w:rPr>
          <w:rFonts w:ascii="Arial" w:hAnsi="Arial" w:cs="Arial"/>
          <w:sz w:val="24"/>
          <w:szCs w:val="24"/>
        </w:rPr>
      </w:pPr>
      <w:r w:rsidRPr="00BF2CFD">
        <w:rPr>
          <w:rFonts w:ascii="Arial" w:hAnsi="Arial" w:cs="Arial"/>
          <w:sz w:val="24"/>
          <w:szCs w:val="24"/>
        </w:rPr>
        <w:t xml:space="preserve">IEA – International Energy Agency (2024) </w:t>
      </w:r>
      <w:r w:rsidRPr="00BF2CFD">
        <w:rPr>
          <w:rFonts w:ascii="Arial" w:hAnsi="Arial" w:cs="Arial"/>
          <w:i/>
          <w:iCs/>
          <w:sz w:val="24"/>
          <w:szCs w:val="24"/>
        </w:rPr>
        <w:t>Global EV Outlook 2024: Trends in Electric Cars</w:t>
      </w:r>
      <w:r w:rsidRPr="00BF2CFD">
        <w:rPr>
          <w:rFonts w:ascii="Arial" w:hAnsi="Arial" w:cs="Arial"/>
          <w:sz w:val="24"/>
          <w:szCs w:val="24"/>
        </w:rPr>
        <w:t xml:space="preserve">. [online] Available at: </w:t>
      </w:r>
      <w:hyperlink r:id="rId17" w:tgtFrame="_new" w:history="1">
        <w:r w:rsidRPr="00BF2CFD">
          <w:rPr>
            <w:rStyle w:val="Hyperlink"/>
            <w:rFonts w:ascii="Arial" w:hAnsi="Arial" w:cs="Arial"/>
            <w:sz w:val="24"/>
            <w:szCs w:val="24"/>
          </w:rPr>
          <w:t>https://www.iea.org</w:t>
        </w:r>
      </w:hyperlink>
      <w:r w:rsidRPr="00BF2CFD">
        <w:rPr>
          <w:rFonts w:ascii="Arial" w:hAnsi="Arial" w:cs="Arial"/>
          <w:sz w:val="24"/>
          <w:szCs w:val="24"/>
        </w:rPr>
        <w:t xml:space="preserve"> </w:t>
      </w:r>
    </w:p>
    <w:p w14:paraId="316E6D7D" w14:textId="2D5AD6EF" w:rsidR="00BF2CFD" w:rsidRPr="00BF2CFD" w:rsidRDefault="00BF2CFD" w:rsidP="00BF2CFD">
      <w:pPr>
        <w:rPr>
          <w:rFonts w:ascii="Arial" w:hAnsi="Arial" w:cs="Arial"/>
          <w:sz w:val="24"/>
          <w:szCs w:val="24"/>
        </w:rPr>
      </w:pPr>
      <w:r w:rsidRPr="00BF2CFD">
        <w:rPr>
          <w:rFonts w:ascii="Arial" w:hAnsi="Arial" w:cs="Arial"/>
          <w:sz w:val="24"/>
          <w:szCs w:val="24"/>
        </w:rPr>
        <w:t xml:space="preserve">India Brand Equity Foundation (IBEF) (2025) </w:t>
      </w:r>
      <w:r w:rsidRPr="00BF2CFD">
        <w:rPr>
          <w:rFonts w:ascii="Arial" w:hAnsi="Arial" w:cs="Arial"/>
          <w:i/>
          <w:iCs/>
          <w:sz w:val="24"/>
          <w:szCs w:val="24"/>
        </w:rPr>
        <w:t>Electric Vehicle Industry in India</w:t>
      </w:r>
      <w:r w:rsidRPr="00BF2CFD">
        <w:rPr>
          <w:rFonts w:ascii="Arial" w:hAnsi="Arial" w:cs="Arial"/>
          <w:sz w:val="24"/>
          <w:szCs w:val="24"/>
        </w:rPr>
        <w:t xml:space="preserve">. [online] Available at: </w:t>
      </w:r>
      <w:hyperlink r:id="rId18" w:tgtFrame="_new" w:history="1">
        <w:r w:rsidRPr="00BF2CFD">
          <w:rPr>
            <w:rStyle w:val="Hyperlink"/>
            <w:rFonts w:ascii="Arial" w:hAnsi="Arial" w:cs="Arial"/>
            <w:sz w:val="24"/>
            <w:szCs w:val="24"/>
          </w:rPr>
          <w:t>https://www.ibef.org/industry/electric-vehicle</w:t>
        </w:r>
      </w:hyperlink>
      <w:r w:rsidRPr="00BF2CFD">
        <w:rPr>
          <w:rFonts w:ascii="Arial" w:hAnsi="Arial" w:cs="Arial"/>
          <w:sz w:val="24"/>
          <w:szCs w:val="24"/>
        </w:rPr>
        <w:t xml:space="preserve"> </w:t>
      </w:r>
    </w:p>
    <w:p w14:paraId="746B2E8C" w14:textId="089453A3" w:rsidR="00BF2CFD" w:rsidRPr="00BF2CFD" w:rsidRDefault="00BF2CFD" w:rsidP="00BF2CFD">
      <w:pPr>
        <w:rPr>
          <w:rFonts w:ascii="Arial" w:hAnsi="Arial" w:cs="Arial"/>
          <w:sz w:val="24"/>
          <w:szCs w:val="24"/>
        </w:rPr>
      </w:pPr>
      <w:r w:rsidRPr="00BF2CFD">
        <w:rPr>
          <w:rFonts w:ascii="Arial" w:hAnsi="Arial" w:cs="Arial"/>
          <w:sz w:val="24"/>
          <w:szCs w:val="24"/>
        </w:rPr>
        <w:t xml:space="preserve">Ministry of Heavy Industries (Government of India) (2019) </w:t>
      </w:r>
      <w:r w:rsidRPr="00BF2CFD">
        <w:rPr>
          <w:rFonts w:ascii="Arial" w:hAnsi="Arial" w:cs="Arial"/>
          <w:i/>
          <w:iCs/>
          <w:sz w:val="24"/>
          <w:szCs w:val="24"/>
        </w:rPr>
        <w:t>FAME II – Faster Adoption and Manufacturing of Electric Vehicles in India</w:t>
      </w:r>
      <w:r w:rsidRPr="00BF2CFD">
        <w:rPr>
          <w:rFonts w:ascii="Arial" w:hAnsi="Arial" w:cs="Arial"/>
          <w:sz w:val="24"/>
          <w:szCs w:val="24"/>
        </w:rPr>
        <w:t xml:space="preserve">. [online] Available at: </w:t>
      </w:r>
      <w:hyperlink r:id="rId19" w:tgtFrame="_new" w:history="1">
        <w:r w:rsidRPr="00BF2CFD">
          <w:rPr>
            <w:rStyle w:val="Hyperlink"/>
            <w:rFonts w:ascii="Arial" w:hAnsi="Arial" w:cs="Arial"/>
            <w:sz w:val="24"/>
            <w:szCs w:val="24"/>
          </w:rPr>
          <w:t>https://heavyindustries.gov.in</w:t>
        </w:r>
      </w:hyperlink>
      <w:r w:rsidRPr="00BF2CFD">
        <w:rPr>
          <w:rFonts w:ascii="Arial" w:hAnsi="Arial" w:cs="Arial"/>
          <w:sz w:val="24"/>
          <w:szCs w:val="24"/>
        </w:rPr>
        <w:t xml:space="preserve"> </w:t>
      </w:r>
    </w:p>
    <w:p w14:paraId="4EE59E67" w14:textId="239C146F" w:rsidR="00BF2CFD" w:rsidRPr="00BF2CFD" w:rsidRDefault="00BF2CFD" w:rsidP="00BF2CFD">
      <w:pPr>
        <w:rPr>
          <w:rFonts w:ascii="Arial" w:hAnsi="Arial" w:cs="Arial"/>
          <w:sz w:val="24"/>
          <w:szCs w:val="24"/>
        </w:rPr>
      </w:pPr>
      <w:r w:rsidRPr="00BF2CFD">
        <w:rPr>
          <w:rFonts w:ascii="Arial" w:hAnsi="Arial" w:cs="Arial"/>
          <w:sz w:val="24"/>
          <w:szCs w:val="24"/>
        </w:rPr>
        <w:t xml:space="preserve">Ministry of Heavy Industries (Government of India) (2025) ‘Scheme for Promotion of Manufacturing of Electric Passenger Cars in India (SPMEPCI)’, </w:t>
      </w:r>
      <w:r w:rsidRPr="00BF2CFD">
        <w:rPr>
          <w:rFonts w:ascii="Arial" w:hAnsi="Arial" w:cs="Arial"/>
          <w:i/>
          <w:iCs/>
          <w:sz w:val="24"/>
          <w:szCs w:val="24"/>
        </w:rPr>
        <w:t>Press Information Bureau</w:t>
      </w:r>
      <w:r w:rsidRPr="00BF2CFD">
        <w:rPr>
          <w:rFonts w:ascii="Arial" w:hAnsi="Arial" w:cs="Arial"/>
          <w:sz w:val="24"/>
          <w:szCs w:val="24"/>
        </w:rPr>
        <w:t xml:space="preserve">, 18 March. [online] Available at: </w:t>
      </w:r>
      <w:hyperlink r:id="rId20" w:tgtFrame="_new" w:history="1">
        <w:r w:rsidRPr="00BF2CFD">
          <w:rPr>
            <w:rStyle w:val="Hyperlink"/>
            <w:rFonts w:ascii="Arial" w:hAnsi="Arial" w:cs="Arial"/>
            <w:sz w:val="24"/>
            <w:szCs w:val="24"/>
          </w:rPr>
          <w:t>https://pib.gov.in</w:t>
        </w:r>
      </w:hyperlink>
      <w:r w:rsidRPr="00BF2CFD">
        <w:rPr>
          <w:rFonts w:ascii="Arial" w:hAnsi="Arial" w:cs="Arial"/>
          <w:sz w:val="24"/>
          <w:szCs w:val="24"/>
        </w:rPr>
        <w:t xml:space="preserve"> </w:t>
      </w:r>
    </w:p>
    <w:p w14:paraId="59FAC4D6" w14:textId="6E929EAE" w:rsidR="00BF2CFD" w:rsidRPr="00BF2CFD" w:rsidRDefault="00BF2CFD" w:rsidP="00BF2CFD">
      <w:pPr>
        <w:rPr>
          <w:rFonts w:ascii="Arial" w:hAnsi="Arial" w:cs="Arial"/>
          <w:sz w:val="24"/>
          <w:szCs w:val="24"/>
        </w:rPr>
      </w:pPr>
      <w:r w:rsidRPr="00BF2CFD">
        <w:rPr>
          <w:rFonts w:ascii="Arial" w:hAnsi="Arial" w:cs="Arial"/>
          <w:sz w:val="24"/>
          <w:szCs w:val="24"/>
        </w:rPr>
        <w:t xml:space="preserve">NITI Aayog (2025) </w:t>
      </w:r>
      <w:r w:rsidRPr="00BF2CFD">
        <w:rPr>
          <w:rFonts w:ascii="Arial" w:hAnsi="Arial" w:cs="Arial"/>
          <w:i/>
          <w:iCs/>
          <w:sz w:val="24"/>
          <w:szCs w:val="24"/>
        </w:rPr>
        <w:t>Electric Vehicles in India: Progress and Pathways</w:t>
      </w:r>
      <w:r w:rsidRPr="00BF2CFD">
        <w:rPr>
          <w:rFonts w:ascii="Arial" w:hAnsi="Arial" w:cs="Arial"/>
          <w:sz w:val="24"/>
          <w:szCs w:val="24"/>
        </w:rPr>
        <w:t xml:space="preserve">. [online] Available at: </w:t>
      </w:r>
      <w:hyperlink r:id="rId21" w:tgtFrame="_new" w:history="1">
        <w:r w:rsidRPr="00BF2CFD">
          <w:rPr>
            <w:rStyle w:val="Hyperlink"/>
            <w:rFonts w:ascii="Arial" w:hAnsi="Arial" w:cs="Arial"/>
            <w:sz w:val="24"/>
            <w:szCs w:val="24"/>
          </w:rPr>
          <w:t>https://niti.gov.in</w:t>
        </w:r>
      </w:hyperlink>
      <w:r w:rsidRPr="00BF2CFD">
        <w:rPr>
          <w:rFonts w:ascii="Arial" w:hAnsi="Arial" w:cs="Arial"/>
          <w:sz w:val="24"/>
          <w:szCs w:val="24"/>
        </w:rPr>
        <w:t xml:space="preserve"> </w:t>
      </w:r>
    </w:p>
    <w:p w14:paraId="045E2368"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Porter, M.E. (1990) </w:t>
      </w:r>
      <w:r w:rsidRPr="00BF2CFD">
        <w:rPr>
          <w:rFonts w:ascii="Arial" w:hAnsi="Arial" w:cs="Arial"/>
          <w:i/>
          <w:iCs/>
          <w:sz w:val="24"/>
          <w:szCs w:val="24"/>
        </w:rPr>
        <w:t>The Competitive Advantage of Nations</w:t>
      </w:r>
      <w:r w:rsidRPr="00BF2CFD">
        <w:rPr>
          <w:rFonts w:ascii="Arial" w:hAnsi="Arial" w:cs="Arial"/>
          <w:sz w:val="24"/>
          <w:szCs w:val="24"/>
        </w:rPr>
        <w:t>. New York: Free Press.</w:t>
      </w:r>
    </w:p>
    <w:p w14:paraId="2A810235" w14:textId="370A0780" w:rsidR="00BF2CFD" w:rsidRPr="00BF2CFD" w:rsidRDefault="00BF2CFD" w:rsidP="00BF2CFD">
      <w:pPr>
        <w:rPr>
          <w:rFonts w:ascii="Arial" w:hAnsi="Arial" w:cs="Arial"/>
          <w:sz w:val="24"/>
          <w:szCs w:val="24"/>
        </w:rPr>
      </w:pPr>
      <w:r w:rsidRPr="00BF2CFD">
        <w:rPr>
          <w:rFonts w:ascii="Arial" w:hAnsi="Arial" w:cs="Arial"/>
          <w:sz w:val="24"/>
          <w:szCs w:val="24"/>
        </w:rPr>
        <w:lastRenderedPageBreak/>
        <w:t xml:space="preserve">Reuters (2024) ‘Tesla to Scout Sites in India for $2 </w:t>
      </w:r>
      <w:proofErr w:type="spellStart"/>
      <w:r w:rsidRPr="00BF2CFD">
        <w:rPr>
          <w:rFonts w:ascii="Arial" w:hAnsi="Arial" w:cs="Arial"/>
          <w:sz w:val="24"/>
          <w:szCs w:val="24"/>
        </w:rPr>
        <w:t>bln</w:t>
      </w:r>
      <w:proofErr w:type="spellEnd"/>
      <w:r w:rsidRPr="00BF2CFD">
        <w:rPr>
          <w:rFonts w:ascii="Arial" w:hAnsi="Arial" w:cs="Arial"/>
          <w:sz w:val="24"/>
          <w:szCs w:val="24"/>
        </w:rPr>
        <w:t xml:space="preserve">–$3 </w:t>
      </w:r>
      <w:proofErr w:type="spellStart"/>
      <w:r w:rsidRPr="00BF2CFD">
        <w:rPr>
          <w:rFonts w:ascii="Arial" w:hAnsi="Arial" w:cs="Arial"/>
          <w:sz w:val="24"/>
          <w:szCs w:val="24"/>
        </w:rPr>
        <w:t>bln</w:t>
      </w:r>
      <w:proofErr w:type="spellEnd"/>
      <w:r w:rsidRPr="00BF2CFD">
        <w:rPr>
          <w:rFonts w:ascii="Arial" w:hAnsi="Arial" w:cs="Arial"/>
          <w:sz w:val="24"/>
          <w:szCs w:val="24"/>
        </w:rPr>
        <w:t xml:space="preserve"> EV Factory’, 3 April. [online] Available at: </w:t>
      </w:r>
      <w:hyperlink r:id="rId22" w:tgtFrame="_new" w:history="1">
        <w:r w:rsidRPr="00BF2CFD">
          <w:rPr>
            <w:rStyle w:val="Hyperlink"/>
            <w:rFonts w:ascii="Arial" w:hAnsi="Arial" w:cs="Arial"/>
            <w:sz w:val="24"/>
            <w:szCs w:val="24"/>
          </w:rPr>
          <w:t>https://www.reuters.com</w:t>
        </w:r>
      </w:hyperlink>
      <w:r w:rsidRPr="00BF2CFD">
        <w:rPr>
          <w:rFonts w:ascii="Arial" w:hAnsi="Arial" w:cs="Arial"/>
          <w:sz w:val="24"/>
          <w:szCs w:val="24"/>
        </w:rPr>
        <w:t xml:space="preserve"> </w:t>
      </w:r>
    </w:p>
    <w:p w14:paraId="323E7249" w14:textId="0B9E7D4F" w:rsidR="00BF2CFD" w:rsidRPr="00BF2CFD" w:rsidRDefault="00BF2CFD" w:rsidP="00BF2CFD">
      <w:pPr>
        <w:rPr>
          <w:rFonts w:ascii="Arial" w:hAnsi="Arial" w:cs="Arial"/>
          <w:sz w:val="24"/>
          <w:szCs w:val="24"/>
        </w:rPr>
      </w:pPr>
      <w:r w:rsidRPr="00BF2CFD">
        <w:rPr>
          <w:rFonts w:ascii="Arial" w:hAnsi="Arial" w:cs="Arial"/>
          <w:sz w:val="24"/>
          <w:szCs w:val="24"/>
        </w:rPr>
        <w:t xml:space="preserve">Tesla, Inc. (2024) </w:t>
      </w:r>
      <w:r w:rsidRPr="00BF2CFD">
        <w:rPr>
          <w:rFonts w:ascii="Arial" w:hAnsi="Arial" w:cs="Arial"/>
          <w:i/>
          <w:iCs/>
          <w:sz w:val="24"/>
          <w:szCs w:val="24"/>
        </w:rPr>
        <w:t>Form 10-K Annual Report for the Year Ended 31 December 2023</w:t>
      </w:r>
      <w:r w:rsidRPr="00BF2CFD">
        <w:rPr>
          <w:rFonts w:ascii="Arial" w:hAnsi="Arial" w:cs="Arial"/>
          <w:sz w:val="24"/>
          <w:szCs w:val="24"/>
        </w:rPr>
        <w:t xml:space="preserve">. U.S. Securities and Exchange Commission. [online] Available at: </w:t>
      </w:r>
      <w:hyperlink r:id="rId23" w:tgtFrame="_new" w:history="1">
        <w:r w:rsidRPr="00BF2CFD">
          <w:rPr>
            <w:rStyle w:val="Hyperlink"/>
            <w:rFonts w:ascii="Arial" w:hAnsi="Arial" w:cs="Arial"/>
            <w:sz w:val="24"/>
            <w:szCs w:val="24"/>
          </w:rPr>
          <w:t>https://www.sec.gov</w:t>
        </w:r>
      </w:hyperlink>
      <w:r w:rsidRPr="00BF2CFD">
        <w:rPr>
          <w:rFonts w:ascii="Arial" w:hAnsi="Arial" w:cs="Arial"/>
          <w:sz w:val="24"/>
          <w:szCs w:val="24"/>
        </w:rPr>
        <w:t xml:space="preserve"> </w:t>
      </w:r>
    </w:p>
    <w:p w14:paraId="20B33BDB" w14:textId="7EB999EB" w:rsidR="00BF2CFD" w:rsidRPr="00BF2CFD" w:rsidRDefault="00BF2CFD" w:rsidP="00BF2CFD">
      <w:pPr>
        <w:rPr>
          <w:rFonts w:ascii="Arial" w:hAnsi="Arial" w:cs="Arial"/>
          <w:sz w:val="24"/>
          <w:szCs w:val="24"/>
        </w:rPr>
      </w:pPr>
      <w:r w:rsidRPr="00BF2CFD">
        <w:rPr>
          <w:rFonts w:ascii="Arial" w:hAnsi="Arial" w:cs="Arial"/>
          <w:sz w:val="24"/>
          <w:szCs w:val="24"/>
        </w:rPr>
        <w:t xml:space="preserve">Tesla, Inc. (2024) </w:t>
      </w:r>
      <w:r w:rsidRPr="00BF2CFD">
        <w:rPr>
          <w:rFonts w:ascii="Arial" w:hAnsi="Arial" w:cs="Arial"/>
          <w:i/>
          <w:iCs/>
          <w:sz w:val="24"/>
          <w:szCs w:val="24"/>
        </w:rPr>
        <w:t>2023 Tesla Impact Report – Highlights</w:t>
      </w:r>
      <w:r w:rsidRPr="00BF2CFD">
        <w:rPr>
          <w:rFonts w:ascii="Arial" w:hAnsi="Arial" w:cs="Arial"/>
          <w:sz w:val="24"/>
          <w:szCs w:val="24"/>
        </w:rPr>
        <w:t xml:space="preserve">. [online] Available at: </w:t>
      </w:r>
      <w:hyperlink r:id="rId24" w:tgtFrame="_new" w:history="1">
        <w:r w:rsidRPr="00BF2CFD">
          <w:rPr>
            <w:rStyle w:val="Hyperlink"/>
            <w:rFonts w:ascii="Arial" w:hAnsi="Arial" w:cs="Arial"/>
            <w:sz w:val="24"/>
            <w:szCs w:val="24"/>
          </w:rPr>
          <w:t>https://www.tesla.com</w:t>
        </w:r>
      </w:hyperlink>
      <w:r w:rsidRPr="00BF2CFD">
        <w:rPr>
          <w:rFonts w:ascii="Arial" w:hAnsi="Arial" w:cs="Arial"/>
          <w:sz w:val="24"/>
          <w:szCs w:val="24"/>
        </w:rPr>
        <w:t xml:space="preserve"> </w:t>
      </w:r>
    </w:p>
    <w:p w14:paraId="170BF22A" w14:textId="77777777" w:rsidR="00BF2CFD" w:rsidRPr="00BF2CFD" w:rsidRDefault="00BF2CFD" w:rsidP="00BF2CFD">
      <w:pPr>
        <w:rPr>
          <w:rFonts w:ascii="Arial" w:hAnsi="Arial" w:cs="Arial"/>
          <w:sz w:val="24"/>
          <w:szCs w:val="24"/>
        </w:rPr>
      </w:pPr>
      <w:r w:rsidRPr="00BF2CFD">
        <w:rPr>
          <w:rFonts w:ascii="Arial" w:hAnsi="Arial" w:cs="Arial"/>
          <w:sz w:val="24"/>
          <w:szCs w:val="24"/>
        </w:rPr>
        <w:t xml:space="preserve">The Times of India (2025) ‘Tesla Likely to Import Cars from Germany, Skip China’, 20 February. [online] Available at: </w:t>
      </w:r>
      <w:hyperlink r:id="rId25" w:tgtFrame="_new" w:history="1">
        <w:r w:rsidRPr="00BF2CFD">
          <w:rPr>
            <w:rStyle w:val="Hyperlink"/>
            <w:rFonts w:ascii="Arial" w:hAnsi="Arial" w:cs="Arial"/>
            <w:sz w:val="24"/>
            <w:szCs w:val="24"/>
          </w:rPr>
          <w:t>https://timesofindia.indiatimes.com</w:t>
        </w:r>
      </w:hyperlink>
      <w:r w:rsidRPr="00BF2CFD">
        <w:rPr>
          <w:rFonts w:ascii="Arial" w:hAnsi="Arial" w:cs="Arial"/>
          <w:sz w:val="24"/>
          <w:szCs w:val="24"/>
        </w:rPr>
        <w:t xml:space="preserve"> [Accessed 20 Nov. 2025].</w:t>
      </w:r>
    </w:p>
    <w:p w14:paraId="4055F22D" w14:textId="4F73A140" w:rsidR="00BF2CFD" w:rsidRPr="00BF2CFD" w:rsidRDefault="00BF2CFD" w:rsidP="00BF2CFD">
      <w:pPr>
        <w:rPr>
          <w:rFonts w:ascii="Arial" w:hAnsi="Arial" w:cs="Arial"/>
          <w:sz w:val="24"/>
          <w:szCs w:val="24"/>
        </w:rPr>
      </w:pPr>
      <w:r w:rsidRPr="00BF2CFD">
        <w:rPr>
          <w:rFonts w:ascii="Arial" w:hAnsi="Arial" w:cs="Arial"/>
          <w:sz w:val="24"/>
          <w:szCs w:val="24"/>
        </w:rPr>
        <w:t xml:space="preserve">Vora, Y. (2025) </w:t>
      </w:r>
      <w:r w:rsidRPr="00BF2CFD">
        <w:rPr>
          <w:rFonts w:ascii="Arial" w:hAnsi="Arial" w:cs="Arial"/>
          <w:i/>
          <w:iCs/>
          <w:sz w:val="24"/>
          <w:szCs w:val="24"/>
        </w:rPr>
        <w:t>Tesla’s Grand Entry into India: Paving the Way for an Electric Future – Research and Ranking</w:t>
      </w:r>
      <w:r w:rsidRPr="00BF2CFD">
        <w:rPr>
          <w:rFonts w:ascii="Arial" w:hAnsi="Arial" w:cs="Arial"/>
          <w:sz w:val="24"/>
          <w:szCs w:val="24"/>
        </w:rPr>
        <w:t xml:space="preserve">. </w:t>
      </w:r>
      <w:proofErr w:type="spellStart"/>
      <w:r w:rsidRPr="00BF2CFD">
        <w:rPr>
          <w:rFonts w:ascii="Arial" w:hAnsi="Arial" w:cs="Arial"/>
          <w:sz w:val="24"/>
          <w:szCs w:val="24"/>
        </w:rPr>
        <w:t>Equentis</w:t>
      </w:r>
      <w:proofErr w:type="spellEnd"/>
      <w:r w:rsidRPr="00BF2CFD">
        <w:rPr>
          <w:rFonts w:ascii="Arial" w:hAnsi="Arial" w:cs="Arial"/>
          <w:sz w:val="24"/>
          <w:szCs w:val="24"/>
        </w:rPr>
        <w:t xml:space="preserve"> Wealth Advisory. [online] Available at:</w:t>
      </w:r>
      <w:r w:rsidRPr="00BF2CFD">
        <w:rPr>
          <w:rFonts w:ascii="Arial" w:hAnsi="Arial" w:cs="Arial"/>
          <w:sz w:val="24"/>
          <w:szCs w:val="24"/>
        </w:rPr>
        <w:br/>
      </w:r>
      <w:hyperlink r:id="rId26" w:tgtFrame="_new" w:history="1">
        <w:r w:rsidRPr="00BF2CFD">
          <w:rPr>
            <w:rStyle w:val="Hyperlink"/>
            <w:rFonts w:ascii="Arial" w:hAnsi="Arial" w:cs="Arial"/>
            <w:sz w:val="24"/>
            <w:szCs w:val="24"/>
          </w:rPr>
          <w:t>https://www.equentis.com/blog/teslas-grand-entry-into-india-paving-the-way-for-an-electric-future/</w:t>
        </w:r>
      </w:hyperlink>
    </w:p>
    <w:p w14:paraId="36CFB4C3" w14:textId="248D5EB9" w:rsidR="00BF2CFD" w:rsidRPr="00BF2CFD" w:rsidRDefault="00BF2CFD" w:rsidP="00132367">
      <w:pPr>
        <w:rPr>
          <w:rFonts w:ascii="Arial" w:hAnsi="Arial" w:cs="Arial"/>
          <w:sz w:val="24"/>
          <w:szCs w:val="24"/>
        </w:rPr>
      </w:pPr>
      <w:r w:rsidRPr="00BF2CFD">
        <w:rPr>
          <w:rFonts w:ascii="Arial" w:hAnsi="Arial" w:cs="Arial"/>
          <w:sz w:val="24"/>
          <w:szCs w:val="24"/>
        </w:rPr>
        <w:t xml:space="preserve">Wild, J.J. and Wild, K.L. (2023) </w:t>
      </w:r>
      <w:r w:rsidRPr="00BF2CFD">
        <w:rPr>
          <w:rFonts w:ascii="Arial" w:hAnsi="Arial" w:cs="Arial"/>
          <w:i/>
          <w:iCs/>
          <w:sz w:val="24"/>
          <w:szCs w:val="24"/>
        </w:rPr>
        <w:t>International Business: The Challenges of Globalization</w:t>
      </w:r>
      <w:r w:rsidRPr="00BF2CFD">
        <w:rPr>
          <w:rFonts w:ascii="Arial" w:hAnsi="Arial" w:cs="Arial"/>
          <w:sz w:val="24"/>
          <w:szCs w:val="24"/>
        </w:rPr>
        <w:t xml:space="preserve">, 10th </w:t>
      </w:r>
      <w:proofErr w:type="spellStart"/>
      <w:r w:rsidRPr="00BF2CFD">
        <w:rPr>
          <w:rFonts w:ascii="Arial" w:hAnsi="Arial" w:cs="Arial"/>
          <w:sz w:val="24"/>
          <w:szCs w:val="24"/>
        </w:rPr>
        <w:t>edn</w:t>
      </w:r>
      <w:proofErr w:type="spellEnd"/>
      <w:r w:rsidRPr="00BF2CFD">
        <w:rPr>
          <w:rFonts w:ascii="Arial" w:hAnsi="Arial" w:cs="Arial"/>
          <w:sz w:val="24"/>
          <w:szCs w:val="24"/>
        </w:rPr>
        <w:t>. Essex: Pearson Education Limited.</w:t>
      </w:r>
    </w:p>
    <w:p w14:paraId="4EDD4E2B" w14:textId="65CE4F93" w:rsidR="00132367" w:rsidRPr="00132367" w:rsidRDefault="00132367" w:rsidP="00132367">
      <w:pPr>
        <w:rPr>
          <w:rFonts w:ascii="Arial" w:hAnsi="Arial" w:cs="Arial"/>
          <w:b/>
          <w:bCs/>
          <w:sz w:val="24"/>
          <w:szCs w:val="24"/>
        </w:rPr>
      </w:pPr>
      <w:r w:rsidRPr="00132367">
        <w:rPr>
          <w:rFonts w:ascii="Arial" w:hAnsi="Arial" w:cs="Arial"/>
          <w:b/>
          <w:bCs/>
          <w:sz w:val="24"/>
          <w:szCs w:val="24"/>
        </w:rPr>
        <w:t>Module Lecture Materials (LCMB7034 – International Business Concepts)</w:t>
      </w:r>
    </w:p>
    <w:p w14:paraId="1B0CB3AC"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1 – Session 1 of 2: ‘IB – Week 1 – Module Introduction’,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1; S1) </w:t>
      </w:r>
    </w:p>
    <w:p w14:paraId="7942B42D" w14:textId="0C24F3FD" w:rsidR="00132367" w:rsidRPr="00132367" w:rsidRDefault="00132367" w:rsidP="00132367">
      <w:pPr>
        <w:rPr>
          <w:rFonts w:ascii="Arial" w:hAnsi="Arial" w:cs="Arial"/>
          <w:sz w:val="24"/>
          <w:szCs w:val="24"/>
        </w:rPr>
      </w:pPr>
      <w:r w:rsidRPr="00132367">
        <w:rPr>
          <w:rFonts w:ascii="Arial" w:hAnsi="Arial" w:cs="Arial"/>
          <w:sz w:val="24"/>
          <w:szCs w:val="24"/>
        </w:rPr>
        <w:t xml:space="preserve">Week 1 – Session 2 of 2: ‘IB – Week 1 – International Business and Globalisation’,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1; S2) </w:t>
      </w:r>
    </w:p>
    <w:p w14:paraId="0F0708B4"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2: ‘IB – Week 2 – VUCA Analysis and Adaptive Leadership’,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2) </w:t>
      </w:r>
    </w:p>
    <w:p w14:paraId="5244D20B"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3: ‘IB – Week 3 – The Global Investment Environment and International Market Entry Modes’,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3) </w:t>
      </w:r>
    </w:p>
    <w:p w14:paraId="2C04A0EA"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4: ‘IB – Week 4 – Cross-Cultural Business, Culture and EPRG Model’,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4) </w:t>
      </w:r>
    </w:p>
    <w:p w14:paraId="70AE888A"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5: ‘IB – Week 5 – Political, Economic and Legal Systems’,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5) </w:t>
      </w:r>
    </w:p>
    <w:p w14:paraId="3DA120C5"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6: ‘IB – Week 6 – Theories Underpinning the Global Trade Environment’,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6) </w:t>
      </w:r>
    </w:p>
    <w:p w14:paraId="7CE23D42" w14:textId="77777777" w:rsidR="00132367" w:rsidRPr="00132367" w:rsidRDefault="00132367" w:rsidP="00132367">
      <w:pPr>
        <w:rPr>
          <w:rFonts w:ascii="Arial" w:hAnsi="Arial" w:cs="Arial"/>
          <w:sz w:val="24"/>
          <w:szCs w:val="24"/>
        </w:rPr>
      </w:pPr>
      <w:r w:rsidRPr="00132367">
        <w:rPr>
          <w:rFonts w:ascii="Arial" w:hAnsi="Arial" w:cs="Arial"/>
          <w:sz w:val="24"/>
          <w:szCs w:val="24"/>
        </w:rPr>
        <w:t xml:space="preserve">Week 7: ‘IB – Week 7 – Theories of Foreign Direct Investment (FDI)’,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7) </w:t>
      </w:r>
    </w:p>
    <w:p w14:paraId="01125A1E" w14:textId="1C2E078A" w:rsidR="00132367" w:rsidRPr="00132367" w:rsidRDefault="00132367" w:rsidP="00132367">
      <w:pPr>
        <w:rPr>
          <w:rFonts w:ascii="Arial" w:hAnsi="Arial" w:cs="Arial"/>
          <w:sz w:val="24"/>
          <w:szCs w:val="24"/>
        </w:rPr>
      </w:pPr>
      <w:r w:rsidRPr="00132367">
        <w:rPr>
          <w:rFonts w:ascii="Arial" w:hAnsi="Arial" w:cs="Arial"/>
          <w:sz w:val="24"/>
          <w:szCs w:val="24"/>
        </w:rPr>
        <w:lastRenderedPageBreak/>
        <w:t xml:space="preserve">Week 8: ‘IB – Week 8 – Strategies for International Business’,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8) </w:t>
      </w:r>
    </w:p>
    <w:p w14:paraId="5D7140EF" w14:textId="2CE3E7AA" w:rsidR="008F71DB" w:rsidRPr="00A45D92" w:rsidRDefault="00132367">
      <w:pPr>
        <w:rPr>
          <w:rFonts w:ascii="Arial" w:hAnsi="Arial" w:cs="Arial"/>
          <w:sz w:val="24"/>
          <w:szCs w:val="24"/>
        </w:rPr>
      </w:pPr>
      <w:r w:rsidRPr="00132367">
        <w:rPr>
          <w:rFonts w:ascii="Arial" w:hAnsi="Arial" w:cs="Arial"/>
          <w:sz w:val="24"/>
          <w:szCs w:val="24"/>
        </w:rPr>
        <w:t xml:space="preserve">Week 9: ‘IB – Week 9 – International Marketing, Global Operations and Supply Chain Management’, LCMB7034, </w:t>
      </w:r>
      <w:r w:rsidRPr="00132367">
        <w:rPr>
          <w:rFonts w:ascii="Arial" w:hAnsi="Arial" w:cs="Arial"/>
          <w:i/>
          <w:iCs/>
          <w:sz w:val="24"/>
          <w:szCs w:val="24"/>
        </w:rPr>
        <w:t>International Business Concepts</w:t>
      </w:r>
      <w:r w:rsidRPr="00132367">
        <w:rPr>
          <w:rFonts w:ascii="Arial" w:hAnsi="Arial" w:cs="Arial"/>
          <w:sz w:val="24"/>
          <w:szCs w:val="24"/>
        </w:rPr>
        <w:t xml:space="preserve">, University of Wales Trinity Saint David. (Week 9) </w:t>
      </w:r>
    </w:p>
    <w:sectPr w:rsidR="008F71DB" w:rsidRPr="00A45D92">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762CF" w14:textId="77777777" w:rsidR="00593C8D" w:rsidRDefault="00593C8D" w:rsidP="00A45D92">
      <w:pPr>
        <w:spacing w:after="0" w:line="240" w:lineRule="auto"/>
      </w:pPr>
      <w:r>
        <w:separator/>
      </w:r>
    </w:p>
  </w:endnote>
  <w:endnote w:type="continuationSeparator" w:id="0">
    <w:p w14:paraId="4B61E905" w14:textId="77777777" w:rsidR="00593C8D" w:rsidRDefault="00593C8D" w:rsidP="00A45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9312923"/>
      <w:docPartObj>
        <w:docPartGallery w:val="Page Numbers (Bottom of Page)"/>
        <w:docPartUnique/>
      </w:docPartObj>
    </w:sdtPr>
    <w:sdtEndPr>
      <w:rPr>
        <w:noProof/>
      </w:rPr>
    </w:sdtEndPr>
    <w:sdtContent>
      <w:p w14:paraId="308C5DB2" w14:textId="3F09B620" w:rsidR="00A45D92" w:rsidRDefault="00A45D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8F6C0B" w14:textId="77777777" w:rsidR="00A45D92" w:rsidRDefault="00A45D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AC55E" w14:textId="77777777" w:rsidR="00593C8D" w:rsidRDefault="00593C8D" w:rsidP="00A45D92">
      <w:pPr>
        <w:spacing w:after="0" w:line="240" w:lineRule="auto"/>
      </w:pPr>
      <w:r>
        <w:separator/>
      </w:r>
    </w:p>
  </w:footnote>
  <w:footnote w:type="continuationSeparator" w:id="0">
    <w:p w14:paraId="10017DDB" w14:textId="77777777" w:rsidR="00593C8D" w:rsidRDefault="00593C8D" w:rsidP="00A45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B2F5E"/>
    <w:multiLevelType w:val="multilevel"/>
    <w:tmpl w:val="A1D4C5B4"/>
    <w:lvl w:ilvl="0">
      <w:start w:val="1"/>
      <w:numFmt w:val="decimal"/>
      <w:lvlText w:val="%1."/>
      <w:lvlJc w:val="left"/>
      <w:pPr>
        <w:ind w:left="740" w:hanging="380"/>
      </w:pPr>
      <w:rPr>
        <w:rFonts w:hint="default"/>
        <w:color w:val="auto"/>
      </w:rPr>
    </w:lvl>
    <w:lvl w:ilvl="1">
      <w:start w:val="1"/>
      <w:numFmt w:val="decimal"/>
      <w:isLgl/>
      <w:lvlText w:val="%1.%2"/>
      <w:lvlJc w:val="left"/>
      <w:pPr>
        <w:ind w:left="760" w:hanging="400"/>
      </w:pPr>
      <w:rPr>
        <w:rFonts w:hint="default"/>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color w:val="auto"/>
      </w:rPr>
    </w:lvl>
    <w:lvl w:ilvl="4">
      <w:start w:val="1"/>
      <w:numFmt w:val="decimal"/>
      <w:isLgl/>
      <w:lvlText w:val="%1.%2.%3.%4.%5"/>
      <w:lvlJc w:val="left"/>
      <w:pPr>
        <w:ind w:left="1440" w:hanging="1080"/>
      </w:pPr>
      <w:rPr>
        <w:rFonts w:hint="default"/>
        <w:color w:val="auto"/>
      </w:rPr>
    </w:lvl>
    <w:lvl w:ilvl="5">
      <w:start w:val="1"/>
      <w:numFmt w:val="decimal"/>
      <w:isLgl/>
      <w:lvlText w:val="%1.%2.%3.%4.%5.%6"/>
      <w:lvlJc w:val="left"/>
      <w:pPr>
        <w:ind w:left="1800" w:hanging="1440"/>
      </w:pPr>
      <w:rPr>
        <w:rFonts w:hint="default"/>
        <w:color w:val="auto"/>
      </w:rPr>
    </w:lvl>
    <w:lvl w:ilvl="6">
      <w:start w:val="1"/>
      <w:numFmt w:val="decimal"/>
      <w:isLgl/>
      <w:lvlText w:val="%1.%2.%3.%4.%5.%6.%7"/>
      <w:lvlJc w:val="left"/>
      <w:pPr>
        <w:ind w:left="1800" w:hanging="1440"/>
      </w:pPr>
      <w:rPr>
        <w:rFonts w:hint="default"/>
        <w:color w:val="auto"/>
      </w:rPr>
    </w:lvl>
    <w:lvl w:ilvl="7">
      <w:start w:val="1"/>
      <w:numFmt w:val="decimal"/>
      <w:isLgl/>
      <w:lvlText w:val="%1.%2.%3.%4.%5.%6.%7.%8"/>
      <w:lvlJc w:val="left"/>
      <w:pPr>
        <w:ind w:left="2160" w:hanging="1800"/>
      </w:pPr>
      <w:rPr>
        <w:rFonts w:hint="default"/>
        <w:color w:val="auto"/>
      </w:rPr>
    </w:lvl>
    <w:lvl w:ilvl="8">
      <w:start w:val="1"/>
      <w:numFmt w:val="decimal"/>
      <w:isLgl/>
      <w:lvlText w:val="%1.%2.%3.%4.%5.%6.%7.%8.%9"/>
      <w:lvlJc w:val="left"/>
      <w:pPr>
        <w:ind w:left="2160" w:hanging="1800"/>
      </w:pPr>
      <w:rPr>
        <w:rFonts w:hint="default"/>
        <w:color w:val="auto"/>
      </w:rPr>
    </w:lvl>
  </w:abstractNum>
  <w:abstractNum w:abstractNumId="1" w15:restartNumberingAfterBreak="0">
    <w:nsid w:val="0E6B54C6"/>
    <w:multiLevelType w:val="hybridMultilevel"/>
    <w:tmpl w:val="4BCC621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EB32638"/>
    <w:multiLevelType w:val="hybridMultilevel"/>
    <w:tmpl w:val="E3AE10A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8ED6614"/>
    <w:multiLevelType w:val="hybridMultilevel"/>
    <w:tmpl w:val="4158425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37E2416"/>
    <w:multiLevelType w:val="hybridMultilevel"/>
    <w:tmpl w:val="3CA041B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8EE46DD"/>
    <w:multiLevelType w:val="hybridMultilevel"/>
    <w:tmpl w:val="9C54CD5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F2F1E1A"/>
    <w:multiLevelType w:val="hybridMultilevel"/>
    <w:tmpl w:val="CBA058B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8B92D49"/>
    <w:multiLevelType w:val="hybridMultilevel"/>
    <w:tmpl w:val="2C74CA4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9F86EFB"/>
    <w:multiLevelType w:val="multilevel"/>
    <w:tmpl w:val="C518A9FE"/>
    <w:lvl w:ilvl="0">
      <w:start w:val="1"/>
      <w:numFmt w:val="decimal"/>
      <w:lvlText w:val="%1."/>
      <w:lvlJc w:val="left"/>
      <w:pPr>
        <w:ind w:left="720" w:hanging="360"/>
      </w:pPr>
      <w:rPr>
        <w:rFonts w:hint="default"/>
        <w:b/>
        <w:bCs/>
      </w:rPr>
    </w:lvl>
    <w:lvl w:ilvl="1">
      <w:start w:val="2"/>
      <w:numFmt w:val="decimal"/>
      <w:isLgl/>
      <w:lvlText w:val="%1.%2"/>
      <w:lvlJc w:val="left"/>
      <w:pPr>
        <w:ind w:left="760" w:hanging="400"/>
      </w:pPr>
      <w:rPr>
        <w:rFonts w:hint="default"/>
        <w:b/>
        <w:bCs/>
        <w:color w:val="auto"/>
      </w:rPr>
    </w:lvl>
    <w:lvl w:ilvl="2">
      <w:start w:val="1"/>
      <w:numFmt w:val="decimal"/>
      <w:isLgl/>
      <w:lvlText w:val="%1.%2.%3"/>
      <w:lvlJc w:val="left"/>
      <w:pPr>
        <w:ind w:left="1080" w:hanging="720"/>
      </w:pPr>
      <w:rPr>
        <w:rFonts w:hint="default"/>
        <w:color w:val="auto"/>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AFF4B88"/>
    <w:multiLevelType w:val="hybridMultilevel"/>
    <w:tmpl w:val="A600E0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072618C"/>
    <w:multiLevelType w:val="hybridMultilevel"/>
    <w:tmpl w:val="E35A786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A727E1D"/>
    <w:multiLevelType w:val="hybridMultilevel"/>
    <w:tmpl w:val="AD34327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CD408A7"/>
    <w:multiLevelType w:val="hybridMultilevel"/>
    <w:tmpl w:val="ED1873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E8B5429"/>
    <w:multiLevelType w:val="hybridMultilevel"/>
    <w:tmpl w:val="2BB63C4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EEF3614"/>
    <w:multiLevelType w:val="hybridMultilevel"/>
    <w:tmpl w:val="CC04445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2941C5B"/>
    <w:multiLevelType w:val="hybridMultilevel"/>
    <w:tmpl w:val="1554A62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3592174"/>
    <w:multiLevelType w:val="hybridMultilevel"/>
    <w:tmpl w:val="2C66AFC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639C29F0"/>
    <w:multiLevelType w:val="hybridMultilevel"/>
    <w:tmpl w:val="C69CD5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65192EC3"/>
    <w:multiLevelType w:val="hybridMultilevel"/>
    <w:tmpl w:val="119AA7B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0DE376F"/>
    <w:multiLevelType w:val="hybridMultilevel"/>
    <w:tmpl w:val="DB3417A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47301797">
    <w:abstractNumId w:val="0"/>
  </w:num>
  <w:num w:numId="2" w16cid:durableId="1693412381">
    <w:abstractNumId w:val="10"/>
  </w:num>
  <w:num w:numId="3" w16cid:durableId="41902456">
    <w:abstractNumId w:val="2"/>
  </w:num>
  <w:num w:numId="4" w16cid:durableId="1850868406">
    <w:abstractNumId w:val="8"/>
  </w:num>
  <w:num w:numId="5" w16cid:durableId="2052878559">
    <w:abstractNumId w:val="11"/>
  </w:num>
  <w:num w:numId="6" w16cid:durableId="1122528946">
    <w:abstractNumId w:val="17"/>
  </w:num>
  <w:num w:numId="7" w16cid:durableId="435684807">
    <w:abstractNumId w:val="7"/>
  </w:num>
  <w:num w:numId="8" w16cid:durableId="1094547863">
    <w:abstractNumId w:val="18"/>
  </w:num>
  <w:num w:numId="9" w16cid:durableId="1542280412">
    <w:abstractNumId w:val="4"/>
  </w:num>
  <w:num w:numId="10" w16cid:durableId="1851068631">
    <w:abstractNumId w:val="9"/>
  </w:num>
  <w:num w:numId="11" w16cid:durableId="1327052746">
    <w:abstractNumId w:val="1"/>
  </w:num>
  <w:num w:numId="12" w16cid:durableId="559367822">
    <w:abstractNumId w:val="19"/>
  </w:num>
  <w:num w:numId="13" w16cid:durableId="442461570">
    <w:abstractNumId w:val="12"/>
  </w:num>
  <w:num w:numId="14" w16cid:durableId="103422194">
    <w:abstractNumId w:val="6"/>
  </w:num>
  <w:num w:numId="15" w16cid:durableId="1880163959">
    <w:abstractNumId w:val="5"/>
  </w:num>
  <w:num w:numId="16" w16cid:durableId="1191845036">
    <w:abstractNumId w:val="3"/>
  </w:num>
  <w:num w:numId="17" w16cid:durableId="673192279">
    <w:abstractNumId w:val="13"/>
  </w:num>
  <w:num w:numId="18" w16cid:durableId="1969895449">
    <w:abstractNumId w:val="16"/>
  </w:num>
  <w:num w:numId="19" w16cid:durableId="1099564537">
    <w:abstractNumId w:val="15"/>
  </w:num>
  <w:num w:numId="20" w16cid:durableId="1028916062">
    <w:abstractNumId w:val="14"/>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367"/>
    <w:rsid w:val="000202AC"/>
    <w:rsid w:val="0005391F"/>
    <w:rsid w:val="00132367"/>
    <w:rsid w:val="0017381F"/>
    <w:rsid w:val="00495A54"/>
    <w:rsid w:val="004F5386"/>
    <w:rsid w:val="005569DC"/>
    <w:rsid w:val="00593C8D"/>
    <w:rsid w:val="005E558E"/>
    <w:rsid w:val="00672DFE"/>
    <w:rsid w:val="007475CD"/>
    <w:rsid w:val="00760AF7"/>
    <w:rsid w:val="00762287"/>
    <w:rsid w:val="008F71DB"/>
    <w:rsid w:val="00A45D92"/>
    <w:rsid w:val="00AA2403"/>
    <w:rsid w:val="00B90BFB"/>
    <w:rsid w:val="00BF2CFD"/>
    <w:rsid w:val="00C57E5C"/>
    <w:rsid w:val="00C755D3"/>
    <w:rsid w:val="00DB0538"/>
    <w:rsid w:val="00E90B44"/>
    <w:rsid w:val="00E924FA"/>
    <w:rsid w:val="00EB1ED4"/>
    <w:rsid w:val="00EF7C73"/>
    <w:rsid w:val="00FA26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1D67D"/>
  <w15:chartTrackingRefBased/>
  <w15:docId w15:val="{7D4A0A05-53D7-4006-84C9-C7BC13D1E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3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23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323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23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23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23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23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23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23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3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23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323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23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23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23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23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23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2367"/>
    <w:rPr>
      <w:rFonts w:eastAsiaTheme="majorEastAsia" w:cstheme="majorBidi"/>
      <w:color w:val="272727" w:themeColor="text1" w:themeTint="D8"/>
    </w:rPr>
  </w:style>
  <w:style w:type="paragraph" w:styleId="Title">
    <w:name w:val="Title"/>
    <w:basedOn w:val="Normal"/>
    <w:next w:val="Normal"/>
    <w:link w:val="TitleChar"/>
    <w:uiPriority w:val="10"/>
    <w:qFormat/>
    <w:rsid w:val="001323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3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23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23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2367"/>
    <w:pPr>
      <w:spacing w:before="160"/>
      <w:jc w:val="center"/>
    </w:pPr>
    <w:rPr>
      <w:i/>
      <w:iCs/>
      <w:color w:val="404040" w:themeColor="text1" w:themeTint="BF"/>
    </w:rPr>
  </w:style>
  <w:style w:type="character" w:customStyle="1" w:styleId="QuoteChar">
    <w:name w:val="Quote Char"/>
    <w:basedOn w:val="DefaultParagraphFont"/>
    <w:link w:val="Quote"/>
    <w:uiPriority w:val="29"/>
    <w:rsid w:val="00132367"/>
    <w:rPr>
      <w:i/>
      <w:iCs/>
      <w:color w:val="404040" w:themeColor="text1" w:themeTint="BF"/>
    </w:rPr>
  </w:style>
  <w:style w:type="paragraph" w:styleId="ListParagraph">
    <w:name w:val="List Paragraph"/>
    <w:basedOn w:val="Normal"/>
    <w:uiPriority w:val="34"/>
    <w:qFormat/>
    <w:rsid w:val="00132367"/>
    <w:pPr>
      <w:ind w:left="720"/>
      <w:contextualSpacing/>
    </w:pPr>
  </w:style>
  <w:style w:type="character" w:styleId="IntenseEmphasis">
    <w:name w:val="Intense Emphasis"/>
    <w:basedOn w:val="DefaultParagraphFont"/>
    <w:uiPriority w:val="21"/>
    <w:qFormat/>
    <w:rsid w:val="00132367"/>
    <w:rPr>
      <w:i/>
      <w:iCs/>
      <w:color w:val="0F4761" w:themeColor="accent1" w:themeShade="BF"/>
    </w:rPr>
  </w:style>
  <w:style w:type="paragraph" w:styleId="IntenseQuote">
    <w:name w:val="Intense Quote"/>
    <w:basedOn w:val="Normal"/>
    <w:next w:val="Normal"/>
    <w:link w:val="IntenseQuoteChar"/>
    <w:uiPriority w:val="30"/>
    <w:qFormat/>
    <w:rsid w:val="001323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2367"/>
    <w:rPr>
      <w:i/>
      <w:iCs/>
      <w:color w:val="0F4761" w:themeColor="accent1" w:themeShade="BF"/>
    </w:rPr>
  </w:style>
  <w:style w:type="character" w:styleId="IntenseReference">
    <w:name w:val="Intense Reference"/>
    <w:basedOn w:val="DefaultParagraphFont"/>
    <w:uiPriority w:val="32"/>
    <w:qFormat/>
    <w:rsid w:val="00132367"/>
    <w:rPr>
      <w:b/>
      <w:bCs/>
      <w:smallCaps/>
      <w:color w:val="0F4761" w:themeColor="accent1" w:themeShade="BF"/>
      <w:spacing w:val="5"/>
    </w:rPr>
  </w:style>
  <w:style w:type="character" w:styleId="Hyperlink">
    <w:name w:val="Hyperlink"/>
    <w:basedOn w:val="DefaultParagraphFont"/>
    <w:uiPriority w:val="99"/>
    <w:unhideWhenUsed/>
    <w:rsid w:val="00132367"/>
    <w:rPr>
      <w:color w:val="467886" w:themeColor="hyperlink"/>
      <w:u w:val="single"/>
    </w:rPr>
  </w:style>
  <w:style w:type="character" w:styleId="UnresolvedMention">
    <w:name w:val="Unresolved Mention"/>
    <w:basedOn w:val="DefaultParagraphFont"/>
    <w:uiPriority w:val="99"/>
    <w:semiHidden/>
    <w:unhideWhenUsed/>
    <w:rsid w:val="00132367"/>
    <w:rPr>
      <w:color w:val="605E5C"/>
      <w:shd w:val="clear" w:color="auto" w:fill="E1DFDD"/>
    </w:rPr>
  </w:style>
  <w:style w:type="paragraph" w:styleId="TOCHeading">
    <w:name w:val="TOC Heading"/>
    <w:basedOn w:val="Heading1"/>
    <w:next w:val="Normal"/>
    <w:uiPriority w:val="39"/>
    <w:unhideWhenUsed/>
    <w:qFormat/>
    <w:rsid w:val="00A45D92"/>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A45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D92"/>
  </w:style>
  <w:style w:type="paragraph" w:styleId="Footer">
    <w:name w:val="footer"/>
    <w:basedOn w:val="Normal"/>
    <w:link w:val="FooterChar"/>
    <w:uiPriority w:val="99"/>
    <w:unhideWhenUsed/>
    <w:rsid w:val="00A45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D92"/>
  </w:style>
  <w:style w:type="paragraph" w:styleId="TOC1">
    <w:name w:val="toc 1"/>
    <w:basedOn w:val="Normal"/>
    <w:next w:val="Normal"/>
    <w:autoRedefine/>
    <w:uiPriority w:val="39"/>
    <w:unhideWhenUsed/>
    <w:rsid w:val="00A45D92"/>
    <w:pPr>
      <w:spacing w:after="100"/>
    </w:pPr>
  </w:style>
  <w:style w:type="paragraph" w:styleId="TOC2">
    <w:name w:val="toc 2"/>
    <w:basedOn w:val="Normal"/>
    <w:next w:val="Normal"/>
    <w:autoRedefine/>
    <w:uiPriority w:val="39"/>
    <w:unhideWhenUsed/>
    <w:rsid w:val="00A45D92"/>
    <w:pPr>
      <w:spacing w:after="100"/>
      <w:ind w:left="220"/>
    </w:pPr>
  </w:style>
  <w:style w:type="paragraph" w:styleId="TOC3">
    <w:name w:val="toc 3"/>
    <w:basedOn w:val="Normal"/>
    <w:next w:val="Normal"/>
    <w:autoRedefine/>
    <w:uiPriority w:val="39"/>
    <w:unhideWhenUsed/>
    <w:rsid w:val="007475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hambers.com" TargetMode="External"/><Relationship Id="rId18" Type="http://schemas.openxmlformats.org/officeDocument/2006/relationships/hyperlink" Target="https://www.ibef.org/industry/electric-vehicle?utm_source=chatgpt.com" TargetMode="External"/><Relationship Id="rId26" Type="http://schemas.openxmlformats.org/officeDocument/2006/relationships/hyperlink" Target="https://www.equentis.com/blog/teslas-grand-entry-into-india-paving-the-way-for-an-electric-future/?utm_source=chatgpt.com" TargetMode="External"/><Relationship Id="rId3" Type="http://schemas.openxmlformats.org/officeDocument/2006/relationships/styles" Target="styles.xml"/><Relationship Id="rId21" Type="http://schemas.openxmlformats.org/officeDocument/2006/relationships/hyperlink" Target="https://niti.gov.i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iea.org" TargetMode="External"/><Relationship Id="rId25" Type="http://schemas.openxmlformats.org/officeDocument/2006/relationships/hyperlink" Target="https://timesofindia.indiatimes.com" TargetMode="External"/><Relationship Id="rId2" Type="http://schemas.openxmlformats.org/officeDocument/2006/relationships/numbering" Target="numbering.xml"/><Relationship Id="rId16" Type="http://schemas.openxmlformats.org/officeDocument/2006/relationships/hyperlink" Target="https://theicct.org" TargetMode="External"/><Relationship Id="rId20" Type="http://schemas.openxmlformats.org/officeDocument/2006/relationships/hyperlink" Target="https://pib.gov.i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la.com" TargetMode="External"/><Relationship Id="rId5" Type="http://schemas.openxmlformats.org/officeDocument/2006/relationships/webSettings" Target="webSettings.xml"/><Relationship Id="rId15" Type="http://schemas.openxmlformats.org/officeDocument/2006/relationships/hyperlink" Target="https://www.globalbrandsmagazine.com" TargetMode="External"/><Relationship Id="rId23" Type="http://schemas.openxmlformats.org/officeDocument/2006/relationships/hyperlink" Target="https://www.sec.gov"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heavyindustries.gov.i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vmagazine.com" TargetMode="External"/><Relationship Id="rId22" Type="http://schemas.openxmlformats.org/officeDocument/2006/relationships/hyperlink" Target="https://www.reuters.com"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FE5D9-027B-4A8C-B5BD-F6BAD0D16D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TotalTime>
  <Pages>22</Pages>
  <Words>5679</Words>
  <Characters>35619</Characters>
  <Application>Microsoft Office Word</Application>
  <DocSecurity>0</DocSecurity>
  <Lines>709</Lines>
  <Paragraphs>287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41062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laharika gadde</dc:creator>
  <cp:keywords/>
  <dc:description/>
  <cp:lastModifiedBy>KOTHWAL, RUTHVIK REDDY (Student)</cp:lastModifiedBy>
  <cp:revision>7</cp:revision>
  <dcterms:created xsi:type="dcterms:W3CDTF">2025-11-20T17:43:00Z</dcterms:created>
  <dcterms:modified xsi:type="dcterms:W3CDTF">2025-11-20T23:25:00Z</dcterms:modified>
  <cp:category/>
</cp:coreProperties>
</file>