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14:paraId="61A75DA4" w14:textId="6739804A" w:rsidR="00583709" w:rsidRPr="003D668E" w:rsidRDefault="00F867C0">
      <w:pPr>
        <w:spacing w:after="165" w:line="360" w:lineRule="auto"/>
        <w:jc w:val="center"/>
        <w:rPr>
          <w:rFonts w:ascii="Tahoma" w:eastAsia="Tahoma" w:hAnsi="Tahoma" w:cs="Tahoma"/>
          <w:color w:val="000000"/>
          <w:sz w:val="24"/>
          <w:szCs w:val="24"/>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610CCF4C" w:rsidR="00583709" w:rsidRDefault="00B57D67">
            <w:pPr>
              <w:spacing w:before="120" w:after="120" w:line="360" w:lineRule="auto"/>
              <w:rPr>
                <w:rFonts w:ascii="Tahoma" w:eastAsia="Tahoma" w:hAnsi="Tahoma" w:cs="Tahoma"/>
                <w:sz w:val="32"/>
                <w:szCs w:val="32"/>
              </w:rPr>
            </w:pPr>
            <w:r>
              <w:rPr>
                <w:rFonts w:ascii="Tahoma" w:eastAsia="Tahoma" w:hAnsi="Tahoma" w:cs="Tahoma"/>
                <w:sz w:val="32"/>
                <w:szCs w:val="32"/>
              </w:rPr>
              <w:t xml:space="preserve">Lina Sultana </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42C4757B" w:rsidR="00583709" w:rsidRDefault="00B57D67">
            <w:pPr>
              <w:spacing w:before="120" w:after="120" w:line="360" w:lineRule="auto"/>
              <w:rPr>
                <w:rFonts w:ascii="Tahoma" w:eastAsia="Tahoma" w:hAnsi="Tahoma" w:cs="Tahoma"/>
                <w:sz w:val="32"/>
                <w:szCs w:val="32"/>
              </w:rPr>
            </w:pPr>
            <w:r>
              <w:rPr>
                <w:rFonts w:ascii="Tahoma" w:eastAsia="Tahoma" w:hAnsi="Tahoma" w:cs="Tahoma"/>
                <w:sz w:val="32"/>
                <w:szCs w:val="32"/>
              </w:rPr>
              <w:t>2210168</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4C09BCC3" w:rsidR="00583709" w:rsidRPr="00B57D67" w:rsidRDefault="00742C36">
            <w:pPr>
              <w:spacing w:before="120" w:after="120" w:line="360" w:lineRule="auto"/>
              <w:rPr>
                <w:rFonts w:ascii="Tahoma" w:eastAsia="Tahoma" w:hAnsi="Tahoma" w:cs="Tahoma"/>
                <w:color w:val="000000" w:themeColor="text1"/>
                <w:sz w:val="32"/>
                <w:szCs w:val="32"/>
              </w:rPr>
            </w:pPr>
            <w:proofErr w:type="spellStart"/>
            <w:r>
              <w:rPr>
                <w:rFonts w:ascii="Tahoma" w:eastAsia="Tahoma" w:hAnsi="Tahoma" w:cs="Tahoma"/>
                <w:color w:val="000000" w:themeColor="text1"/>
                <w:sz w:val="32"/>
                <w:szCs w:val="32"/>
              </w:rPr>
              <w:t>BMSK5012</w:t>
            </w:r>
            <w:proofErr w:type="spellEnd"/>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4C04D742" w:rsidR="00583709" w:rsidRPr="00B57D67" w:rsidRDefault="00742C36">
            <w:pPr>
              <w:spacing w:before="120" w:after="120" w:line="360" w:lineRule="auto"/>
              <w:rPr>
                <w:rFonts w:ascii="Tahoma" w:eastAsia="Tahoma" w:hAnsi="Tahoma" w:cs="Tahoma"/>
                <w:color w:val="000000" w:themeColor="text1"/>
                <w:sz w:val="32"/>
                <w:szCs w:val="32"/>
              </w:rPr>
            </w:pPr>
            <w:r w:rsidRPr="00742C36">
              <w:rPr>
                <w:rFonts w:ascii="Tahoma" w:eastAsia="Tahoma" w:hAnsi="Tahoma" w:cs="Tahoma"/>
                <w:color w:val="000000" w:themeColor="text1"/>
                <w:sz w:val="32"/>
                <w:szCs w:val="32"/>
              </w:rPr>
              <w:t>Understanding &amp; Engaging in the Customer Experience</w:t>
            </w:r>
          </w:p>
        </w:tc>
      </w:tr>
    </w:tbl>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id w:val="-2053372548"/>
        <w:docPartObj>
          <w:docPartGallery w:val="Table of Contents"/>
          <w:docPartUnique/>
        </w:docPartObj>
      </w:sdtPr>
      <w:sdtContent>
        <w:p w14:paraId="547D20F6" w14:textId="44EC295A" w:rsidR="000C3EAC" w:rsidRDefault="008312FD">
          <w:pPr>
            <w:pStyle w:val="TOC1"/>
            <w:tabs>
              <w:tab w:val="right" w:pos="9350"/>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\h \u \z </w:instrText>
          </w:r>
          <w:r>
            <w:fldChar w:fldCharType="separate"/>
          </w:r>
          <w:hyperlink w:anchor="_Toc171005103" w:history="1">
            <w:r w:rsidR="000C3EAC" w:rsidRPr="006236D6">
              <w:rPr>
                <w:rStyle w:val="Hyperlink"/>
                <w:rFonts w:asciiTheme="majorHAnsi" w:hAnsiTheme="majorHAnsi" w:cstheme="majorHAnsi"/>
                <w:noProof/>
              </w:rPr>
              <w:t>INTRODUCTION</w:t>
            </w:r>
            <w:r w:rsidR="000C3EAC">
              <w:rPr>
                <w:noProof/>
                <w:webHidden/>
              </w:rPr>
              <w:tab/>
            </w:r>
            <w:r w:rsidR="000C3EAC">
              <w:rPr>
                <w:noProof/>
                <w:webHidden/>
              </w:rPr>
              <w:fldChar w:fldCharType="begin"/>
            </w:r>
            <w:r w:rsidR="000C3EAC">
              <w:rPr>
                <w:noProof/>
                <w:webHidden/>
              </w:rPr>
              <w:instrText xml:space="preserve"> PAGEREF _Toc171005103 \h </w:instrText>
            </w:r>
            <w:r w:rsidR="000C3EAC">
              <w:rPr>
                <w:noProof/>
                <w:webHidden/>
              </w:rPr>
            </w:r>
            <w:r w:rsidR="000C3EAC">
              <w:rPr>
                <w:noProof/>
                <w:webHidden/>
              </w:rPr>
              <w:fldChar w:fldCharType="separate"/>
            </w:r>
            <w:r w:rsidR="000C3EAC">
              <w:rPr>
                <w:noProof/>
                <w:webHidden/>
              </w:rPr>
              <w:t>3</w:t>
            </w:r>
            <w:r w:rsidR="000C3EAC">
              <w:rPr>
                <w:noProof/>
                <w:webHidden/>
              </w:rPr>
              <w:fldChar w:fldCharType="end"/>
            </w:r>
          </w:hyperlink>
        </w:p>
        <w:p w14:paraId="5F665974" w14:textId="493EB64F" w:rsidR="000C3EAC" w:rsidRDefault="000C3EAC">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71005104" w:history="1">
            <w:r w:rsidRPr="006236D6">
              <w:rPr>
                <w:rStyle w:val="Hyperlink"/>
                <w:rFonts w:cs="Times New Roman"/>
                <w:noProof/>
              </w:rPr>
              <w:t>CRITICALLY ANALYSE THE FACTORS THAT IMPACT ON NHS HUMAN RESOURCES’ ABILITY TO MAXIMISE CUSTOMER VALUE</w:t>
            </w:r>
            <w:r>
              <w:rPr>
                <w:noProof/>
                <w:webHidden/>
              </w:rPr>
              <w:tab/>
            </w:r>
            <w:r>
              <w:rPr>
                <w:noProof/>
                <w:webHidden/>
              </w:rPr>
              <w:fldChar w:fldCharType="begin"/>
            </w:r>
            <w:r>
              <w:rPr>
                <w:noProof/>
                <w:webHidden/>
              </w:rPr>
              <w:instrText xml:space="preserve"> PAGEREF _Toc171005104 \h </w:instrText>
            </w:r>
            <w:r>
              <w:rPr>
                <w:noProof/>
                <w:webHidden/>
              </w:rPr>
            </w:r>
            <w:r>
              <w:rPr>
                <w:noProof/>
                <w:webHidden/>
              </w:rPr>
              <w:fldChar w:fldCharType="separate"/>
            </w:r>
            <w:r>
              <w:rPr>
                <w:noProof/>
                <w:webHidden/>
              </w:rPr>
              <w:t>3</w:t>
            </w:r>
            <w:r>
              <w:rPr>
                <w:noProof/>
                <w:webHidden/>
              </w:rPr>
              <w:fldChar w:fldCharType="end"/>
            </w:r>
          </w:hyperlink>
        </w:p>
        <w:p w14:paraId="74829A0B" w14:textId="3FE4698D" w:rsidR="000C3EAC" w:rsidRDefault="000C3EAC">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71005105" w:history="1">
            <w:r w:rsidRPr="006236D6">
              <w:rPr>
                <w:rStyle w:val="Hyperlink"/>
                <w:rFonts w:cs="Times New Roman"/>
                <w:noProof/>
              </w:rPr>
              <w:t>What is criticality?</w:t>
            </w:r>
            <w:r>
              <w:rPr>
                <w:noProof/>
                <w:webHidden/>
              </w:rPr>
              <w:tab/>
            </w:r>
            <w:r>
              <w:rPr>
                <w:noProof/>
                <w:webHidden/>
              </w:rPr>
              <w:fldChar w:fldCharType="begin"/>
            </w:r>
            <w:r>
              <w:rPr>
                <w:noProof/>
                <w:webHidden/>
              </w:rPr>
              <w:instrText xml:space="preserve"> PAGEREF _Toc171005105 \h </w:instrText>
            </w:r>
            <w:r>
              <w:rPr>
                <w:noProof/>
                <w:webHidden/>
              </w:rPr>
            </w:r>
            <w:r>
              <w:rPr>
                <w:noProof/>
                <w:webHidden/>
              </w:rPr>
              <w:fldChar w:fldCharType="separate"/>
            </w:r>
            <w:r>
              <w:rPr>
                <w:noProof/>
                <w:webHidden/>
              </w:rPr>
              <w:t>3</w:t>
            </w:r>
            <w:r>
              <w:rPr>
                <w:noProof/>
                <w:webHidden/>
              </w:rPr>
              <w:fldChar w:fldCharType="end"/>
            </w:r>
          </w:hyperlink>
        </w:p>
        <w:p w14:paraId="515C8F35" w14:textId="39544605" w:rsidR="000C3EAC" w:rsidRDefault="000C3EAC">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71005106" w:history="1">
            <w:r w:rsidRPr="006236D6">
              <w:rPr>
                <w:rStyle w:val="Hyperlink"/>
                <w:rFonts w:cs="Times New Roman"/>
                <w:noProof/>
              </w:rPr>
              <w:t>Factors</w:t>
            </w:r>
            <w:r>
              <w:rPr>
                <w:noProof/>
                <w:webHidden/>
              </w:rPr>
              <w:tab/>
            </w:r>
            <w:r>
              <w:rPr>
                <w:noProof/>
                <w:webHidden/>
              </w:rPr>
              <w:fldChar w:fldCharType="begin"/>
            </w:r>
            <w:r>
              <w:rPr>
                <w:noProof/>
                <w:webHidden/>
              </w:rPr>
              <w:instrText xml:space="preserve"> PAGEREF _Toc171005106 \h </w:instrText>
            </w:r>
            <w:r>
              <w:rPr>
                <w:noProof/>
                <w:webHidden/>
              </w:rPr>
            </w:r>
            <w:r>
              <w:rPr>
                <w:noProof/>
                <w:webHidden/>
              </w:rPr>
              <w:fldChar w:fldCharType="separate"/>
            </w:r>
            <w:r>
              <w:rPr>
                <w:noProof/>
                <w:webHidden/>
              </w:rPr>
              <w:t>4</w:t>
            </w:r>
            <w:r>
              <w:rPr>
                <w:noProof/>
                <w:webHidden/>
              </w:rPr>
              <w:fldChar w:fldCharType="end"/>
            </w:r>
          </w:hyperlink>
        </w:p>
        <w:p w14:paraId="66EEBDCB" w14:textId="3DA581C6" w:rsidR="000C3EAC" w:rsidRDefault="000C3EAC">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71005107" w:history="1">
            <w:r w:rsidRPr="006236D6">
              <w:rPr>
                <w:rStyle w:val="Hyperlink"/>
                <w:rFonts w:cs="Times New Roman"/>
                <w:noProof/>
              </w:rPr>
              <w:t>What maximises customer value?</w:t>
            </w:r>
            <w:r>
              <w:rPr>
                <w:noProof/>
                <w:webHidden/>
              </w:rPr>
              <w:tab/>
            </w:r>
            <w:r>
              <w:rPr>
                <w:noProof/>
                <w:webHidden/>
              </w:rPr>
              <w:fldChar w:fldCharType="begin"/>
            </w:r>
            <w:r>
              <w:rPr>
                <w:noProof/>
                <w:webHidden/>
              </w:rPr>
              <w:instrText xml:space="preserve"> PAGEREF _Toc171005107 \h </w:instrText>
            </w:r>
            <w:r>
              <w:rPr>
                <w:noProof/>
                <w:webHidden/>
              </w:rPr>
            </w:r>
            <w:r>
              <w:rPr>
                <w:noProof/>
                <w:webHidden/>
              </w:rPr>
              <w:fldChar w:fldCharType="separate"/>
            </w:r>
            <w:r>
              <w:rPr>
                <w:noProof/>
                <w:webHidden/>
              </w:rPr>
              <w:t>8</w:t>
            </w:r>
            <w:r>
              <w:rPr>
                <w:noProof/>
                <w:webHidden/>
              </w:rPr>
              <w:fldChar w:fldCharType="end"/>
            </w:r>
          </w:hyperlink>
        </w:p>
        <w:p w14:paraId="6FF3F0E8" w14:textId="1DD73EF0" w:rsidR="000C3EAC" w:rsidRDefault="000C3EAC">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71005108" w:history="1">
            <w:r w:rsidRPr="006236D6">
              <w:rPr>
                <w:rStyle w:val="Hyperlink"/>
                <w:rFonts w:cs="Times New Roman"/>
                <w:noProof/>
              </w:rPr>
              <w:t>What is customer value? Who said?</w:t>
            </w:r>
            <w:r>
              <w:rPr>
                <w:noProof/>
                <w:webHidden/>
              </w:rPr>
              <w:tab/>
            </w:r>
            <w:r>
              <w:rPr>
                <w:noProof/>
                <w:webHidden/>
              </w:rPr>
              <w:fldChar w:fldCharType="begin"/>
            </w:r>
            <w:r>
              <w:rPr>
                <w:noProof/>
                <w:webHidden/>
              </w:rPr>
              <w:instrText xml:space="preserve"> PAGEREF _Toc171005108 \h </w:instrText>
            </w:r>
            <w:r>
              <w:rPr>
                <w:noProof/>
                <w:webHidden/>
              </w:rPr>
            </w:r>
            <w:r>
              <w:rPr>
                <w:noProof/>
                <w:webHidden/>
              </w:rPr>
              <w:fldChar w:fldCharType="separate"/>
            </w:r>
            <w:r>
              <w:rPr>
                <w:noProof/>
                <w:webHidden/>
              </w:rPr>
              <w:t>9</w:t>
            </w:r>
            <w:r>
              <w:rPr>
                <w:noProof/>
                <w:webHidden/>
              </w:rPr>
              <w:fldChar w:fldCharType="end"/>
            </w:r>
          </w:hyperlink>
        </w:p>
        <w:p w14:paraId="7C6DDE27" w14:textId="53E33D45" w:rsidR="000C3EAC" w:rsidRDefault="000C3EAC">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71005109" w:history="1">
            <w:r w:rsidRPr="006236D6">
              <w:rPr>
                <w:rStyle w:val="Hyperlink"/>
                <w:rFonts w:cs="Times New Roman"/>
                <w:noProof/>
              </w:rPr>
              <w:t>Where does your own organisation fit in?</w:t>
            </w:r>
            <w:r>
              <w:rPr>
                <w:noProof/>
                <w:webHidden/>
              </w:rPr>
              <w:tab/>
            </w:r>
            <w:r>
              <w:rPr>
                <w:noProof/>
                <w:webHidden/>
              </w:rPr>
              <w:fldChar w:fldCharType="begin"/>
            </w:r>
            <w:r>
              <w:rPr>
                <w:noProof/>
                <w:webHidden/>
              </w:rPr>
              <w:instrText xml:space="preserve"> PAGEREF _Toc171005109 \h </w:instrText>
            </w:r>
            <w:r>
              <w:rPr>
                <w:noProof/>
                <w:webHidden/>
              </w:rPr>
            </w:r>
            <w:r>
              <w:rPr>
                <w:noProof/>
                <w:webHidden/>
              </w:rPr>
              <w:fldChar w:fldCharType="separate"/>
            </w:r>
            <w:r>
              <w:rPr>
                <w:noProof/>
                <w:webHidden/>
              </w:rPr>
              <w:t>13</w:t>
            </w:r>
            <w:r>
              <w:rPr>
                <w:noProof/>
                <w:webHidden/>
              </w:rPr>
              <w:fldChar w:fldCharType="end"/>
            </w:r>
          </w:hyperlink>
        </w:p>
        <w:p w14:paraId="1DF07156" w14:textId="6012D386" w:rsidR="000C3EAC" w:rsidRDefault="000C3EAC">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71005110" w:history="1">
            <w:r w:rsidRPr="006236D6">
              <w:rPr>
                <w:rStyle w:val="Hyperlink"/>
                <w:rFonts w:cs="Times New Roman"/>
                <w:noProof/>
              </w:rPr>
              <w:t>DEMONSTRATE CRITICAL UNDERSTANDING OF ORGANISATIONS QUALITY PROCESSES AND ITS EFFECTIVENESS IN MEETING CUSTOMER REQUIREMENTS</w:t>
            </w:r>
            <w:r>
              <w:rPr>
                <w:noProof/>
                <w:webHidden/>
              </w:rPr>
              <w:tab/>
            </w:r>
            <w:r>
              <w:rPr>
                <w:noProof/>
                <w:webHidden/>
              </w:rPr>
              <w:fldChar w:fldCharType="begin"/>
            </w:r>
            <w:r>
              <w:rPr>
                <w:noProof/>
                <w:webHidden/>
              </w:rPr>
              <w:instrText xml:space="preserve"> PAGEREF _Toc171005110 \h </w:instrText>
            </w:r>
            <w:r>
              <w:rPr>
                <w:noProof/>
                <w:webHidden/>
              </w:rPr>
            </w:r>
            <w:r>
              <w:rPr>
                <w:noProof/>
                <w:webHidden/>
              </w:rPr>
              <w:fldChar w:fldCharType="separate"/>
            </w:r>
            <w:r>
              <w:rPr>
                <w:noProof/>
                <w:webHidden/>
              </w:rPr>
              <w:t>15</w:t>
            </w:r>
            <w:r>
              <w:rPr>
                <w:noProof/>
                <w:webHidden/>
              </w:rPr>
              <w:fldChar w:fldCharType="end"/>
            </w:r>
          </w:hyperlink>
        </w:p>
        <w:p w14:paraId="2C38AAC3" w14:textId="0AA27BB0" w:rsidR="000C3EAC" w:rsidRDefault="000C3EAC">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71005111" w:history="1">
            <w:r w:rsidRPr="006236D6">
              <w:rPr>
                <w:rStyle w:val="Hyperlink"/>
                <w:rFonts w:cs="Times New Roman"/>
                <w:noProof/>
              </w:rPr>
              <w:t>What is critical understanding?</w:t>
            </w:r>
            <w:r>
              <w:rPr>
                <w:noProof/>
                <w:webHidden/>
              </w:rPr>
              <w:tab/>
            </w:r>
            <w:r>
              <w:rPr>
                <w:noProof/>
                <w:webHidden/>
              </w:rPr>
              <w:fldChar w:fldCharType="begin"/>
            </w:r>
            <w:r>
              <w:rPr>
                <w:noProof/>
                <w:webHidden/>
              </w:rPr>
              <w:instrText xml:space="preserve"> PAGEREF _Toc171005111 \h </w:instrText>
            </w:r>
            <w:r>
              <w:rPr>
                <w:noProof/>
                <w:webHidden/>
              </w:rPr>
            </w:r>
            <w:r>
              <w:rPr>
                <w:noProof/>
                <w:webHidden/>
              </w:rPr>
              <w:fldChar w:fldCharType="separate"/>
            </w:r>
            <w:r>
              <w:rPr>
                <w:noProof/>
                <w:webHidden/>
              </w:rPr>
              <w:t>15</w:t>
            </w:r>
            <w:r>
              <w:rPr>
                <w:noProof/>
                <w:webHidden/>
              </w:rPr>
              <w:fldChar w:fldCharType="end"/>
            </w:r>
          </w:hyperlink>
        </w:p>
        <w:p w14:paraId="14FBCF5D" w14:textId="6FF780EC" w:rsidR="000C3EAC" w:rsidRDefault="000C3EAC">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71005112" w:history="1">
            <w:r w:rsidRPr="006236D6">
              <w:rPr>
                <w:rStyle w:val="Hyperlink"/>
                <w:rFonts w:asciiTheme="majorHAnsi" w:hAnsiTheme="majorHAnsi" w:cstheme="majorHAnsi"/>
                <w:noProof/>
              </w:rPr>
              <w:t>CONCLUSION</w:t>
            </w:r>
            <w:r>
              <w:rPr>
                <w:noProof/>
                <w:webHidden/>
              </w:rPr>
              <w:tab/>
            </w:r>
            <w:r>
              <w:rPr>
                <w:noProof/>
                <w:webHidden/>
              </w:rPr>
              <w:fldChar w:fldCharType="begin"/>
            </w:r>
            <w:r>
              <w:rPr>
                <w:noProof/>
                <w:webHidden/>
              </w:rPr>
              <w:instrText xml:space="preserve"> PAGEREF _Toc171005112 \h </w:instrText>
            </w:r>
            <w:r>
              <w:rPr>
                <w:noProof/>
                <w:webHidden/>
              </w:rPr>
            </w:r>
            <w:r>
              <w:rPr>
                <w:noProof/>
                <w:webHidden/>
              </w:rPr>
              <w:fldChar w:fldCharType="separate"/>
            </w:r>
            <w:r>
              <w:rPr>
                <w:noProof/>
                <w:webHidden/>
              </w:rPr>
              <w:t>21</w:t>
            </w:r>
            <w:r>
              <w:rPr>
                <w:noProof/>
                <w:webHidden/>
              </w:rPr>
              <w:fldChar w:fldCharType="end"/>
            </w:r>
          </w:hyperlink>
        </w:p>
        <w:p w14:paraId="1B4ED211" w14:textId="441BC945" w:rsidR="000C3EAC" w:rsidRDefault="000C3EAC">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71005113" w:history="1">
            <w:r w:rsidRPr="006236D6">
              <w:rPr>
                <w:rStyle w:val="Hyperlink"/>
                <w:rFonts w:asciiTheme="majorHAnsi" w:hAnsiTheme="majorHAnsi" w:cstheme="majorHAnsi"/>
                <w:noProof/>
              </w:rPr>
              <w:t>REFERENCES</w:t>
            </w:r>
            <w:r>
              <w:rPr>
                <w:noProof/>
                <w:webHidden/>
              </w:rPr>
              <w:tab/>
            </w:r>
            <w:r>
              <w:rPr>
                <w:noProof/>
                <w:webHidden/>
              </w:rPr>
              <w:fldChar w:fldCharType="begin"/>
            </w:r>
            <w:r>
              <w:rPr>
                <w:noProof/>
                <w:webHidden/>
              </w:rPr>
              <w:instrText xml:space="preserve"> PAGEREF _Toc171005113 \h </w:instrText>
            </w:r>
            <w:r>
              <w:rPr>
                <w:noProof/>
                <w:webHidden/>
              </w:rPr>
            </w:r>
            <w:r>
              <w:rPr>
                <w:noProof/>
                <w:webHidden/>
              </w:rPr>
              <w:fldChar w:fldCharType="separate"/>
            </w:r>
            <w:r>
              <w:rPr>
                <w:noProof/>
                <w:webHidden/>
              </w:rPr>
              <w:t>22</w:t>
            </w:r>
            <w:r>
              <w:rPr>
                <w:noProof/>
                <w:webHidden/>
              </w:rPr>
              <w:fldChar w:fldCharType="end"/>
            </w:r>
          </w:hyperlink>
        </w:p>
        <w:p w14:paraId="2BF66C93" w14:textId="39DDA141" w:rsidR="00583709" w:rsidRDefault="008312FD">
          <w:pPr>
            <w:rPr>
              <w:rFonts w:ascii="Arial" w:eastAsia="Arial" w:hAnsi="Arial" w:cs="Arial"/>
            </w:rPr>
          </w:pPr>
          <w: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77777777" w:rsidR="00583709" w:rsidRDefault="008312FD">
      <w:r>
        <w:br w:type="page"/>
      </w:r>
    </w:p>
    <w:p w14:paraId="153553B2" w14:textId="441B9B9B" w:rsidR="00583709" w:rsidRPr="00443945" w:rsidRDefault="0075147D" w:rsidP="00974EB7">
      <w:pPr>
        <w:pStyle w:val="Heading1"/>
        <w:jc w:val="both"/>
        <w:rPr>
          <w:rFonts w:asciiTheme="majorHAnsi" w:hAnsiTheme="majorHAnsi" w:cstheme="majorHAnsi"/>
        </w:rPr>
      </w:pPr>
      <w:bookmarkStart w:id="0" w:name="_1ci93xb" w:colFirst="0" w:colLast="0"/>
      <w:bookmarkStart w:id="1" w:name="_Toc171005103"/>
      <w:bookmarkEnd w:id="0"/>
      <w:r w:rsidRPr="00443945">
        <w:rPr>
          <w:rFonts w:asciiTheme="majorHAnsi" w:hAnsiTheme="majorHAnsi" w:cstheme="majorHAnsi"/>
        </w:rPr>
        <w:lastRenderedPageBreak/>
        <w:t>INTRODUCTION</w:t>
      </w:r>
      <w:bookmarkEnd w:id="1"/>
    </w:p>
    <w:p w14:paraId="48894541" w14:textId="77777777" w:rsidR="000B1BCA" w:rsidRDefault="000B1BCA" w:rsidP="000B1BCA"/>
    <w:p w14:paraId="1DA279CF" w14:textId="3FD40ED4" w:rsidR="000B1BCA" w:rsidRPr="0075147D" w:rsidRDefault="000B1BCA" w:rsidP="000B1BCA">
      <w:pPr>
        <w:spacing w:line="480" w:lineRule="auto"/>
        <w:jc w:val="both"/>
        <w:rPr>
          <w:rFonts w:asciiTheme="majorHAnsi" w:hAnsiTheme="majorHAnsi" w:cstheme="majorHAnsi"/>
        </w:rPr>
      </w:pPr>
      <w:r w:rsidRPr="0075147D">
        <w:rPr>
          <w:rFonts w:asciiTheme="majorHAnsi" w:hAnsiTheme="majorHAnsi" w:cstheme="majorHAnsi"/>
        </w:rPr>
        <w:t xml:space="preserve">The NHS, one of the world's biggest employers, employs support workers, administrative professionals, clinical experts, and managers. The National Health Service (NHS) cannot fulfil its aims or provide excellent treatment without effective human resource management. This assignment covers numerous essential NHS human resource initiatives. These include customer experience (employee experience), HR effectiveness, quality procedures, and internal customer group HR requirements. This assignment will assess NHS human resource practises and suggest improvements based on reputable sources and contemporary research. I will look at what is criticality and what are the factors. By the end of this </w:t>
      </w:r>
      <w:r w:rsidR="0075147D" w:rsidRPr="0075147D">
        <w:rPr>
          <w:rFonts w:asciiTheme="majorHAnsi" w:hAnsiTheme="majorHAnsi" w:cstheme="majorHAnsi"/>
        </w:rPr>
        <w:t>assignment,</w:t>
      </w:r>
      <w:r w:rsidRPr="0075147D">
        <w:rPr>
          <w:rFonts w:asciiTheme="majorHAnsi" w:hAnsiTheme="majorHAnsi" w:cstheme="majorHAnsi"/>
        </w:rPr>
        <w:t xml:space="preserve"> you will have a good understanding of my </w:t>
      </w:r>
      <w:r w:rsidR="00163F0B" w:rsidRPr="0075147D">
        <w:rPr>
          <w:rFonts w:asciiTheme="majorHAnsi" w:hAnsiTheme="majorHAnsi" w:cstheme="majorHAnsi"/>
        </w:rPr>
        <w:t>organisation’s</w:t>
      </w:r>
      <w:r w:rsidRPr="0075147D">
        <w:rPr>
          <w:rFonts w:asciiTheme="majorHAnsi" w:hAnsiTheme="majorHAnsi" w:cstheme="majorHAnsi"/>
        </w:rPr>
        <w:t xml:space="preserve"> quality processes and its effectiveness in meeting customer requirements.  </w:t>
      </w:r>
    </w:p>
    <w:p w14:paraId="278D9A7E" w14:textId="21454CF6" w:rsidR="00622390" w:rsidRDefault="00443945" w:rsidP="0042275E">
      <w:pPr>
        <w:pStyle w:val="Heading1"/>
        <w:spacing w:line="480" w:lineRule="auto"/>
        <w:rPr>
          <w:rFonts w:cs="Times New Roman"/>
          <w:szCs w:val="24"/>
        </w:rPr>
      </w:pPr>
      <w:bookmarkStart w:id="2" w:name="_Toc170762108"/>
      <w:bookmarkStart w:id="3" w:name="_Toc171005104"/>
      <w:r w:rsidRPr="004E4FEC">
        <w:rPr>
          <w:rFonts w:cs="Times New Roman"/>
          <w:szCs w:val="24"/>
        </w:rPr>
        <w:t>CRITICALLY ANALYSE THE FACTORS THAT IMPACT ON NHS HUMAN</w:t>
      </w:r>
      <w:r w:rsidR="0042275E">
        <w:rPr>
          <w:rFonts w:cs="Times New Roman"/>
          <w:szCs w:val="24"/>
        </w:rPr>
        <w:t xml:space="preserve"> </w:t>
      </w:r>
      <w:r w:rsidRPr="004E4FEC">
        <w:rPr>
          <w:rFonts w:cs="Times New Roman"/>
          <w:szCs w:val="24"/>
        </w:rPr>
        <w:t>RESOURCES’ ABILITY TO MAXIMISE CUSTOMER VALUE</w:t>
      </w:r>
      <w:bookmarkEnd w:id="2"/>
      <w:bookmarkEnd w:id="3"/>
      <w:r>
        <w:rPr>
          <w:rFonts w:cs="Times New Roman"/>
          <w:szCs w:val="24"/>
        </w:rPr>
        <w:t xml:space="preserve"> </w:t>
      </w:r>
    </w:p>
    <w:p w14:paraId="3D47D84F" w14:textId="77777777" w:rsidR="00622390" w:rsidRPr="004E4FEC" w:rsidRDefault="00622390" w:rsidP="00622390">
      <w:pPr>
        <w:pStyle w:val="Heading2"/>
        <w:spacing w:line="480" w:lineRule="auto"/>
        <w:jc w:val="both"/>
        <w:rPr>
          <w:rFonts w:cs="Times New Roman"/>
          <w:szCs w:val="24"/>
        </w:rPr>
      </w:pPr>
      <w:bookmarkStart w:id="4" w:name="_Toc170762109"/>
      <w:bookmarkStart w:id="5" w:name="_Toc171005105"/>
      <w:r w:rsidRPr="004E4FEC">
        <w:rPr>
          <w:rFonts w:cs="Times New Roman"/>
          <w:szCs w:val="24"/>
        </w:rPr>
        <w:t>What is criticality?</w:t>
      </w:r>
      <w:bookmarkEnd w:id="4"/>
      <w:bookmarkEnd w:id="5"/>
    </w:p>
    <w:p w14:paraId="3E9FA6D1" w14:textId="1702864A" w:rsidR="00622390" w:rsidRPr="00734156" w:rsidRDefault="00622390" w:rsidP="00622390">
      <w:pPr>
        <w:spacing w:line="480" w:lineRule="auto"/>
        <w:jc w:val="both"/>
        <w:rPr>
          <w:rFonts w:asciiTheme="majorHAnsi" w:hAnsiTheme="majorHAnsi" w:cstheme="majorHAnsi"/>
        </w:rPr>
      </w:pPr>
      <w:r w:rsidRPr="00734156">
        <w:rPr>
          <w:rFonts w:asciiTheme="majorHAnsi" w:hAnsiTheme="majorHAnsi" w:cstheme="majorHAnsi"/>
        </w:rPr>
        <w:t>In NHS human resources, "criticality" is identifying and prioritising the most essential procedures and components that substantially impact worker satisfaction, productivity, and value. Improve human resources operations to offer high-quality healthcare services, as they affect business performance and employee experience in the National Health Service (Aggarwal et al., 2023). In NHS</w:t>
      </w:r>
      <w:r w:rsidR="00884399">
        <w:rPr>
          <w:rFonts w:asciiTheme="majorHAnsi" w:hAnsiTheme="majorHAnsi" w:cstheme="majorHAnsi"/>
        </w:rPr>
        <w:t>,</w:t>
      </w:r>
      <w:r w:rsidRPr="00734156">
        <w:rPr>
          <w:rFonts w:asciiTheme="majorHAnsi" w:hAnsiTheme="majorHAnsi" w:cstheme="majorHAnsi"/>
        </w:rPr>
        <w:t xml:space="preserve"> HR department are critical for managing staff recruitment, training, performance and well-being to </w:t>
      </w:r>
      <w:r w:rsidR="00F811F5" w:rsidRPr="00734156">
        <w:rPr>
          <w:rFonts w:asciiTheme="majorHAnsi" w:hAnsiTheme="majorHAnsi" w:cstheme="majorHAnsi"/>
        </w:rPr>
        <w:t>ensure</w:t>
      </w:r>
      <w:r w:rsidRPr="00734156">
        <w:rPr>
          <w:rFonts w:asciiTheme="majorHAnsi" w:hAnsiTheme="majorHAnsi" w:cstheme="majorHAnsi"/>
        </w:rPr>
        <w:t xml:space="preserve"> quality healthcare services. </w:t>
      </w:r>
    </w:p>
    <w:p w14:paraId="377B9ACE" w14:textId="3E4ECBF9" w:rsidR="00F811F5" w:rsidRPr="004E4FEC" w:rsidRDefault="00884399" w:rsidP="00F811F5">
      <w:pPr>
        <w:pStyle w:val="Heading2"/>
        <w:spacing w:line="480" w:lineRule="auto"/>
        <w:jc w:val="both"/>
        <w:rPr>
          <w:rFonts w:cs="Times New Roman"/>
          <w:szCs w:val="24"/>
        </w:rPr>
      </w:pPr>
      <w:bookmarkStart w:id="6" w:name="_Toc171005106"/>
      <w:r>
        <w:rPr>
          <w:rFonts w:cs="Times New Roman"/>
          <w:szCs w:val="24"/>
        </w:rPr>
        <w:lastRenderedPageBreak/>
        <w:t>Factors</w:t>
      </w:r>
      <w:bookmarkEnd w:id="6"/>
      <w:r>
        <w:rPr>
          <w:rFonts w:cs="Times New Roman"/>
          <w:szCs w:val="24"/>
        </w:rPr>
        <w:t xml:space="preserve"> </w:t>
      </w:r>
    </w:p>
    <w:p w14:paraId="1BEEB145" w14:textId="04F94CB9" w:rsidR="00F811F5" w:rsidRPr="00BB7D1B" w:rsidRDefault="006423DD" w:rsidP="00F811F5">
      <w:pPr>
        <w:spacing w:line="480" w:lineRule="auto"/>
        <w:jc w:val="both"/>
        <w:rPr>
          <w:rFonts w:asciiTheme="majorHAnsi" w:hAnsiTheme="majorHAnsi" w:cstheme="majorHAnsi"/>
        </w:rPr>
      </w:pPr>
      <w:r w:rsidRPr="00BB7D1B">
        <w:rPr>
          <w:rFonts w:asciiTheme="majorHAnsi" w:hAnsiTheme="majorHAnsi" w:cstheme="majorHAnsi"/>
        </w:rPr>
        <w:t xml:space="preserve">One of the key factors that impact HR’s ability to maximise customer value is staffing level. Staff shortages can lead to increased demand on workload and decrease the quality of work. </w:t>
      </w:r>
      <w:r w:rsidR="00F811F5" w:rsidRPr="00BB7D1B">
        <w:rPr>
          <w:rFonts w:asciiTheme="majorHAnsi" w:hAnsiTheme="majorHAnsi" w:cstheme="majorHAnsi"/>
        </w:rPr>
        <w:t>NHS Human Resources prioritises staff training and development. Healthcare workers' competency and motivation significantly affect customer outcomes, making it vital to maintain a skilled team. Thus, prioritising professional development is crucial. This argument must reflect that being essential means assessing your employees' training requirements and delivering customised courses. Staffs are rewarded, mentored, and informed about scientific and medical research advances. According to Anderson et al. (2021), healthcare providers' continual education may enhance patient care and customer service.</w:t>
      </w:r>
    </w:p>
    <w:p w14:paraId="2F137524" w14:textId="752BDCD8" w:rsidR="00F811F5" w:rsidRPr="00BB7D1B" w:rsidRDefault="00F811F5" w:rsidP="00F811F5">
      <w:pPr>
        <w:spacing w:line="480" w:lineRule="auto"/>
        <w:jc w:val="both"/>
        <w:rPr>
          <w:rFonts w:asciiTheme="majorHAnsi" w:hAnsiTheme="majorHAnsi" w:cstheme="majorHAnsi"/>
        </w:rPr>
      </w:pPr>
      <w:r w:rsidRPr="00BB7D1B">
        <w:rPr>
          <w:rFonts w:asciiTheme="majorHAnsi" w:hAnsiTheme="majorHAnsi" w:cstheme="majorHAnsi"/>
        </w:rPr>
        <w:t xml:space="preserve">The commercial healthcare corporation National Health Service (NHS) values finding and keeping skilled workers. Hospital staffing directly affects its ability to deliver high-quality medical care. Analytical workers are more productive. They can identify and fix the various problems that diminish morale and productivity at work. Staff should have an enjoyable workplace, a competitive salary, and professional advancement opportunities. The National Health Service (NHS) might retain more people if it had a more comprehensive plan to recruit new workers. Publicly recognising employee accomplishments may motivate and inspire them. Blake et al. (2020) </w:t>
      </w:r>
      <w:proofErr w:type="gramStart"/>
      <w:r w:rsidRPr="00BB7D1B">
        <w:rPr>
          <w:rFonts w:asciiTheme="majorHAnsi" w:hAnsiTheme="majorHAnsi" w:cstheme="majorHAnsi"/>
        </w:rPr>
        <w:t>suggest</w:t>
      </w:r>
      <w:proofErr w:type="gramEnd"/>
      <w:r w:rsidRPr="00BB7D1B">
        <w:rPr>
          <w:rFonts w:asciiTheme="majorHAnsi" w:hAnsiTheme="majorHAnsi" w:cstheme="majorHAnsi"/>
        </w:rPr>
        <w:t xml:space="preserve"> offering development or incentives to inspire employees. A possible approach is this.</w:t>
      </w:r>
    </w:p>
    <w:p w14:paraId="1881AE16" w14:textId="1CBEC346" w:rsidR="00F811F5" w:rsidRPr="00BB7D1B" w:rsidRDefault="00F811F5" w:rsidP="00F811F5">
      <w:pPr>
        <w:spacing w:line="480" w:lineRule="auto"/>
        <w:jc w:val="both"/>
        <w:rPr>
          <w:rFonts w:asciiTheme="majorHAnsi" w:hAnsiTheme="majorHAnsi" w:cstheme="majorHAnsi"/>
        </w:rPr>
      </w:pPr>
      <w:r w:rsidRPr="00BB7D1B">
        <w:rPr>
          <w:rFonts w:asciiTheme="majorHAnsi" w:hAnsiTheme="majorHAnsi" w:cstheme="majorHAnsi"/>
        </w:rPr>
        <w:t>Employee engagement must be thoroughly investigated. Team members who love their jobs are more inclined to go above and above for their job.  Understanding what employees value most at work is essential to assessing employee engagement. This category includes career growth, job praise, and public recognition. Regular surveys and worker feedback may help HR professionals assess employee engagement and identify concerns. Staff incentive packages, accessible communication lines, and team-building events may boost morale and productivity (Booth et al., 2021).</w:t>
      </w:r>
    </w:p>
    <w:p w14:paraId="42004AD3" w14:textId="77777777" w:rsidR="00F811F5" w:rsidRPr="00BB7D1B" w:rsidRDefault="00F811F5" w:rsidP="00F811F5">
      <w:pPr>
        <w:spacing w:line="480" w:lineRule="auto"/>
        <w:jc w:val="both"/>
        <w:rPr>
          <w:rFonts w:asciiTheme="majorHAnsi" w:hAnsiTheme="majorHAnsi" w:cstheme="majorHAnsi"/>
        </w:rPr>
      </w:pPr>
      <w:r w:rsidRPr="00BB7D1B">
        <w:rPr>
          <w:rFonts w:asciiTheme="majorHAnsi" w:hAnsiTheme="majorHAnsi" w:cstheme="majorHAnsi"/>
        </w:rPr>
        <w:lastRenderedPageBreak/>
        <w:t>Additionally, workplace values are important. The NHS values workplace cooperation, creativity, and self-care. To undertake a full critical study, one must grasp the firm's culture, including its leadership beliefs, communication strategies, and inclusion and diversity programmes. Company culture is formed by leadership. By encouraging open communication and cooperation, they can build an efficient, friendly, inclusive, and beneficial workplace for everybody. Several work-life balance initiatives may improve workplace circumstances. Such programmes include flexible schedule and mental health benefits (Aggarwal et al., 2023).</w:t>
      </w:r>
    </w:p>
    <w:p w14:paraId="20434969" w14:textId="77777777" w:rsidR="00F811F5" w:rsidRPr="00BB7D1B" w:rsidRDefault="00F811F5" w:rsidP="00F811F5">
      <w:pPr>
        <w:spacing w:line="480" w:lineRule="auto"/>
        <w:jc w:val="both"/>
        <w:rPr>
          <w:rFonts w:asciiTheme="majorHAnsi" w:hAnsiTheme="majorHAnsi" w:cstheme="majorHAnsi"/>
        </w:rPr>
      </w:pPr>
      <w:r w:rsidRPr="00BB7D1B">
        <w:rPr>
          <w:rFonts w:asciiTheme="majorHAnsi" w:hAnsiTheme="majorHAnsi" w:cstheme="majorHAnsi"/>
        </w:rPr>
        <w:t xml:space="preserve">Competitive pay and benefits are vital for recruiting and retaining top talent. Compensation schemes must meet worker and industry standards for equity and competitiveness. Given this, it's vital to establish which remuneration and bonuses workers appreciate most. Selected candidates may get a wage, health insurance, retirement savings, and </w:t>
      </w:r>
      <w:proofErr w:type="gramStart"/>
      <w:r w:rsidRPr="00BB7D1B">
        <w:rPr>
          <w:rFonts w:asciiTheme="majorHAnsi" w:hAnsiTheme="majorHAnsi" w:cstheme="majorHAnsi"/>
        </w:rPr>
        <w:t>child care</w:t>
      </w:r>
      <w:proofErr w:type="gramEnd"/>
      <w:r w:rsidRPr="00BB7D1B">
        <w:rPr>
          <w:rFonts w:asciiTheme="majorHAnsi" w:hAnsiTheme="majorHAnsi" w:cstheme="majorHAnsi"/>
        </w:rPr>
        <w:t xml:space="preserve"> or education help. Reviewing and updating pay policies may help companies remain competitive. This will help you hire and retain top talent (Blake et al., 2020).</w:t>
      </w:r>
    </w:p>
    <w:p w14:paraId="506402EE" w14:textId="77777777" w:rsidR="00F811F5" w:rsidRDefault="00F811F5" w:rsidP="00F811F5">
      <w:pPr>
        <w:spacing w:line="480" w:lineRule="auto"/>
        <w:jc w:val="both"/>
        <w:rPr>
          <w:rFonts w:asciiTheme="majorHAnsi" w:hAnsiTheme="majorHAnsi" w:cstheme="majorHAnsi"/>
        </w:rPr>
      </w:pPr>
      <w:r w:rsidRPr="00BB7D1B">
        <w:rPr>
          <w:rFonts w:asciiTheme="majorHAnsi" w:hAnsiTheme="majorHAnsi" w:cstheme="majorHAnsi"/>
        </w:rPr>
        <w:t>Healthcare rules must also be followed. All laws and regulations must be followed for the NHS to function properly. Emphasising the significance of learning these norms and following them is vital. Regular audits, legal compliance training, and verification are necessary to meet legal requirements. Human resource operations must follow employment and data protection laws to prevent legal issues and retain employee confidence (Blake et al., 2020).</w:t>
      </w:r>
    </w:p>
    <w:p w14:paraId="044972C1" w14:textId="7A28EEBE" w:rsidR="006C6FF9" w:rsidRDefault="006C6FF9" w:rsidP="00F811F5">
      <w:pPr>
        <w:spacing w:line="480" w:lineRule="auto"/>
        <w:jc w:val="both"/>
        <w:rPr>
          <w:rFonts w:asciiTheme="majorHAnsi" w:hAnsiTheme="majorHAnsi" w:cstheme="majorHAnsi"/>
        </w:rPr>
      </w:pPr>
      <w:r w:rsidRPr="006C6FF9">
        <w:rPr>
          <w:rFonts w:asciiTheme="majorHAnsi" w:hAnsiTheme="majorHAnsi" w:cstheme="majorHAnsi"/>
        </w:rPr>
        <w:t>Business leaders and academics have identified customer values belonging to four groups that Many organisations can use to create effective workplace. Below is a diagram showing the 4 categories customer values</w:t>
      </w:r>
      <w:r w:rsidR="000A2FB6">
        <w:rPr>
          <w:rFonts w:asciiTheme="majorHAnsi" w:hAnsiTheme="majorHAnsi" w:cstheme="majorHAnsi"/>
        </w:rPr>
        <w:t xml:space="preserve"> and the 30 elements within the categories. </w:t>
      </w:r>
    </w:p>
    <w:p w14:paraId="77CB5189" w14:textId="1E477C5A" w:rsidR="00855087" w:rsidRDefault="00855087" w:rsidP="00F811F5">
      <w:pPr>
        <w:spacing w:line="480" w:lineRule="auto"/>
        <w:jc w:val="both"/>
        <w:rPr>
          <w:rFonts w:asciiTheme="majorHAnsi" w:hAnsiTheme="majorHAnsi" w:cstheme="majorHAnsi"/>
        </w:rPr>
      </w:pPr>
      <w:r>
        <w:rPr>
          <w:noProof/>
        </w:rPr>
        <w:lastRenderedPageBreak/>
        <mc:AlternateContent>
          <mc:Choice Requires="wps">
            <w:drawing>
              <wp:anchor distT="0" distB="0" distL="114300" distR="114300" simplePos="0" relativeHeight="251659264" behindDoc="0" locked="0" layoutInCell="1" allowOverlap="1" wp14:anchorId="3FCEA6CB" wp14:editId="02382177">
                <wp:simplePos x="0" y="0"/>
                <wp:positionH relativeFrom="column">
                  <wp:posOffset>1073150</wp:posOffset>
                </wp:positionH>
                <wp:positionV relativeFrom="paragraph">
                  <wp:posOffset>3248660</wp:posOffset>
                </wp:positionV>
                <wp:extent cx="2733441" cy="307777"/>
                <wp:effectExtent l="0" t="0" r="0" b="0"/>
                <wp:wrapNone/>
                <wp:docPr id="8" name="TextBox 7">
                  <a:extLst xmlns:a="http://schemas.openxmlformats.org/drawingml/2006/main">
                    <a:ext uri="{FF2B5EF4-FFF2-40B4-BE49-F238E27FC236}">
                      <a16:creationId xmlns:a16="http://schemas.microsoft.com/office/drawing/2014/main" id="{5C1DD25F-E4AB-EC44-BF0B-D5F60C8793FC}"/>
                    </a:ext>
                  </a:extLst>
                </wp:docPr>
                <wp:cNvGraphicFramePr/>
                <a:graphic xmlns:a="http://schemas.openxmlformats.org/drawingml/2006/main">
                  <a:graphicData uri="http://schemas.microsoft.com/office/word/2010/wordprocessingShape">
                    <wps:wsp>
                      <wps:cNvSpPr txBox="1"/>
                      <wps:spPr>
                        <a:xfrm>
                          <a:off x="0" y="0"/>
                          <a:ext cx="2733441" cy="307777"/>
                        </a:xfrm>
                        <a:prstGeom prst="rect">
                          <a:avLst/>
                        </a:prstGeom>
                        <a:noFill/>
                      </wps:spPr>
                      <wps:txbx>
                        <w:txbxContent>
                          <w:p w14:paraId="0E42740D" w14:textId="77777777" w:rsidR="00855087" w:rsidRPr="00855087" w:rsidRDefault="00855087" w:rsidP="00855087">
                            <w:pPr>
                              <w:rPr>
                                <w:rFonts w:asciiTheme="majorHAnsi" w:hAnsiTheme="majorHAnsi" w:cstheme="majorHAnsi"/>
                                <w:color w:val="000000" w:themeColor="text1"/>
                                <w:kern w:val="24"/>
                              </w:rPr>
                            </w:pPr>
                            <w:r w:rsidRPr="00855087">
                              <w:rPr>
                                <w:rFonts w:asciiTheme="majorHAnsi" w:hAnsiTheme="majorHAnsi" w:cstheme="majorHAnsi"/>
                                <w:color w:val="000000" w:themeColor="text1"/>
                                <w:kern w:val="24"/>
                              </w:rPr>
                              <w:t>(Almquist, Senior and Bloch, 2016)</w:t>
                            </w:r>
                          </w:p>
                        </w:txbxContent>
                      </wps:txbx>
                      <wps:bodyPr wrap="none" rtlCol="0">
                        <a:spAutoFit/>
                      </wps:bodyPr>
                    </wps:wsp>
                  </a:graphicData>
                </a:graphic>
              </wp:anchor>
            </w:drawing>
          </mc:Choice>
          <mc:Fallback>
            <w:pict>
              <v:shapetype w14:anchorId="3FCEA6CB" id="_x0000_t202" coordsize="21600,21600" o:spt="202" path="m,l,21600r21600,l21600,xe">
                <v:stroke joinstyle="miter"/>
                <v:path gradientshapeok="t" o:connecttype="rect"/>
              </v:shapetype>
              <v:shape id="TextBox 7" o:spid="_x0000_s1026" type="#_x0000_t202" style="position:absolute;left:0;text-align:left;margin-left:84.5pt;margin-top:255.8pt;width:215.25pt;height:24.25pt;z-index:2516592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" filled="f" stroked="f">
                <v:textbox style="mso-fit-shape-to-text:t">
                  <w:txbxContent>
                    <w:p w14:paraId="0E42740D" w14:textId="77777777" w:rsidR="00855087" w:rsidRPr="00855087" w:rsidRDefault="00855087" w:rsidP="00855087">
                      <w:pPr>
                        <w:rPr>
                          <w:rFonts w:asciiTheme="majorHAnsi" w:hAnsiTheme="majorHAnsi" w:cstheme="majorHAnsi"/>
                          <w:color w:val="000000" w:themeColor="text1"/>
                          <w:kern w:val="24"/>
                        </w:rPr>
                      </w:pPr>
                      <w:r w:rsidRPr="00855087">
                        <w:rPr>
                          <w:rFonts w:asciiTheme="majorHAnsi" w:hAnsiTheme="majorHAnsi" w:cstheme="majorHAnsi"/>
                          <w:color w:val="000000" w:themeColor="text1"/>
                          <w:kern w:val="24"/>
                        </w:rPr>
                        <w:t>(Almquist, Senior and Bloch, 2016)</w:t>
                      </w:r>
                    </w:p>
                  </w:txbxContent>
                </v:textbox>
              </v:shape>
            </w:pict>
          </mc:Fallback>
        </mc:AlternateContent>
      </w:r>
      <w:r>
        <w:rPr>
          <w:noProof/>
        </w:rPr>
        <w:drawing>
          <wp:inline distT="0" distB="0" distL="0" distR="0" wp14:anchorId="7D4A8D04" wp14:editId="40BA8843">
            <wp:extent cx="2870200" cy="3300730"/>
            <wp:effectExtent l="0" t="0" r="6350" b="0"/>
            <wp:docPr id="7" name="Picture 6" descr="A diagram of different types of icons&#10;&#10;Description automatically generated">
              <a:extLst xmlns:a="http://schemas.openxmlformats.org/drawingml/2006/main">
                <a:ext uri="{FF2B5EF4-FFF2-40B4-BE49-F238E27FC236}">
                  <a16:creationId xmlns:a16="http://schemas.microsoft.com/office/drawing/2014/main" id="{07EC916A-53B4-8C44-9A0D-3113B07712E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diagram of different types of icons&#10;&#10;Description automatically generated">
                      <a:extLst>
                        <a:ext uri="{FF2B5EF4-FFF2-40B4-BE49-F238E27FC236}">
                          <a16:creationId xmlns:a16="http://schemas.microsoft.com/office/drawing/2014/main" id="{07EC916A-53B4-8C44-9A0D-3113B07712EB}"/>
                        </a:ext>
                      </a:extLst>
                    </pic:cNvPr>
                    <pic:cNvPicPr>
                      <a:picLocks noChangeAspect="1"/>
                    </pic:cNvPicPr>
                  </pic:nvPicPr>
                  <pic:blipFill>
                    <a:blip r:embed="rId8"/>
                    <a:stretch>
                      <a:fillRect/>
                    </a:stretch>
                  </pic:blipFill>
                  <pic:spPr>
                    <a:xfrm>
                      <a:off x="0" y="0"/>
                      <a:ext cx="2873690" cy="3304744"/>
                    </a:xfrm>
                    <a:prstGeom prst="rect">
                      <a:avLst/>
                    </a:prstGeom>
                  </pic:spPr>
                </pic:pic>
              </a:graphicData>
            </a:graphic>
          </wp:inline>
        </w:drawing>
      </w:r>
    </w:p>
    <w:p w14:paraId="072C27C9" w14:textId="0EEFBD8D" w:rsidR="006C6FF9" w:rsidRDefault="006C6FF9" w:rsidP="00F811F5">
      <w:pPr>
        <w:spacing w:line="480" w:lineRule="auto"/>
        <w:jc w:val="both"/>
        <w:rPr>
          <w:rFonts w:asciiTheme="majorHAnsi" w:hAnsiTheme="majorHAnsi" w:cstheme="majorHAnsi"/>
        </w:rPr>
      </w:pPr>
    </w:p>
    <w:p w14:paraId="2A8EA8F2" w14:textId="77777777" w:rsidR="006C6FF9" w:rsidRPr="00BB7D1B" w:rsidRDefault="006C6FF9" w:rsidP="00F811F5">
      <w:pPr>
        <w:spacing w:line="480" w:lineRule="auto"/>
        <w:jc w:val="both"/>
        <w:rPr>
          <w:rFonts w:asciiTheme="majorHAnsi" w:hAnsiTheme="majorHAnsi" w:cstheme="majorHAnsi"/>
        </w:rPr>
      </w:pPr>
    </w:p>
    <w:p w14:paraId="4A6603C4" w14:textId="391E214E" w:rsidR="00D330DF" w:rsidRPr="00163F0B" w:rsidRDefault="00D330DF" w:rsidP="00D330DF">
      <w:pPr>
        <w:spacing w:line="480" w:lineRule="auto"/>
        <w:jc w:val="both"/>
        <w:rPr>
          <w:rFonts w:asciiTheme="majorHAnsi" w:hAnsiTheme="majorHAnsi" w:cstheme="majorHAnsi"/>
        </w:rPr>
      </w:pPr>
      <w:r w:rsidRPr="00163F0B">
        <w:rPr>
          <w:rFonts w:asciiTheme="majorHAnsi" w:hAnsiTheme="majorHAnsi" w:cstheme="majorHAnsi"/>
        </w:rPr>
        <w:t xml:space="preserve">HR practitioners and businesses have spent a lot of time investigating HR efficiency attributes. A productive workplace benefits both employees and employers. I have decided to research various workplace efficiency-boosting methods. </w:t>
      </w:r>
      <w:proofErr w:type="spellStart"/>
      <w:r w:rsidRPr="00163F0B">
        <w:rPr>
          <w:rFonts w:asciiTheme="majorHAnsi" w:hAnsiTheme="majorHAnsi" w:cstheme="majorHAnsi"/>
        </w:rPr>
        <w:t>Borelie</w:t>
      </w:r>
      <w:proofErr w:type="spellEnd"/>
      <w:r w:rsidRPr="00163F0B">
        <w:rPr>
          <w:rFonts w:asciiTheme="majorHAnsi" w:hAnsiTheme="majorHAnsi" w:cstheme="majorHAnsi"/>
        </w:rPr>
        <w:t xml:space="preserve"> et al. (2021) recommend public health resources, academic publications, the Chartered Institute of Personnel and Development (CIPD), and famous thinkers like Dave Ulrich for learning more about these important themes.</w:t>
      </w:r>
    </w:p>
    <w:p w14:paraId="46AB549D" w14:textId="77777777" w:rsidR="00D330DF" w:rsidRPr="00163F0B" w:rsidRDefault="00D330DF" w:rsidP="00D330DF">
      <w:pPr>
        <w:spacing w:line="480" w:lineRule="auto"/>
        <w:jc w:val="both"/>
        <w:rPr>
          <w:rFonts w:asciiTheme="majorHAnsi" w:hAnsiTheme="majorHAnsi" w:cstheme="majorHAnsi"/>
        </w:rPr>
      </w:pPr>
      <w:r w:rsidRPr="00163F0B">
        <w:rPr>
          <w:rFonts w:asciiTheme="majorHAnsi" w:hAnsiTheme="majorHAnsi" w:cstheme="majorHAnsi"/>
        </w:rPr>
        <w:t xml:space="preserve">The Chartered Institute of Personnel and Development (CIPD) offers human resource management and workforce development training. Companies with more effective human resource management systems have happier workers and more money in the bank, according to the Chartered Institute of Personnel and Development. According to the Chartered Institute of Personnel and Development (CIPD), competent human resource management may motivate people to achieve their goals. A well-managed firm will evaluate employee productivity, help them improve their skills, and pay them fairly. The most successful </w:t>
      </w:r>
      <w:r w:rsidRPr="00163F0B">
        <w:rPr>
          <w:rFonts w:asciiTheme="majorHAnsi" w:hAnsiTheme="majorHAnsi" w:cstheme="majorHAnsi"/>
        </w:rPr>
        <w:lastRenderedPageBreak/>
        <w:t>tactics are these. Investing in professional development may boost worker engagement and production, according to CIPD surveys. They think focused training and expanded educational opportunities are necessary to recruit and retain top talent (Currie et al., 2020).</w:t>
      </w:r>
    </w:p>
    <w:p w14:paraId="35D9DFC8" w14:textId="77777777" w:rsidR="00D330DF" w:rsidRPr="00163F0B" w:rsidRDefault="00D330DF" w:rsidP="00D330DF">
      <w:pPr>
        <w:spacing w:line="480" w:lineRule="auto"/>
        <w:jc w:val="both"/>
        <w:rPr>
          <w:rFonts w:asciiTheme="majorHAnsi" w:hAnsiTheme="majorHAnsi" w:cstheme="majorHAnsi"/>
        </w:rPr>
      </w:pPr>
      <w:r w:rsidRPr="00163F0B">
        <w:rPr>
          <w:rFonts w:asciiTheme="majorHAnsi" w:hAnsiTheme="majorHAnsi" w:cstheme="majorHAnsi"/>
        </w:rPr>
        <w:t>An NHS improvement organisation provides vital healthcare human resource information. Active, dedicated personnel provide the best patient care, according to NHS Improvement. The research found that a nice workplace, good communication, and supportive leadership boost employee engagement. The National Health Service Improvement prioritises effective recruiting and retention to ensure a competent and dependable staff. Advocates recommend a rigorous onboarding process and continuous assistance for newly hired workers to help them integrate and retain jobs (Booth et al., 2021).</w:t>
      </w:r>
    </w:p>
    <w:p w14:paraId="026ABFD8" w14:textId="77777777" w:rsidR="00D330DF" w:rsidRPr="00163F0B" w:rsidRDefault="00D330DF" w:rsidP="00D330DF">
      <w:pPr>
        <w:spacing w:line="480" w:lineRule="auto"/>
        <w:jc w:val="both"/>
        <w:rPr>
          <w:rFonts w:asciiTheme="majorHAnsi" w:hAnsiTheme="majorHAnsi" w:cstheme="majorHAnsi"/>
        </w:rPr>
      </w:pPr>
      <w:r w:rsidRPr="00163F0B">
        <w:rPr>
          <w:rFonts w:asciiTheme="majorHAnsi" w:hAnsiTheme="majorHAnsi" w:cstheme="majorHAnsi"/>
        </w:rPr>
        <w:t xml:space="preserve">Human resources and organisational performance expert Dave Ulrich </w:t>
      </w:r>
      <w:proofErr w:type="gramStart"/>
      <w:r w:rsidRPr="00163F0B">
        <w:rPr>
          <w:rFonts w:asciiTheme="majorHAnsi" w:hAnsiTheme="majorHAnsi" w:cstheme="majorHAnsi"/>
        </w:rPr>
        <w:t>has</w:t>
      </w:r>
      <w:proofErr w:type="gramEnd"/>
      <w:r w:rsidRPr="00163F0B">
        <w:rPr>
          <w:rFonts w:asciiTheme="majorHAnsi" w:hAnsiTheme="majorHAnsi" w:cstheme="majorHAnsi"/>
        </w:rPr>
        <w:t xml:space="preserve"> written numerous detailed books on these issues. Ulrich's "HR Model" emphasises HR's strategic role in aligning with the organization's objectives. Given that Human Resources prioritises strategy over administration, he thinks they might enhance output. Ulrich believes that HR activities are crucial to economic success because they develop leadership, talent, and culture in businesses. Ulrich (Drennan, 2019) suggests that companies that provide advancement and a pleasant workplace may benefit from their human resource management improvements. </w:t>
      </w:r>
      <w:r w:rsidRPr="00163F0B">
        <w:rPr>
          <w:rFonts w:asciiTheme="majorHAnsi" w:hAnsiTheme="majorHAnsi" w:cstheme="majorHAnsi"/>
        </w:rPr>
        <w:br/>
        <w:t xml:space="preserve">Human resources policies and practices affect corporate performance and employee satisfaction. Human resource (HR) research has been published in the "Journal of Human Resources" and the "International Journal of Human Resource Management". According to the study, more open and equal performance evaluation systems may increase employee engagement and productivity. Anderson and colleagues found in 2021 that workers who have a say in crucial choices are more satisfied and engaged in their jobs. </w:t>
      </w:r>
      <w:r w:rsidRPr="00163F0B">
        <w:rPr>
          <w:rFonts w:asciiTheme="majorHAnsi" w:hAnsiTheme="majorHAnsi" w:cstheme="majorHAnsi"/>
        </w:rPr>
        <w:br/>
        <w:t xml:space="preserve">Purcell and his colleagues presented a great study in the "International Journal of Human Resource Management." The research explored how HR strategies affect corporate performance. Effective hiring, thorough training, and performance-based rewards have been found to increase employee engagement </w:t>
      </w:r>
      <w:r w:rsidRPr="00163F0B">
        <w:rPr>
          <w:rFonts w:asciiTheme="majorHAnsi" w:hAnsiTheme="majorHAnsi" w:cstheme="majorHAnsi"/>
        </w:rPr>
        <w:lastRenderedPageBreak/>
        <w:t>and organisational success. According to the report, HR operations that combine multiple elements perform better (Currie et al., 2020).</w:t>
      </w:r>
    </w:p>
    <w:p w14:paraId="544E802F" w14:textId="77777777" w:rsidR="00D330DF" w:rsidRPr="00163F0B" w:rsidRDefault="00D330DF" w:rsidP="00D330DF">
      <w:pPr>
        <w:spacing w:line="480" w:lineRule="auto"/>
        <w:jc w:val="both"/>
        <w:rPr>
          <w:rFonts w:asciiTheme="majorHAnsi" w:hAnsiTheme="majorHAnsi" w:cstheme="majorHAnsi"/>
        </w:rPr>
      </w:pPr>
      <w:r w:rsidRPr="00163F0B">
        <w:rPr>
          <w:rFonts w:asciiTheme="majorHAnsi" w:hAnsiTheme="majorHAnsi" w:cstheme="majorHAnsi"/>
        </w:rPr>
        <w:t>Pfeffer's "The Human Equation: Building Profits by Putting People First" highlights the importance of seeing people as resources. Pfeffer suggests seven key human resource methods that might boost corporate performance. Job security, rigorous recruiting, intensive training, collaboration, performance-based remuneration, status discrepancy mitigation, and information exchange are covered. He claims that these strategies boost company efficiency by building a dedicated team (</w:t>
      </w:r>
      <w:proofErr w:type="spellStart"/>
      <w:r w:rsidRPr="00163F0B">
        <w:rPr>
          <w:rFonts w:asciiTheme="majorHAnsi" w:hAnsiTheme="majorHAnsi" w:cstheme="majorHAnsi"/>
        </w:rPr>
        <w:t>Boselie</w:t>
      </w:r>
      <w:proofErr w:type="spellEnd"/>
      <w:r w:rsidRPr="00163F0B">
        <w:rPr>
          <w:rFonts w:asciiTheme="majorHAnsi" w:hAnsiTheme="majorHAnsi" w:cstheme="majorHAnsi"/>
        </w:rPr>
        <w:t xml:space="preserve"> et al., 2021).</w:t>
      </w:r>
    </w:p>
    <w:p w14:paraId="7282B909" w14:textId="77777777" w:rsidR="008C0ED7" w:rsidRPr="004E4FEC" w:rsidRDefault="008C0ED7" w:rsidP="008C0ED7">
      <w:pPr>
        <w:pStyle w:val="Heading2"/>
        <w:spacing w:line="480" w:lineRule="auto"/>
        <w:jc w:val="both"/>
        <w:rPr>
          <w:rFonts w:cs="Times New Roman"/>
          <w:szCs w:val="24"/>
        </w:rPr>
      </w:pPr>
      <w:bookmarkStart w:id="7" w:name="_Toc170762112"/>
      <w:bookmarkStart w:id="8" w:name="_Toc171005107"/>
      <w:r w:rsidRPr="004E4FEC">
        <w:rPr>
          <w:rFonts w:cs="Times New Roman"/>
          <w:szCs w:val="24"/>
        </w:rPr>
        <w:t>What maximises customer value?</w:t>
      </w:r>
      <w:bookmarkEnd w:id="7"/>
      <w:bookmarkEnd w:id="8"/>
    </w:p>
    <w:p w14:paraId="1C017885" w14:textId="77777777" w:rsidR="008C0ED7" w:rsidRPr="004D13F9" w:rsidRDefault="008C0ED7" w:rsidP="008C0ED7">
      <w:pPr>
        <w:spacing w:line="480" w:lineRule="auto"/>
        <w:jc w:val="both"/>
        <w:rPr>
          <w:rFonts w:asciiTheme="majorHAnsi" w:hAnsiTheme="majorHAnsi" w:cstheme="majorHAnsi"/>
        </w:rPr>
      </w:pPr>
      <w:r w:rsidRPr="004D13F9">
        <w:rPr>
          <w:rFonts w:asciiTheme="majorHAnsi" w:hAnsiTheme="majorHAnsi" w:cstheme="majorHAnsi"/>
        </w:rPr>
        <w:t>Increasing customer value, especially for internal customers (workers), improves employee happiness, productivity, and organisational performance. To maximise consumer value, a firm must create a good work environment and address worker requirements (Drennan, 2019).</w:t>
      </w:r>
    </w:p>
    <w:p w14:paraId="7F794FAB" w14:textId="77777777" w:rsidR="008C0ED7" w:rsidRPr="004D13F9" w:rsidRDefault="008C0ED7" w:rsidP="008C0ED7">
      <w:pPr>
        <w:spacing w:line="480" w:lineRule="auto"/>
        <w:jc w:val="both"/>
        <w:rPr>
          <w:rFonts w:asciiTheme="majorHAnsi" w:hAnsiTheme="majorHAnsi" w:cstheme="majorHAnsi"/>
        </w:rPr>
      </w:pPr>
      <w:r w:rsidRPr="004D13F9">
        <w:rPr>
          <w:rFonts w:asciiTheme="majorHAnsi" w:hAnsiTheme="majorHAnsi" w:cstheme="majorHAnsi"/>
        </w:rPr>
        <w:t>Building a happy workplace is the first step to maximising employee value. To achieve this, create an atmosphere where people feel comfortable sharing their thoughts and trusting one other. An effective workplace requires respect, significance, and appreciation for workers' contributions. Leaders and managers may create a happy workplace by connecting positively with employees. Wellness initiatives, flexible work hours, and work-life balance promote workplace health and happiness (Blake et al., 2020).</w:t>
      </w:r>
    </w:p>
    <w:p w14:paraId="6BF24CA7" w14:textId="77777777" w:rsidR="008C0ED7" w:rsidRPr="004D13F9" w:rsidRDefault="008C0ED7" w:rsidP="008C0ED7">
      <w:pPr>
        <w:spacing w:line="480" w:lineRule="auto"/>
        <w:jc w:val="both"/>
        <w:rPr>
          <w:rFonts w:asciiTheme="majorHAnsi" w:hAnsiTheme="majorHAnsi" w:cstheme="majorHAnsi"/>
        </w:rPr>
      </w:pPr>
      <w:r w:rsidRPr="004D13F9">
        <w:rPr>
          <w:rFonts w:asciiTheme="majorHAnsi" w:hAnsiTheme="majorHAnsi" w:cstheme="majorHAnsi"/>
        </w:rPr>
        <w:t>Enhancing employee career development is essential to workforce utilisation. Employee commitment and loyalty are directly related to a company's capacity to provide professional development. Workers acquire skills via challenging jobs, coaching, and training. Organisations require robust career development frameworks to achieve their goals and engage employees. These frameworks must concisely explain several organisational development tactics (Booth et al., 2021).</w:t>
      </w:r>
    </w:p>
    <w:p w14:paraId="4973947C" w14:textId="7DB13473" w:rsidR="008C0ED7" w:rsidRPr="004D13F9" w:rsidRDefault="008C0ED7" w:rsidP="008C0ED7">
      <w:pPr>
        <w:spacing w:line="480" w:lineRule="auto"/>
        <w:jc w:val="both"/>
        <w:rPr>
          <w:rFonts w:asciiTheme="majorHAnsi" w:hAnsiTheme="majorHAnsi" w:cstheme="majorHAnsi"/>
        </w:rPr>
      </w:pPr>
      <w:r w:rsidRPr="004D13F9">
        <w:rPr>
          <w:rFonts w:asciiTheme="majorHAnsi" w:hAnsiTheme="majorHAnsi" w:cstheme="majorHAnsi"/>
        </w:rPr>
        <w:lastRenderedPageBreak/>
        <w:t xml:space="preserve">To enhance employee performance, pay your staff competitively and fairly. A company may show its devotion to staff by paying them fairly. Benefits and industry-competitive pay may boost employee satisfaction and loyalty. Compensation plans should </w:t>
      </w:r>
      <w:proofErr w:type="gramStart"/>
      <w:r w:rsidRPr="004D13F9">
        <w:rPr>
          <w:rFonts w:asciiTheme="majorHAnsi" w:hAnsiTheme="majorHAnsi" w:cstheme="majorHAnsi"/>
        </w:rPr>
        <w:t>take into account</w:t>
      </w:r>
      <w:proofErr w:type="gramEnd"/>
      <w:r w:rsidRPr="004D13F9">
        <w:rPr>
          <w:rFonts w:asciiTheme="majorHAnsi" w:hAnsiTheme="majorHAnsi" w:cstheme="majorHAnsi"/>
        </w:rPr>
        <w:t xml:space="preserve"> an employee's education, experience, and company profitability. Market-competitive salaries are needed. Individual achievement-based rewards and recognition may maintain a meritocratic workplace. They motivate workers to perform at their best (</w:t>
      </w:r>
      <w:proofErr w:type="spellStart"/>
      <w:r w:rsidRPr="004D13F9">
        <w:rPr>
          <w:rFonts w:asciiTheme="majorHAnsi" w:hAnsiTheme="majorHAnsi" w:cstheme="majorHAnsi"/>
        </w:rPr>
        <w:t>Exworthy</w:t>
      </w:r>
      <w:proofErr w:type="spellEnd"/>
      <w:r w:rsidRPr="004D13F9">
        <w:rPr>
          <w:rFonts w:asciiTheme="majorHAnsi" w:hAnsiTheme="majorHAnsi" w:cstheme="majorHAnsi"/>
        </w:rPr>
        <w:t xml:space="preserve"> et al., 2024).</w:t>
      </w:r>
    </w:p>
    <w:p w14:paraId="72142F96" w14:textId="77777777" w:rsidR="008C0ED7" w:rsidRPr="004D13F9" w:rsidRDefault="008C0ED7" w:rsidP="008C0ED7">
      <w:pPr>
        <w:spacing w:line="480" w:lineRule="auto"/>
        <w:jc w:val="both"/>
        <w:rPr>
          <w:rFonts w:asciiTheme="majorHAnsi" w:hAnsiTheme="majorHAnsi" w:cstheme="majorHAnsi"/>
        </w:rPr>
      </w:pPr>
      <w:r w:rsidRPr="004D13F9">
        <w:rPr>
          <w:rFonts w:asciiTheme="majorHAnsi" w:hAnsiTheme="majorHAnsi" w:cstheme="majorHAnsi"/>
        </w:rPr>
        <w:t xml:space="preserve">A comprehensive pay plan, including a wage and benefits, may drive employees to perform at their best. These may include medical insurance, pension plans, paid time off, </w:t>
      </w:r>
      <w:proofErr w:type="gramStart"/>
      <w:r w:rsidRPr="004D13F9">
        <w:rPr>
          <w:rFonts w:asciiTheme="majorHAnsi" w:hAnsiTheme="majorHAnsi" w:cstheme="majorHAnsi"/>
        </w:rPr>
        <w:t>child care</w:t>
      </w:r>
      <w:proofErr w:type="gramEnd"/>
      <w:r w:rsidRPr="004D13F9">
        <w:rPr>
          <w:rFonts w:asciiTheme="majorHAnsi" w:hAnsiTheme="majorHAnsi" w:cstheme="majorHAnsi"/>
        </w:rPr>
        <w:t xml:space="preserve"> subsidies, and other perks to improve workers' well-being and quality of life. When a company gives benefits that help workers balance work and life and satisfy their needs, it shows its commitment to employee welfare (Hoyle et al., 2024).</w:t>
      </w:r>
    </w:p>
    <w:p w14:paraId="0B7285D5" w14:textId="77777777" w:rsidR="008C0ED7" w:rsidRPr="004D13F9" w:rsidRDefault="008C0ED7" w:rsidP="008C0ED7">
      <w:pPr>
        <w:spacing w:line="480" w:lineRule="auto"/>
        <w:jc w:val="both"/>
        <w:rPr>
          <w:rFonts w:asciiTheme="majorHAnsi" w:hAnsiTheme="majorHAnsi" w:cstheme="majorHAnsi"/>
        </w:rPr>
      </w:pPr>
      <w:r w:rsidRPr="004D13F9">
        <w:rPr>
          <w:rFonts w:asciiTheme="majorHAnsi" w:hAnsiTheme="majorHAnsi" w:cstheme="majorHAnsi"/>
        </w:rPr>
        <w:t>An inclusive and supportive culture is also necessary to maximise worker worth. People flourish in their workplaces when their unique viewpoints and abilities are valued. Diversity and inclusion programmes make employees feel valued and part of the team. These programmes encourage worker justice, equity, and opportunity. To accomplish this aim, policies and norms must prohibit discrimination, encourage diversity in recruiting and progression, and teach workers on unconscious bias and cultural competency (Booth et al., 2021).</w:t>
      </w:r>
    </w:p>
    <w:p w14:paraId="7F7CB050" w14:textId="77777777" w:rsidR="009827C6" w:rsidRPr="004E4FEC" w:rsidRDefault="009827C6" w:rsidP="009827C6">
      <w:pPr>
        <w:pStyle w:val="Heading2"/>
        <w:spacing w:line="480" w:lineRule="auto"/>
        <w:jc w:val="both"/>
        <w:rPr>
          <w:rFonts w:cs="Times New Roman"/>
          <w:szCs w:val="24"/>
        </w:rPr>
      </w:pPr>
      <w:bookmarkStart w:id="9" w:name="_Toc170762113"/>
      <w:bookmarkStart w:id="10" w:name="_Toc171005108"/>
      <w:r w:rsidRPr="004E4FEC">
        <w:rPr>
          <w:rFonts w:cs="Times New Roman"/>
          <w:szCs w:val="24"/>
        </w:rPr>
        <w:t>What is customer value? Who said?</w:t>
      </w:r>
      <w:bookmarkEnd w:id="9"/>
      <w:bookmarkEnd w:id="10"/>
    </w:p>
    <w:p w14:paraId="62C0F1C8" w14:textId="6B28F57E" w:rsidR="006C6FF9" w:rsidRPr="00874831" w:rsidRDefault="006C6FF9" w:rsidP="006C6FF9">
      <w:pPr>
        <w:spacing w:line="480" w:lineRule="auto"/>
        <w:jc w:val="both"/>
        <w:rPr>
          <w:rFonts w:asciiTheme="majorHAnsi" w:hAnsiTheme="majorHAnsi" w:cstheme="majorHAnsi"/>
        </w:rPr>
      </w:pPr>
      <w:r w:rsidRPr="004D13F9">
        <w:rPr>
          <w:rFonts w:asciiTheme="majorHAnsi" w:hAnsiTheme="majorHAnsi" w:cstheme="majorHAnsi"/>
        </w:rPr>
        <w:t xml:space="preserve">According to (Woodruff, 1997) customer value is </w:t>
      </w:r>
      <w:r w:rsidR="00874831" w:rsidRPr="00874831">
        <w:rPr>
          <w:rFonts w:asciiTheme="majorHAnsi" w:hAnsiTheme="majorHAnsi" w:cstheme="majorHAnsi"/>
        </w:rPr>
        <w:t>a</w:t>
      </w:r>
      <w:r w:rsidRPr="00874831">
        <w:rPr>
          <w:rFonts w:asciiTheme="majorHAnsi" w:hAnsiTheme="majorHAnsi" w:cstheme="majorHAnsi"/>
          <w:bCs/>
          <w:lang w:val="en-US"/>
        </w:rPr>
        <w:t xml:space="preserve"> customer perceived preference for and evaluation of those products attributes, attribute performances, and consequences arising from use that facilitate (or block) achieving the customer’s goals and purposes in use situations.</w:t>
      </w:r>
    </w:p>
    <w:p w14:paraId="6D84DC1B" w14:textId="1F088137" w:rsidR="009827C6" w:rsidRPr="004D13F9" w:rsidRDefault="009827C6" w:rsidP="009827C6">
      <w:pPr>
        <w:spacing w:line="480" w:lineRule="auto"/>
        <w:jc w:val="both"/>
        <w:rPr>
          <w:rFonts w:asciiTheme="majorHAnsi" w:hAnsiTheme="majorHAnsi" w:cstheme="majorHAnsi"/>
        </w:rPr>
      </w:pPr>
      <w:r w:rsidRPr="004D13F9">
        <w:rPr>
          <w:rFonts w:asciiTheme="majorHAnsi" w:hAnsiTheme="majorHAnsi" w:cstheme="majorHAnsi"/>
        </w:rPr>
        <w:t xml:space="preserve">Human resources "customer value" is the advantages workers, particularly NHS personnel, get from HR initiatives and services. Prestigious institutes like the Chartered Institute of Personnel and Development </w:t>
      </w:r>
      <w:r w:rsidRPr="004D13F9">
        <w:rPr>
          <w:rFonts w:asciiTheme="majorHAnsi" w:hAnsiTheme="majorHAnsi" w:cstheme="majorHAnsi"/>
        </w:rPr>
        <w:lastRenderedPageBreak/>
        <w:t>(CIPD) and expert Dave Ulrich may help HR managers create and comprehend customer value (Anderson et al., 2021).</w:t>
      </w:r>
    </w:p>
    <w:p w14:paraId="1CFCD925" w14:textId="77777777" w:rsidR="009827C6" w:rsidRPr="004D13F9" w:rsidRDefault="009827C6" w:rsidP="009827C6">
      <w:pPr>
        <w:spacing w:line="480" w:lineRule="auto"/>
        <w:jc w:val="both"/>
        <w:rPr>
          <w:rFonts w:asciiTheme="majorHAnsi" w:hAnsiTheme="majorHAnsi" w:cstheme="majorHAnsi"/>
        </w:rPr>
      </w:pPr>
      <w:r w:rsidRPr="004D13F9">
        <w:rPr>
          <w:rFonts w:asciiTheme="majorHAnsi" w:hAnsiTheme="majorHAnsi" w:cstheme="majorHAnsi"/>
        </w:rPr>
        <w:t>Human resource management expert Professor Dave Ulrich has shaped professional conversation on this issue. The Ross School of Business at Michigan is his affiliation. By improving employee skills, motivation, and dedication, human resources may strategically improve corporate performance, as Ulrich noted. He believes that good human resource management increases employee happiness by creating a favourable work environment and boosting the company's performance. HR activities that improve employee well-being and support corporate goals create consumer value, according to Ulrich (</w:t>
      </w:r>
      <w:proofErr w:type="spellStart"/>
      <w:r w:rsidRPr="004D13F9">
        <w:rPr>
          <w:rFonts w:asciiTheme="majorHAnsi" w:hAnsiTheme="majorHAnsi" w:cstheme="majorHAnsi"/>
        </w:rPr>
        <w:t>Boselie</w:t>
      </w:r>
      <w:proofErr w:type="spellEnd"/>
      <w:r w:rsidRPr="004D13F9">
        <w:rPr>
          <w:rFonts w:asciiTheme="majorHAnsi" w:hAnsiTheme="majorHAnsi" w:cstheme="majorHAnsi"/>
        </w:rPr>
        <w:t xml:space="preserve"> et al., 2021).</w:t>
      </w:r>
    </w:p>
    <w:p w14:paraId="2B23121F" w14:textId="77777777" w:rsidR="009827C6" w:rsidRPr="004D13F9" w:rsidRDefault="009827C6" w:rsidP="009827C6">
      <w:pPr>
        <w:spacing w:line="480" w:lineRule="auto"/>
        <w:jc w:val="both"/>
        <w:rPr>
          <w:rFonts w:asciiTheme="majorHAnsi" w:hAnsiTheme="majorHAnsi" w:cstheme="majorHAnsi"/>
        </w:rPr>
      </w:pPr>
      <w:r w:rsidRPr="004D13F9">
        <w:rPr>
          <w:rFonts w:asciiTheme="majorHAnsi" w:hAnsiTheme="majorHAnsi" w:cstheme="majorHAnsi"/>
        </w:rPr>
        <w:t>Exceptional human resource practices are essential for acquiring customer value insights, according to the Chartered Institute of Personnel and Development (CIPD). As a professional body in human resources and people development, the CIPD is well-known. The Chartered Institute of Personnel and Development defines customer value in HR as the influence HR activities have on employee happiness, efficiency, and well-being. Their study highlights the relevance of HR policies that encourage professional growth, employee engagement, equity, and promotion. These rules should also allow advancement. The Chartered Institute of Personnel and Development (CIPD) suggests that prioritising worker well-being in human resource interventions may boost organisational performance, industrial production, and staff retention (Phiri et al., 2022).</w:t>
      </w:r>
    </w:p>
    <w:p w14:paraId="7B7AF325" w14:textId="77777777" w:rsidR="009827C6" w:rsidRPr="004D13F9" w:rsidRDefault="009827C6" w:rsidP="009827C6">
      <w:pPr>
        <w:spacing w:line="480" w:lineRule="auto"/>
        <w:jc w:val="both"/>
        <w:rPr>
          <w:rFonts w:asciiTheme="majorHAnsi" w:hAnsiTheme="majorHAnsi" w:cstheme="majorHAnsi"/>
        </w:rPr>
      </w:pPr>
      <w:r w:rsidRPr="004D13F9">
        <w:rPr>
          <w:rFonts w:asciiTheme="majorHAnsi" w:hAnsiTheme="majorHAnsi" w:cstheme="majorHAnsi"/>
        </w:rPr>
        <w:t>Due to the challenges of healthcare and the importance of healthcare services, customer value in human resources is particularly important in the NHS. The NHS in the UK must support its diverse staff to provide treatment. This concept defines "customer value" as efforts to improve NHS staff wellbeing, happiness, and productivity. Administrative, support, and frontline professionals including physicians and nurses make up this workforce (</w:t>
      </w:r>
      <w:proofErr w:type="spellStart"/>
      <w:r w:rsidRPr="004D13F9">
        <w:rPr>
          <w:rFonts w:asciiTheme="majorHAnsi" w:hAnsiTheme="majorHAnsi" w:cstheme="majorHAnsi"/>
        </w:rPr>
        <w:t>Shemtob</w:t>
      </w:r>
      <w:proofErr w:type="spellEnd"/>
      <w:r w:rsidRPr="004D13F9">
        <w:rPr>
          <w:rFonts w:asciiTheme="majorHAnsi" w:hAnsiTheme="majorHAnsi" w:cstheme="majorHAnsi"/>
        </w:rPr>
        <w:t xml:space="preserve"> et al., 2022).</w:t>
      </w:r>
    </w:p>
    <w:p w14:paraId="36CEC203" w14:textId="77777777" w:rsidR="009827C6" w:rsidRPr="004D13F9" w:rsidRDefault="009827C6" w:rsidP="009827C6">
      <w:pPr>
        <w:spacing w:line="480" w:lineRule="auto"/>
        <w:jc w:val="both"/>
        <w:rPr>
          <w:rFonts w:asciiTheme="majorHAnsi" w:hAnsiTheme="majorHAnsi" w:cstheme="majorHAnsi"/>
        </w:rPr>
      </w:pPr>
      <w:r w:rsidRPr="004D13F9">
        <w:rPr>
          <w:rFonts w:asciiTheme="majorHAnsi" w:hAnsiTheme="majorHAnsi" w:cstheme="majorHAnsi"/>
        </w:rPr>
        <w:lastRenderedPageBreak/>
        <w:t>Many dynamic components are needed for the NHS to create customer value via human resources. NHS employees' mental, emotional, and physical health is promoted via employee wellness programmes. Health insurance, wellness programmes, and work-life balance technology help employees stay healthy and adaptive, allowing them to provide excellent patient care (Sayli et al., 2022).</w:t>
      </w:r>
    </w:p>
    <w:p w14:paraId="34F5B266" w14:textId="77777777" w:rsidR="009827C6" w:rsidRPr="004D13F9" w:rsidRDefault="009827C6" w:rsidP="009827C6">
      <w:pPr>
        <w:spacing w:line="480" w:lineRule="auto"/>
        <w:jc w:val="both"/>
        <w:rPr>
          <w:rFonts w:asciiTheme="majorHAnsi" w:hAnsiTheme="majorHAnsi" w:cstheme="majorHAnsi"/>
        </w:rPr>
      </w:pPr>
      <w:r w:rsidRPr="004D13F9">
        <w:rPr>
          <w:rFonts w:asciiTheme="majorHAnsi" w:hAnsiTheme="majorHAnsi" w:cstheme="majorHAnsi"/>
        </w:rPr>
        <w:t>Human Resources at the National Health Service prioritises work satisfaction and creates an open and welcoming atmosphere to motivate and appreciate staff. This includes creating an innovative and growing culture, offering professional development, and rewarding people for their achievements (Phiri et al., 2022).</w:t>
      </w:r>
    </w:p>
    <w:p w14:paraId="50C9CD91" w14:textId="07C69099" w:rsidR="009827C6" w:rsidRPr="004D13F9" w:rsidRDefault="009827C6" w:rsidP="009827C6">
      <w:pPr>
        <w:spacing w:line="480" w:lineRule="auto"/>
        <w:jc w:val="both"/>
        <w:rPr>
          <w:rFonts w:asciiTheme="majorHAnsi" w:hAnsiTheme="majorHAnsi" w:cstheme="majorHAnsi"/>
        </w:rPr>
      </w:pPr>
      <w:r w:rsidRPr="004D13F9">
        <w:rPr>
          <w:rFonts w:asciiTheme="majorHAnsi" w:hAnsiTheme="majorHAnsi" w:cstheme="majorHAnsi"/>
        </w:rPr>
        <w:t>NHS)</w:t>
      </w:r>
      <w:r w:rsidR="00AA2D3C" w:rsidRPr="004D13F9">
        <w:rPr>
          <w:rFonts w:asciiTheme="majorHAnsi" w:hAnsiTheme="majorHAnsi" w:cstheme="majorHAnsi"/>
        </w:rPr>
        <w:t xml:space="preserve"> </w:t>
      </w:r>
      <w:r w:rsidRPr="004D13F9">
        <w:rPr>
          <w:rFonts w:asciiTheme="majorHAnsi" w:hAnsiTheme="majorHAnsi" w:cstheme="majorHAnsi"/>
        </w:rPr>
        <w:t xml:space="preserve">Human Resources department also prioritises excellent HR practices to improve performance. Professional skill development, feedback, performance management, and more are possible with these activities. NHS Human tools </w:t>
      </w:r>
      <w:proofErr w:type="gramStart"/>
      <w:r w:rsidRPr="004D13F9">
        <w:rPr>
          <w:rFonts w:asciiTheme="majorHAnsi" w:hAnsiTheme="majorHAnsi" w:cstheme="majorHAnsi"/>
        </w:rPr>
        <w:t>improves</w:t>
      </w:r>
      <w:proofErr w:type="gramEnd"/>
      <w:r w:rsidRPr="004D13F9">
        <w:rPr>
          <w:rFonts w:asciiTheme="majorHAnsi" w:hAnsiTheme="majorHAnsi" w:cstheme="majorHAnsi"/>
        </w:rPr>
        <w:t xml:space="preserve"> employee performance by aligning workers with the organi</w:t>
      </w:r>
      <w:r w:rsidR="00AA2D3C" w:rsidRPr="004D13F9">
        <w:rPr>
          <w:rFonts w:asciiTheme="majorHAnsi" w:hAnsiTheme="majorHAnsi" w:cstheme="majorHAnsi"/>
        </w:rPr>
        <w:t>s</w:t>
      </w:r>
      <w:r w:rsidRPr="004D13F9">
        <w:rPr>
          <w:rFonts w:asciiTheme="majorHAnsi" w:hAnsiTheme="majorHAnsi" w:cstheme="majorHAnsi"/>
        </w:rPr>
        <w:t>ation's goals and providing them with the tools they need. Thus, patient outcomes and service delivery improve (</w:t>
      </w:r>
      <w:proofErr w:type="spellStart"/>
      <w:r w:rsidRPr="004D13F9">
        <w:rPr>
          <w:rFonts w:asciiTheme="majorHAnsi" w:hAnsiTheme="majorHAnsi" w:cstheme="majorHAnsi"/>
        </w:rPr>
        <w:t>Exworthy</w:t>
      </w:r>
      <w:proofErr w:type="spellEnd"/>
      <w:r w:rsidRPr="004D13F9">
        <w:rPr>
          <w:rFonts w:asciiTheme="majorHAnsi" w:hAnsiTheme="majorHAnsi" w:cstheme="majorHAnsi"/>
        </w:rPr>
        <w:t xml:space="preserve"> et al., 2024).</w:t>
      </w:r>
    </w:p>
    <w:p w14:paraId="68E01DB2" w14:textId="3CA1FA41" w:rsidR="009827C6" w:rsidRPr="004D13F9" w:rsidRDefault="009827C6" w:rsidP="009827C6">
      <w:pPr>
        <w:spacing w:line="480" w:lineRule="auto"/>
        <w:jc w:val="both"/>
        <w:rPr>
          <w:rFonts w:asciiTheme="majorHAnsi" w:hAnsiTheme="majorHAnsi" w:cstheme="majorHAnsi"/>
        </w:rPr>
      </w:pPr>
      <w:r w:rsidRPr="004D13F9">
        <w:rPr>
          <w:rFonts w:asciiTheme="majorHAnsi" w:hAnsiTheme="majorHAnsi" w:cstheme="majorHAnsi"/>
        </w:rPr>
        <w:t>Customer value in NHS HR includes commitment and engagement. Engaged NHS staff are more likely to go above and above, improve teamwork and cooperation, and engage in healthcare delivery and patient care activities (Drennan, 2019).</w:t>
      </w:r>
    </w:p>
    <w:p w14:paraId="00128022" w14:textId="77777777" w:rsidR="00F448D6" w:rsidRDefault="00F448D6" w:rsidP="009827C6">
      <w:pPr>
        <w:spacing w:line="480" w:lineRule="auto"/>
        <w:jc w:val="both"/>
        <w:rPr>
          <w:rFonts w:ascii="Times New Roman" w:hAnsi="Times New Roman" w:cs="Times New Roman"/>
          <w:sz w:val="24"/>
          <w:szCs w:val="24"/>
        </w:rPr>
      </w:pPr>
    </w:p>
    <w:p w14:paraId="49C0AD3A" w14:textId="7E1BFF23" w:rsidR="00F448D6" w:rsidRDefault="00F448D6" w:rsidP="009827C6">
      <w:pPr>
        <w:spacing w:line="480" w:lineRule="auto"/>
        <w:jc w:val="both"/>
        <w:rPr>
          <w:rFonts w:ascii="Times New Roman" w:hAnsi="Times New Roman" w:cs="Times New Roman"/>
          <w:sz w:val="24"/>
          <w:szCs w:val="24"/>
        </w:rPr>
      </w:pPr>
      <w:r>
        <w:rPr>
          <w:noProof/>
        </w:rPr>
        <w:lastRenderedPageBreak/>
        <w:drawing>
          <wp:inline distT="0" distB="0" distL="0" distR="0" wp14:anchorId="168DD997" wp14:editId="6E4746E3">
            <wp:extent cx="4514850" cy="2779334"/>
            <wp:effectExtent l="0" t="0" r="0" b="2540"/>
            <wp:docPr id="5" name="Picture 4" descr="A diagram of a customer brand value&#10;&#10;Description automatically generated">
              <a:extLst xmlns:a="http://schemas.openxmlformats.org/drawingml/2006/main">
                <a:ext uri="{FF2B5EF4-FFF2-40B4-BE49-F238E27FC236}">
                  <a16:creationId xmlns:a16="http://schemas.microsoft.com/office/drawing/2014/main" id="{D39BD78C-D721-1548-A1CD-D2FB0BE6042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diagram of a customer brand value&#10;&#10;Description automatically generated">
                      <a:extLst>
                        <a:ext uri="{FF2B5EF4-FFF2-40B4-BE49-F238E27FC236}">
                          <a16:creationId xmlns:a16="http://schemas.microsoft.com/office/drawing/2014/main" id="{D39BD78C-D721-1548-A1CD-D2FB0BE60426}"/>
                        </a:ext>
                      </a:extLst>
                    </pic:cNvPr>
                    <pic:cNvPicPr>
                      <a:picLocks noChangeAspect="1"/>
                    </pic:cNvPicPr>
                  </pic:nvPicPr>
                  <pic:blipFill>
                    <a:blip r:embed="rId9"/>
                    <a:stretch>
                      <a:fillRect/>
                    </a:stretch>
                  </pic:blipFill>
                  <pic:spPr>
                    <a:xfrm>
                      <a:off x="0" y="0"/>
                      <a:ext cx="4526162" cy="2786297"/>
                    </a:xfrm>
                    <a:prstGeom prst="rect">
                      <a:avLst/>
                    </a:prstGeom>
                  </pic:spPr>
                </pic:pic>
              </a:graphicData>
            </a:graphic>
          </wp:inline>
        </w:drawing>
      </w:r>
      <w:r>
        <w:rPr>
          <w:rFonts w:ascii="Times New Roman" w:hAnsi="Times New Roman" w:cs="Times New Roman"/>
          <w:sz w:val="24"/>
          <w:szCs w:val="24"/>
        </w:rPr>
        <w:t>(Kumar, 2020)</w:t>
      </w:r>
    </w:p>
    <w:p w14:paraId="46687079" w14:textId="11D60FDF" w:rsidR="00163F0B" w:rsidRPr="00150FC3" w:rsidRDefault="00163F0B" w:rsidP="00163F0B">
      <w:pPr>
        <w:spacing w:line="480" w:lineRule="auto"/>
        <w:jc w:val="both"/>
        <w:rPr>
          <w:rFonts w:asciiTheme="majorHAnsi" w:hAnsiTheme="majorHAnsi" w:cstheme="majorHAnsi"/>
        </w:rPr>
      </w:pPr>
      <w:r w:rsidRPr="00150FC3">
        <w:rPr>
          <w:rFonts w:asciiTheme="majorHAnsi" w:hAnsiTheme="majorHAnsi" w:cstheme="majorHAnsi"/>
        </w:rPr>
        <w:t xml:space="preserve">Customer contribution to firm profitability occurs in two ways: </w:t>
      </w:r>
    </w:p>
    <w:p w14:paraId="2FAF9FF5" w14:textId="5BF165AB" w:rsidR="00163F0B" w:rsidRPr="00163F0B" w:rsidRDefault="00874831" w:rsidP="00163F0B">
      <w:pPr>
        <w:spacing w:line="480" w:lineRule="auto"/>
        <w:jc w:val="both"/>
        <w:rPr>
          <w:rFonts w:asciiTheme="majorHAnsi" w:hAnsiTheme="majorHAnsi" w:cstheme="majorHAnsi"/>
        </w:rPr>
      </w:pPr>
      <w:r w:rsidRPr="00150FC3">
        <w:rPr>
          <w:rFonts w:asciiTheme="majorHAnsi" w:hAnsiTheme="majorHAnsi" w:cstheme="majorHAnsi"/>
        </w:rPr>
        <w:t>D</w:t>
      </w:r>
      <w:r w:rsidR="00163F0B" w:rsidRPr="00163F0B">
        <w:rPr>
          <w:rFonts w:asciiTheme="majorHAnsi" w:hAnsiTheme="majorHAnsi" w:cstheme="majorHAnsi"/>
        </w:rPr>
        <w:t xml:space="preserve">irectly - through their purchases, </w:t>
      </w:r>
    </w:p>
    <w:p w14:paraId="7F985736" w14:textId="7587DF81" w:rsidR="00163F0B" w:rsidRPr="00163F0B" w:rsidRDefault="00874831" w:rsidP="00163F0B">
      <w:pPr>
        <w:spacing w:line="480" w:lineRule="auto"/>
        <w:jc w:val="both"/>
        <w:rPr>
          <w:rFonts w:asciiTheme="majorHAnsi" w:hAnsiTheme="majorHAnsi" w:cstheme="majorHAnsi"/>
        </w:rPr>
      </w:pPr>
      <w:r w:rsidRPr="00150FC3">
        <w:rPr>
          <w:rFonts w:asciiTheme="majorHAnsi" w:hAnsiTheme="majorHAnsi" w:cstheme="majorHAnsi"/>
        </w:rPr>
        <w:t>I</w:t>
      </w:r>
      <w:r w:rsidR="00163F0B" w:rsidRPr="00163F0B">
        <w:rPr>
          <w:rFonts w:asciiTheme="majorHAnsi" w:hAnsiTheme="majorHAnsi" w:cstheme="majorHAnsi"/>
        </w:rPr>
        <w:t xml:space="preserve">ndirectly - through their non-purchase reactions, i.e., by making referrals to potential customers, by influencing current and potential customers in their network, or by using their own experiences to provide review/feedback for improvements. </w:t>
      </w:r>
    </w:p>
    <w:p w14:paraId="1256B153" w14:textId="3907F06C" w:rsidR="00163F0B" w:rsidRPr="00163F0B" w:rsidRDefault="00163F0B" w:rsidP="00163F0B">
      <w:pPr>
        <w:spacing w:line="480" w:lineRule="auto"/>
        <w:jc w:val="both"/>
        <w:rPr>
          <w:rFonts w:asciiTheme="majorHAnsi" w:hAnsiTheme="majorHAnsi" w:cstheme="majorHAnsi"/>
        </w:rPr>
      </w:pPr>
      <w:r w:rsidRPr="00163F0B">
        <w:rPr>
          <w:rFonts w:asciiTheme="majorHAnsi" w:hAnsiTheme="majorHAnsi" w:cstheme="majorHAnsi"/>
        </w:rPr>
        <w:t xml:space="preserve">Identifying the right set of customers who create value for the </w:t>
      </w:r>
      <w:r w:rsidR="00874831" w:rsidRPr="00150FC3">
        <w:rPr>
          <w:rFonts w:asciiTheme="majorHAnsi" w:hAnsiTheme="majorHAnsi" w:cstheme="majorHAnsi"/>
        </w:rPr>
        <w:t>organisation</w:t>
      </w:r>
      <w:r w:rsidRPr="00163F0B">
        <w:rPr>
          <w:rFonts w:asciiTheme="majorHAnsi" w:hAnsiTheme="majorHAnsi" w:cstheme="majorHAnsi"/>
        </w:rPr>
        <w:t xml:space="preserve"> can be useful in trying to maximize profits. In this regard, the Customer Engagement Value (CEV) framework can be used to identify and evaluate the right customer, who is successfully engaged with the </w:t>
      </w:r>
      <w:r w:rsidR="00874831" w:rsidRPr="00150FC3">
        <w:rPr>
          <w:rFonts w:asciiTheme="majorHAnsi" w:hAnsiTheme="majorHAnsi" w:cstheme="majorHAnsi"/>
        </w:rPr>
        <w:t>organisation</w:t>
      </w:r>
      <w:r w:rsidRPr="00163F0B">
        <w:rPr>
          <w:rFonts w:asciiTheme="majorHAnsi" w:hAnsiTheme="majorHAnsi" w:cstheme="majorHAnsi"/>
        </w:rPr>
        <w:t xml:space="preserve">, and who generates value and positively contributes to the profits of the </w:t>
      </w:r>
      <w:r w:rsidR="00874831" w:rsidRPr="00150FC3">
        <w:rPr>
          <w:rFonts w:asciiTheme="majorHAnsi" w:hAnsiTheme="majorHAnsi" w:cstheme="majorHAnsi"/>
        </w:rPr>
        <w:t>organisation.</w:t>
      </w:r>
    </w:p>
    <w:p w14:paraId="22DD76A0" w14:textId="0D5CBDE4" w:rsidR="00163F0B" w:rsidRPr="00163F0B" w:rsidRDefault="00163F0B" w:rsidP="00163F0B">
      <w:pPr>
        <w:spacing w:line="480" w:lineRule="auto"/>
        <w:jc w:val="both"/>
        <w:rPr>
          <w:rFonts w:asciiTheme="majorHAnsi" w:hAnsiTheme="majorHAnsi" w:cstheme="majorHAnsi"/>
        </w:rPr>
      </w:pPr>
      <w:r w:rsidRPr="00163F0B">
        <w:rPr>
          <w:rFonts w:asciiTheme="majorHAnsi" w:hAnsiTheme="majorHAnsi" w:cstheme="majorHAnsi"/>
        </w:rPr>
        <w:t>By consolidating all customer data into a single centralized system and using that system across the organi</w:t>
      </w:r>
      <w:r w:rsidRPr="00150FC3">
        <w:rPr>
          <w:rFonts w:asciiTheme="majorHAnsi" w:hAnsiTheme="majorHAnsi" w:cstheme="majorHAnsi"/>
        </w:rPr>
        <w:t>s</w:t>
      </w:r>
      <w:r w:rsidRPr="00163F0B">
        <w:rPr>
          <w:rFonts w:asciiTheme="majorHAnsi" w:hAnsiTheme="majorHAnsi" w:cstheme="majorHAnsi"/>
        </w:rPr>
        <w:t xml:space="preserve">ation, companies can gain valuable insights into what customers need, want and value most. </w:t>
      </w:r>
    </w:p>
    <w:p w14:paraId="251C97D1" w14:textId="6A4DFBDC" w:rsidR="00163F0B" w:rsidRPr="00163F0B" w:rsidRDefault="00163F0B" w:rsidP="00163F0B">
      <w:pPr>
        <w:spacing w:line="480" w:lineRule="auto"/>
        <w:jc w:val="both"/>
        <w:rPr>
          <w:rFonts w:asciiTheme="majorHAnsi" w:hAnsiTheme="majorHAnsi" w:cstheme="majorHAnsi"/>
        </w:rPr>
      </w:pPr>
      <w:r w:rsidRPr="00163F0B">
        <w:rPr>
          <w:rFonts w:asciiTheme="majorHAnsi" w:hAnsiTheme="majorHAnsi" w:cstheme="majorHAnsi"/>
        </w:rPr>
        <w:t>Further</w:t>
      </w:r>
      <w:r w:rsidR="00150FC3">
        <w:rPr>
          <w:rFonts w:asciiTheme="majorHAnsi" w:hAnsiTheme="majorHAnsi" w:cstheme="majorHAnsi"/>
        </w:rPr>
        <w:t>, organisation</w:t>
      </w:r>
      <w:r w:rsidRPr="00163F0B">
        <w:rPr>
          <w:rFonts w:asciiTheme="majorHAnsi" w:hAnsiTheme="majorHAnsi" w:cstheme="majorHAnsi"/>
        </w:rPr>
        <w:t xml:space="preserve"> can identify important trends and patterns in the data that contribute to the success of the business. As a result, the total value from a customer’s engagement could evolve from the measurement of CLV, </w:t>
      </w:r>
      <w:proofErr w:type="spellStart"/>
      <w:r w:rsidRPr="00163F0B">
        <w:rPr>
          <w:rFonts w:asciiTheme="majorHAnsi" w:hAnsiTheme="majorHAnsi" w:cstheme="majorHAnsi"/>
        </w:rPr>
        <w:t>CBV</w:t>
      </w:r>
      <w:proofErr w:type="spellEnd"/>
      <w:r w:rsidRPr="00163F0B">
        <w:rPr>
          <w:rFonts w:asciiTheme="majorHAnsi" w:hAnsiTheme="majorHAnsi" w:cstheme="majorHAnsi"/>
        </w:rPr>
        <w:t xml:space="preserve">, CRV, CIV and </w:t>
      </w:r>
      <w:proofErr w:type="spellStart"/>
      <w:r w:rsidRPr="00163F0B">
        <w:rPr>
          <w:rFonts w:asciiTheme="majorHAnsi" w:hAnsiTheme="majorHAnsi" w:cstheme="majorHAnsi"/>
        </w:rPr>
        <w:t>CKV</w:t>
      </w:r>
      <w:proofErr w:type="spellEnd"/>
      <w:r w:rsidRPr="00163F0B">
        <w:rPr>
          <w:rFonts w:asciiTheme="majorHAnsi" w:hAnsiTheme="majorHAnsi" w:cstheme="majorHAnsi"/>
        </w:rPr>
        <w:t xml:space="preserve"> of that customer. This ensemble of metrics helps </w:t>
      </w:r>
      <w:r w:rsidR="00150FC3">
        <w:rPr>
          <w:rFonts w:asciiTheme="majorHAnsi" w:hAnsiTheme="majorHAnsi" w:cstheme="majorHAnsi"/>
        </w:rPr>
        <w:lastRenderedPageBreak/>
        <w:t xml:space="preserve">organisation </w:t>
      </w:r>
      <w:r w:rsidRPr="00163F0B">
        <w:rPr>
          <w:rFonts w:asciiTheme="majorHAnsi" w:hAnsiTheme="majorHAnsi" w:cstheme="majorHAnsi"/>
        </w:rPr>
        <w:t>assess the degree (in value terms) to which a customer directly or indirectly impacts a firm or its product, with the goal of increasing the profitability of the firm.</w:t>
      </w:r>
    </w:p>
    <w:p w14:paraId="6E9DBEF2" w14:textId="77777777" w:rsidR="00BC72F5" w:rsidRPr="004E4FEC" w:rsidRDefault="00BC72F5" w:rsidP="00BC72F5">
      <w:pPr>
        <w:pStyle w:val="Heading2"/>
        <w:spacing w:line="480" w:lineRule="auto"/>
        <w:jc w:val="both"/>
        <w:rPr>
          <w:rFonts w:cs="Times New Roman"/>
        </w:rPr>
      </w:pPr>
      <w:bookmarkStart w:id="11" w:name="_Toc170762114"/>
      <w:bookmarkStart w:id="12" w:name="_Toc171005109"/>
      <w:r w:rsidRPr="004E4FEC">
        <w:rPr>
          <w:rFonts w:cs="Times New Roman"/>
        </w:rPr>
        <w:t>Where does your own organisation fit in?</w:t>
      </w:r>
      <w:bookmarkEnd w:id="11"/>
      <w:bookmarkEnd w:id="12"/>
    </w:p>
    <w:p w14:paraId="34B340C0" w14:textId="77777777" w:rsidR="00BC72F5" w:rsidRPr="009B15B9" w:rsidRDefault="00BC72F5" w:rsidP="00BC72F5">
      <w:pPr>
        <w:spacing w:line="480" w:lineRule="auto"/>
        <w:jc w:val="both"/>
        <w:rPr>
          <w:rFonts w:asciiTheme="majorHAnsi" w:hAnsiTheme="majorHAnsi" w:cstheme="majorHAnsi"/>
        </w:rPr>
      </w:pPr>
      <w:r w:rsidRPr="009B15B9">
        <w:rPr>
          <w:rFonts w:asciiTheme="majorHAnsi" w:hAnsiTheme="majorHAnsi" w:cstheme="majorHAnsi"/>
        </w:rPr>
        <w:t>The NHS can discover strengths and areas for development in respect to industry standards and best practices by comparing its HR operations to those of other top healthcare organisations (Hoyle et al., 2024). This comparison may show NHS’s strengths and weaknesses.</w:t>
      </w:r>
    </w:p>
    <w:p w14:paraId="5BC7E2E2" w14:textId="740ACC56" w:rsidR="00BC72F5" w:rsidRPr="009B15B9" w:rsidRDefault="00BC72F5" w:rsidP="00BC72F5">
      <w:pPr>
        <w:spacing w:line="480" w:lineRule="auto"/>
        <w:jc w:val="both"/>
        <w:rPr>
          <w:rFonts w:asciiTheme="majorHAnsi" w:hAnsiTheme="majorHAnsi" w:cstheme="majorHAnsi"/>
        </w:rPr>
      </w:pPr>
      <w:r w:rsidRPr="009B15B9">
        <w:rPr>
          <w:rFonts w:asciiTheme="majorHAnsi" w:hAnsiTheme="majorHAnsi" w:cstheme="majorHAnsi"/>
        </w:rPr>
        <w:t xml:space="preserve">The National Health Service (NHS), a worldwide healthcare leader, faces innovative </w:t>
      </w:r>
      <w:proofErr w:type="spellStart"/>
      <w:r w:rsidRPr="009B15B9">
        <w:rPr>
          <w:rFonts w:asciiTheme="majorHAnsi" w:hAnsiTheme="majorHAnsi" w:cstheme="majorHAnsi"/>
        </w:rPr>
        <w:t>HRM</w:t>
      </w:r>
      <w:proofErr w:type="spellEnd"/>
      <w:r w:rsidRPr="009B15B9">
        <w:rPr>
          <w:rFonts w:asciiTheme="majorHAnsi" w:hAnsiTheme="majorHAnsi" w:cstheme="majorHAnsi"/>
        </w:rPr>
        <w:t xml:space="preserve"> problems and opportunities. The National Health Service emphasises staff education, unlike other companies. Professional development is a priority for NHS employees. This devotion improves patient outcomes and staff morale (Drennan, 2019).</w:t>
      </w:r>
    </w:p>
    <w:p w14:paraId="1E57EFD7" w14:textId="77777777" w:rsidR="00BC72F5" w:rsidRPr="009B15B9" w:rsidRDefault="00BC72F5" w:rsidP="00BC72F5">
      <w:pPr>
        <w:spacing w:line="480" w:lineRule="auto"/>
        <w:jc w:val="both"/>
        <w:rPr>
          <w:rFonts w:asciiTheme="majorHAnsi" w:hAnsiTheme="majorHAnsi" w:cstheme="majorHAnsi"/>
        </w:rPr>
      </w:pPr>
      <w:r w:rsidRPr="009B15B9">
        <w:rPr>
          <w:rFonts w:asciiTheme="majorHAnsi" w:hAnsiTheme="majorHAnsi" w:cstheme="majorHAnsi"/>
        </w:rPr>
        <w:t>The NHS has made progress in workplace diversity and inclusion, another positive development. NHS fosters diversity, protects employee rights, and welcomes people from all backgrounds. Therefore, it's vital to develop a welcoming, bias-free, and egalitarian workplace. The NHS creates an inclusive workplace to satisfy the demands of its diverse patient population and boost worker engagement and productivity (Teoh et al., 2023).</w:t>
      </w:r>
    </w:p>
    <w:p w14:paraId="2E98C89F" w14:textId="77777777" w:rsidR="00BC72F5" w:rsidRPr="009B15B9" w:rsidRDefault="00BC72F5" w:rsidP="00BC72F5">
      <w:pPr>
        <w:spacing w:line="480" w:lineRule="auto"/>
        <w:jc w:val="both"/>
        <w:rPr>
          <w:rFonts w:asciiTheme="majorHAnsi" w:hAnsiTheme="majorHAnsi" w:cstheme="majorHAnsi"/>
        </w:rPr>
      </w:pPr>
      <w:r w:rsidRPr="009B15B9">
        <w:rPr>
          <w:rFonts w:asciiTheme="majorHAnsi" w:hAnsiTheme="majorHAnsi" w:cstheme="majorHAnsi"/>
        </w:rPr>
        <w:t>The NHS uses creative methods to recruit and retain workers. The NHS provides advantages to a diverse staff. Flexible work hours, relocation assistance, and competitive pay are benefits. In many medical facilities, dedicated workers give outstanding care thanks to these efforts (Drennan, 2019).</w:t>
      </w:r>
    </w:p>
    <w:p w14:paraId="36555A79" w14:textId="77777777" w:rsidR="00BC72F5" w:rsidRPr="009B15B9" w:rsidRDefault="00BC72F5" w:rsidP="00BC72F5">
      <w:pPr>
        <w:spacing w:line="480" w:lineRule="auto"/>
        <w:jc w:val="both"/>
        <w:rPr>
          <w:rFonts w:asciiTheme="majorHAnsi" w:hAnsiTheme="majorHAnsi" w:cstheme="majorHAnsi"/>
        </w:rPr>
      </w:pPr>
      <w:r w:rsidRPr="009B15B9">
        <w:rPr>
          <w:rFonts w:asciiTheme="majorHAnsi" w:hAnsiTheme="majorHAnsi" w:cstheme="majorHAnsi"/>
        </w:rPr>
        <w:t xml:space="preserve">The NHS's human resources strategy, like those of other big healthcare institutions, has pros and cons. Human resources procedures and systems must be improved for efficient activity execution. Streamlining administrative processes, improving digital human resources capabilities, and improving communication </w:t>
      </w:r>
      <w:r w:rsidRPr="009B15B9">
        <w:rPr>
          <w:rFonts w:asciiTheme="majorHAnsi" w:hAnsiTheme="majorHAnsi" w:cstheme="majorHAnsi"/>
        </w:rPr>
        <w:lastRenderedPageBreak/>
        <w:t>between healthcare facilities and HR departments may minimise administrative constraints on staff and simplify operations. These methods may provide you all these benefits (Blake et al., 2020).</w:t>
      </w:r>
    </w:p>
    <w:p w14:paraId="037C9E37" w14:textId="77777777" w:rsidR="00BC72F5" w:rsidRPr="009B15B9" w:rsidRDefault="00BC72F5" w:rsidP="00BC72F5">
      <w:pPr>
        <w:spacing w:line="480" w:lineRule="auto"/>
        <w:jc w:val="both"/>
        <w:rPr>
          <w:rFonts w:asciiTheme="majorHAnsi" w:hAnsiTheme="majorHAnsi" w:cstheme="majorHAnsi"/>
        </w:rPr>
      </w:pPr>
      <w:r w:rsidRPr="009B15B9">
        <w:rPr>
          <w:rFonts w:asciiTheme="majorHAnsi" w:hAnsiTheme="majorHAnsi" w:cstheme="majorHAnsi"/>
        </w:rPr>
        <w:t>Despite the effectiveness of worker engagement programmes, NHS transparency and communication may be improved. An effective and engaged workforce requires communicative leadership, accessible feedback, and clear organisational objectives. All of these are essential for business success (Booth et al., 2021).</w:t>
      </w:r>
    </w:p>
    <w:p w14:paraId="5ECE57AE" w14:textId="77777777" w:rsidR="00BC72F5" w:rsidRPr="009B15B9" w:rsidRDefault="00BC72F5" w:rsidP="00BC72F5">
      <w:pPr>
        <w:spacing w:line="480" w:lineRule="auto"/>
        <w:jc w:val="both"/>
        <w:rPr>
          <w:rFonts w:asciiTheme="majorHAnsi" w:hAnsiTheme="majorHAnsi" w:cstheme="majorHAnsi"/>
        </w:rPr>
      </w:pPr>
      <w:r w:rsidRPr="009B15B9">
        <w:rPr>
          <w:rFonts w:asciiTheme="majorHAnsi" w:hAnsiTheme="majorHAnsi" w:cstheme="majorHAnsi"/>
        </w:rPr>
        <w:t>Compare the NHS's Human Resources policies and procedures to those of other important healthcare organisations globally to learn from their experiences. Respected companies emphasise employee well-being and contentment, invest leader development, and utilise technology to expedite human resources operations. The NHS may improve its success by analysing how other companies handle worker relationships, talent, and performance (Currie et al., 2020).</w:t>
      </w:r>
    </w:p>
    <w:p w14:paraId="2D0694CA" w14:textId="77777777" w:rsidR="00BC72F5" w:rsidRPr="009B15B9" w:rsidRDefault="00BC72F5" w:rsidP="00BC72F5">
      <w:pPr>
        <w:spacing w:line="480" w:lineRule="auto"/>
        <w:jc w:val="both"/>
        <w:rPr>
          <w:rFonts w:asciiTheme="majorHAnsi" w:hAnsiTheme="majorHAnsi" w:cstheme="majorHAnsi"/>
        </w:rPr>
      </w:pPr>
      <w:r w:rsidRPr="009B15B9">
        <w:rPr>
          <w:rFonts w:asciiTheme="majorHAnsi" w:hAnsiTheme="majorHAnsi" w:cstheme="majorHAnsi"/>
        </w:rPr>
        <w:t>The National Health Service Human Resources department must assess and improve its operations according to industry standards and creative HR initiatives to succeed. To attain this goal, HR must create a learning and innovation environment, use data analytics in workforce planning, and build dependable performance management tools that correspond with the firm's goals (Anderson et al., 2021).</w:t>
      </w:r>
    </w:p>
    <w:p w14:paraId="3EC0A4BD" w14:textId="77777777" w:rsidR="009827C6" w:rsidRPr="004E4FEC" w:rsidRDefault="009827C6" w:rsidP="008C0ED7">
      <w:pPr>
        <w:spacing w:line="480" w:lineRule="auto"/>
        <w:jc w:val="both"/>
        <w:rPr>
          <w:rFonts w:ascii="Times New Roman" w:hAnsi="Times New Roman" w:cs="Times New Roman"/>
          <w:sz w:val="24"/>
          <w:szCs w:val="24"/>
        </w:rPr>
      </w:pPr>
    </w:p>
    <w:p w14:paraId="642B770A" w14:textId="77777777" w:rsidR="008C0ED7" w:rsidRPr="004E4FEC" w:rsidRDefault="008C0ED7" w:rsidP="00D330DF">
      <w:pPr>
        <w:spacing w:line="480" w:lineRule="auto"/>
        <w:jc w:val="both"/>
        <w:rPr>
          <w:rFonts w:ascii="Times New Roman" w:hAnsi="Times New Roman" w:cs="Times New Roman"/>
          <w:sz w:val="24"/>
          <w:szCs w:val="24"/>
        </w:rPr>
      </w:pPr>
    </w:p>
    <w:p w14:paraId="7258CC97" w14:textId="77777777" w:rsidR="00D330DF" w:rsidRPr="004E4FEC" w:rsidRDefault="00D330DF" w:rsidP="00F811F5">
      <w:pPr>
        <w:spacing w:line="480" w:lineRule="auto"/>
        <w:jc w:val="both"/>
        <w:rPr>
          <w:rFonts w:ascii="Times New Roman" w:hAnsi="Times New Roman" w:cs="Times New Roman"/>
          <w:sz w:val="24"/>
          <w:szCs w:val="24"/>
        </w:rPr>
      </w:pPr>
    </w:p>
    <w:p w14:paraId="305A9EA7" w14:textId="77777777" w:rsidR="00974EB7" w:rsidRPr="00974EB7" w:rsidRDefault="00974EB7" w:rsidP="00974EB7">
      <w:pPr>
        <w:pStyle w:val="NoSpacing"/>
      </w:pPr>
    </w:p>
    <w:p w14:paraId="772F9EA5" w14:textId="0995764E" w:rsidR="00947878" w:rsidRPr="004E4FEC" w:rsidRDefault="009B15B9" w:rsidP="0042275E">
      <w:pPr>
        <w:pStyle w:val="Heading1"/>
        <w:spacing w:line="480" w:lineRule="auto"/>
        <w:rPr>
          <w:rFonts w:cs="Times New Roman"/>
          <w:szCs w:val="24"/>
        </w:rPr>
      </w:pPr>
      <w:bookmarkStart w:id="13" w:name="_Toc170762115"/>
      <w:bookmarkStart w:id="14" w:name="_Toc171005110"/>
      <w:r w:rsidRPr="004E4FEC">
        <w:rPr>
          <w:rFonts w:cs="Times New Roman"/>
          <w:szCs w:val="24"/>
        </w:rPr>
        <w:lastRenderedPageBreak/>
        <w:t>DEMONSTRATE CRITICAL UNDERSTANDING OF ORGANISATIONS QUALITY PROCESSES AND ITS EFFECTIVENESS IN MEETING CUSTOMER REQUIREMENTS</w:t>
      </w:r>
      <w:bookmarkEnd w:id="13"/>
      <w:bookmarkEnd w:id="14"/>
    </w:p>
    <w:p w14:paraId="41FD2BD5" w14:textId="77777777" w:rsidR="00947878" w:rsidRPr="004E4FEC" w:rsidRDefault="00947878" w:rsidP="00947878">
      <w:pPr>
        <w:spacing w:line="480" w:lineRule="auto"/>
        <w:jc w:val="both"/>
        <w:rPr>
          <w:rStyle w:val="Heading2Char"/>
          <w:rFonts w:cs="Times New Roman"/>
          <w:szCs w:val="24"/>
        </w:rPr>
      </w:pPr>
      <w:bookmarkStart w:id="15" w:name="_Toc170762116"/>
      <w:bookmarkStart w:id="16" w:name="_Toc171005111"/>
      <w:r w:rsidRPr="004E4FEC">
        <w:rPr>
          <w:rStyle w:val="Heading2Char"/>
          <w:rFonts w:cs="Times New Roman"/>
          <w:szCs w:val="24"/>
        </w:rPr>
        <w:t>What is critical understanding?</w:t>
      </w:r>
      <w:bookmarkEnd w:id="15"/>
      <w:bookmarkEnd w:id="16"/>
    </w:p>
    <w:p w14:paraId="28876D10" w14:textId="77777777" w:rsidR="00947878" w:rsidRPr="00AF4B61" w:rsidRDefault="00947878" w:rsidP="00AF4B61">
      <w:pPr>
        <w:spacing w:line="480" w:lineRule="auto"/>
        <w:jc w:val="both"/>
        <w:rPr>
          <w:rFonts w:asciiTheme="majorHAnsi" w:hAnsiTheme="majorHAnsi" w:cstheme="majorHAnsi"/>
        </w:rPr>
      </w:pPr>
      <w:r w:rsidRPr="00AF4B61">
        <w:rPr>
          <w:rFonts w:asciiTheme="majorHAnsi" w:hAnsiTheme="majorHAnsi" w:cstheme="majorHAnsi"/>
        </w:rPr>
        <w:t xml:space="preserve">Critical thinking in human resources entails considering HR practises' pros and cons and how they will </w:t>
      </w:r>
      <w:proofErr w:type="spellStart"/>
      <w:proofErr w:type="gramStart"/>
      <w:r w:rsidRPr="00AF4B61">
        <w:rPr>
          <w:rFonts w:asciiTheme="majorHAnsi" w:hAnsiTheme="majorHAnsi" w:cstheme="majorHAnsi"/>
        </w:rPr>
        <w:t>effect</w:t>
      </w:r>
      <w:proofErr w:type="spellEnd"/>
      <w:proofErr w:type="gramEnd"/>
      <w:r w:rsidRPr="00AF4B61">
        <w:rPr>
          <w:rFonts w:asciiTheme="majorHAnsi" w:hAnsiTheme="majorHAnsi" w:cstheme="majorHAnsi"/>
        </w:rPr>
        <w:t xml:space="preserve"> the organisation's goals and worker motivation. This method goes beyond surface evaluations to show a company's HR practices' causes and effects (Drennan, 2019).</w:t>
      </w:r>
    </w:p>
    <w:p w14:paraId="6E6FBAC1" w14:textId="7E3E0880" w:rsidR="00947878" w:rsidRPr="00AF4B61" w:rsidRDefault="00947878" w:rsidP="00AF4B61">
      <w:pPr>
        <w:spacing w:line="480" w:lineRule="auto"/>
        <w:jc w:val="both"/>
        <w:rPr>
          <w:rFonts w:asciiTheme="majorHAnsi" w:hAnsiTheme="majorHAnsi" w:cstheme="majorHAnsi"/>
        </w:rPr>
      </w:pPr>
      <w:r w:rsidRPr="00AF4B61">
        <w:rPr>
          <w:rFonts w:asciiTheme="majorHAnsi" w:hAnsiTheme="majorHAnsi" w:cstheme="majorHAnsi"/>
        </w:rPr>
        <w:t xml:space="preserve">HR professionals must think critically to evaluate HR operations. Before starting any action, it's important to understand the fundamentals of human resources. Recruitment, performance reviews, training, remuneration, incentive structures, effective communication, and organisational culture are the main subjects. </w:t>
      </w:r>
      <w:r w:rsidR="00AE7ABD" w:rsidRPr="00AF4B61">
        <w:rPr>
          <w:rFonts w:asciiTheme="majorHAnsi" w:hAnsiTheme="majorHAnsi" w:cstheme="majorHAnsi"/>
        </w:rPr>
        <w:t>Each one</w:t>
      </w:r>
      <w:r w:rsidRPr="00AF4B61">
        <w:rPr>
          <w:rFonts w:asciiTheme="majorHAnsi" w:hAnsiTheme="majorHAnsi" w:cstheme="majorHAnsi"/>
        </w:rPr>
        <w:t xml:space="preserve"> is important for the company's success and employee satisfaction (</w:t>
      </w:r>
      <w:proofErr w:type="spellStart"/>
      <w:r w:rsidRPr="00AF4B61">
        <w:rPr>
          <w:rFonts w:asciiTheme="majorHAnsi" w:hAnsiTheme="majorHAnsi" w:cstheme="majorHAnsi"/>
        </w:rPr>
        <w:t>Boselie</w:t>
      </w:r>
      <w:proofErr w:type="spellEnd"/>
      <w:r w:rsidRPr="00AF4B61">
        <w:rPr>
          <w:rFonts w:asciiTheme="majorHAnsi" w:hAnsiTheme="majorHAnsi" w:cstheme="majorHAnsi"/>
        </w:rPr>
        <w:t xml:space="preserve"> et al., 2021).</w:t>
      </w:r>
    </w:p>
    <w:p w14:paraId="4F5C63F1" w14:textId="11784F72" w:rsidR="00947878" w:rsidRPr="00AF4B61" w:rsidRDefault="00947878" w:rsidP="00AF4B61">
      <w:pPr>
        <w:spacing w:line="480" w:lineRule="auto"/>
        <w:jc w:val="both"/>
        <w:rPr>
          <w:rFonts w:asciiTheme="majorHAnsi" w:hAnsiTheme="majorHAnsi" w:cstheme="majorHAnsi"/>
        </w:rPr>
      </w:pPr>
      <w:r w:rsidRPr="00AF4B61">
        <w:rPr>
          <w:rFonts w:asciiTheme="majorHAnsi" w:hAnsiTheme="majorHAnsi" w:cstheme="majorHAnsi"/>
        </w:rPr>
        <w:t>Current recruitment techniques must be evaluated for their ability to attract and retain candidates and fit with the organi</w:t>
      </w:r>
      <w:r w:rsidR="009D2306" w:rsidRPr="00AF4B61">
        <w:rPr>
          <w:rFonts w:asciiTheme="majorHAnsi" w:hAnsiTheme="majorHAnsi" w:cstheme="majorHAnsi"/>
        </w:rPr>
        <w:t>s</w:t>
      </w:r>
      <w:r w:rsidRPr="00AF4B61">
        <w:rPr>
          <w:rFonts w:asciiTheme="majorHAnsi" w:hAnsiTheme="majorHAnsi" w:cstheme="majorHAnsi"/>
        </w:rPr>
        <w:t>ation's goals. This study might examine recruiting quality, diversity efforts, and job filling time. the HR department increase</w:t>
      </w:r>
      <w:r w:rsidR="009D2306" w:rsidRPr="00AF4B61">
        <w:rPr>
          <w:rFonts w:asciiTheme="majorHAnsi" w:hAnsiTheme="majorHAnsi" w:cstheme="majorHAnsi"/>
        </w:rPr>
        <w:t>s</w:t>
      </w:r>
      <w:r w:rsidRPr="00AF4B61">
        <w:rPr>
          <w:rFonts w:asciiTheme="majorHAnsi" w:hAnsiTheme="majorHAnsi" w:cstheme="majorHAnsi"/>
        </w:rPr>
        <w:t xml:space="preserve"> hiring and staff diversity (</w:t>
      </w:r>
      <w:proofErr w:type="spellStart"/>
      <w:r w:rsidRPr="00AF4B61">
        <w:rPr>
          <w:rFonts w:asciiTheme="majorHAnsi" w:hAnsiTheme="majorHAnsi" w:cstheme="majorHAnsi"/>
        </w:rPr>
        <w:t>Exworthy</w:t>
      </w:r>
      <w:proofErr w:type="spellEnd"/>
      <w:r w:rsidRPr="00AF4B61">
        <w:rPr>
          <w:rFonts w:asciiTheme="majorHAnsi" w:hAnsiTheme="majorHAnsi" w:cstheme="majorHAnsi"/>
        </w:rPr>
        <w:t xml:space="preserve"> et al., 2024).</w:t>
      </w:r>
    </w:p>
    <w:p w14:paraId="2672E8B2" w14:textId="77777777" w:rsidR="00947878" w:rsidRPr="00AF4B61" w:rsidRDefault="00947878" w:rsidP="00AF4B61">
      <w:pPr>
        <w:spacing w:line="480" w:lineRule="auto"/>
        <w:jc w:val="both"/>
        <w:rPr>
          <w:rFonts w:asciiTheme="majorHAnsi" w:hAnsiTheme="majorHAnsi" w:cstheme="majorHAnsi"/>
        </w:rPr>
      </w:pPr>
      <w:r w:rsidRPr="00AF4B61">
        <w:rPr>
          <w:rFonts w:asciiTheme="majorHAnsi" w:hAnsiTheme="majorHAnsi" w:cstheme="majorHAnsi"/>
        </w:rPr>
        <w:t>Critical thinking in development and training evaluates how effectively training courses prepare students for employment. This test covers several topics, including instructional material distribution. Consider ways to include participant feedback, connect strategic objectives, and apply what you learned at work. HR professionals may evaluate and improve training programmes' content, delivery, and skill development assistance (Hoyle et al., 2024).</w:t>
      </w:r>
    </w:p>
    <w:p w14:paraId="2155CDD5" w14:textId="77777777" w:rsidR="00947878" w:rsidRPr="00AF4B61" w:rsidRDefault="00947878" w:rsidP="00AF4B61">
      <w:pPr>
        <w:spacing w:line="480" w:lineRule="auto"/>
        <w:jc w:val="both"/>
        <w:rPr>
          <w:rFonts w:asciiTheme="majorHAnsi" w:hAnsiTheme="majorHAnsi" w:cstheme="majorHAnsi"/>
        </w:rPr>
      </w:pPr>
      <w:r w:rsidRPr="00AF4B61">
        <w:rPr>
          <w:rFonts w:asciiTheme="majorHAnsi" w:hAnsiTheme="majorHAnsi" w:cstheme="majorHAnsi"/>
        </w:rPr>
        <w:t xml:space="preserve">Effective performance management takes expertise. Human resources </w:t>
      </w:r>
      <w:proofErr w:type="gramStart"/>
      <w:r w:rsidRPr="00AF4B61">
        <w:rPr>
          <w:rFonts w:asciiTheme="majorHAnsi" w:hAnsiTheme="majorHAnsi" w:cstheme="majorHAnsi"/>
        </w:rPr>
        <w:t>evaluates</w:t>
      </w:r>
      <w:proofErr w:type="gramEnd"/>
      <w:r w:rsidRPr="00AF4B61">
        <w:rPr>
          <w:rFonts w:asciiTheme="majorHAnsi" w:hAnsiTheme="majorHAnsi" w:cstheme="majorHAnsi"/>
        </w:rPr>
        <w:t xml:space="preserve"> performance assessment systems for fairness, openness, and efficacy. These acts motivate workers, identify </w:t>
      </w:r>
      <w:r w:rsidRPr="00AF4B61">
        <w:rPr>
          <w:rFonts w:asciiTheme="majorHAnsi" w:hAnsiTheme="majorHAnsi" w:cstheme="majorHAnsi"/>
        </w:rPr>
        <w:lastRenderedPageBreak/>
        <w:t>development opportunities, and link performance with organisational objectives. Thus, performance feedback's effects on morale and engagement, team assessment uniformity, and individual performance indicator reliability must be examined. Human resources may utilise key information to improve performance management tactics, which are crucial to corporate success and employee growth (Phiri et al., 2022).</w:t>
      </w:r>
    </w:p>
    <w:p w14:paraId="612457C0" w14:textId="77777777" w:rsidR="00AF4B61" w:rsidRDefault="00947878" w:rsidP="00AF4B61">
      <w:pPr>
        <w:spacing w:line="480" w:lineRule="auto"/>
        <w:rPr>
          <w:rFonts w:asciiTheme="majorHAnsi" w:hAnsiTheme="majorHAnsi" w:cstheme="majorHAnsi"/>
        </w:rPr>
      </w:pPr>
      <w:r w:rsidRPr="00AF4B61">
        <w:rPr>
          <w:rFonts w:asciiTheme="majorHAnsi" w:hAnsiTheme="majorHAnsi" w:cstheme="majorHAnsi"/>
        </w:rPr>
        <w:t xml:space="preserve">Assessing the different pay and benefit alternatives is crucial to learning. Human resources professionals should review the following factors to ensure pay rates are fair, competitive, and in line with market norms and employee expectations. This research shows that remuneration schemes attract, retain, and motivate employees to perform effectively. This is done by asking workers for input, comparing salaries, and evaluating benefits. </w:t>
      </w:r>
      <w:r w:rsidRPr="00AF4B61">
        <w:rPr>
          <w:rFonts w:asciiTheme="majorHAnsi" w:hAnsiTheme="majorHAnsi" w:cstheme="majorHAnsi"/>
        </w:rPr>
        <w:br/>
        <w:t>Understanding worker interactions and company culture is crucial. The HR department evaluates workplace satisfaction programmes, conflict resolution procedures, and business communication channels. The HR department may promote respect and trust among employees by assessing employee relations</w:t>
      </w:r>
      <w:r w:rsidR="00AF4B61">
        <w:rPr>
          <w:rFonts w:asciiTheme="majorHAnsi" w:hAnsiTheme="majorHAnsi" w:cstheme="majorHAnsi"/>
        </w:rPr>
        <w:t xml:space="preserve"> </w:t>
      </w:r>
      <w:r w:rsidRPr="00AF4B61">
        <w:rPr>
          <w:rFonts w:asciiTheme="majorHAnsi" w:hAnsiTheme="majorHAnsi" w:cstheme="majorHAnsi"/>
        </w:rPr>
        <w:t xml:space="preserve">techniques' pros and cons. </w:t>
      </w:r>
      <w:r w:rsidRPr="00AF4B61">
        <w:rPr>
          <w:rFonts w:asciiTheme="majorHAnsi" w:hAnsiTheme="majorHAnsi" w:cstheme="majorHAnsi"/>
        </w:rPr>
        <w:br/>
        <w:t xml:space="preserve">Human resources professionals use surveys, focus groups, quantitative and qualitative research, literature studies, and industry standard comparisons. These </w:t>
      </w:r>
      <w:proofErr w:type="gramStart"/>
      <w:r w:rsidRPr="00AF4B61">
        <w:rPr>
          <w:rFonts w:asciiTheme="majorHAnsi" w:hAnsiTheme="majorHAnsi" w:cstheme="majorHAnsi"/>
        </w:rPr>
        <w:t>sources</w:t>
      </w:r>
      <w:r w:rsidR="00447E37" w:rsidRPr="00AF4B61">
        <w:rPr>
          <w:rFonts w:asciiTheme="majorHAnsi" w:hAnsiTheme="majorHAnsi" w:cstheme="majorHAnsi"/>
        </w:rPr>
        <w:t>./</w:t>
      </w:r>
      <w:proofErr w:type="gramEnd"/>
      <w:r w:rsidRPr="00AF4B61">
        <w:rPr>
          <w:rFonts w:asciiTheme="majorHAnsi" w:hAnsiTheme="majorHAnsi" w:cstheme="majorHAnsi"/>
        </w:rPr>
        <w:t xml:space="preserve"> provide them useful information. These methods help explain how human resource management processes affect workplace happiness, engagement, and productivity (Sayli et al., 2022).</w:t>
      </w:r>
    </w:p>
    <w:p w14:paraId="563961B0" w14:textId="4BA05687" w:rsidR="00447E37" w:rsidRPr="00AF4B61" w:rsidRDefault="00447E37" w:rsidP="00AF4B61">
      <w:pPr>
        <w:spacing w:line="480" w:lineRule="auto"/>
        <w:rPr>
          <w:rFonts w:asciiTheme="majorHAnsi" w:hAnsiTheme="majorHAnsi" w:cstheme="majorHAnsi"/>
        </w:rPr>
      </w:pPr>
      <w:r w:rsidRPr="00AF4B61">
        <w:rPr>
          <w:rFonts w:asciiTheme="majorHAnsi" w:hAnsiTheme="majorHAnsi" w:cstheme="majorHAnsi"/>
        </w:rPr>
        <w:br/>
        <w:t xml:space="preserve">HR quality systems strive to improve organisational efficiency, employee job happiness, and worker performance. This applies especially to the UK's NHS. Performance reviews, feedback, </w:t>
      </w:r>
      <w:proofErr w:type="spellStart"/>
      <w:r w:rsidRPr="00AF4B61">
        <w:rPr>
          <w:rFonts w:asciiTheme="majorHAnsi" w:hAnsiTheme="majorHAnsi" w:cstheme="majorHAnsi"/>
        </w:rPr>
        <w:t>EAPs</w:t>
      </w:r>
      <w:proofErr w:type="spellEnd"/>
      <w:r w:rsidRPr="00AF4B61">
        <w:rPr>
          <w:rFonts w:asciiTheme="majorHAnsi" w:hAnsiTheme="majorHAnsi" w:cstheme="majorHAnsi"/>
        </w:rPr>
        <w:t xml:space="preserve">, and </w:t>
      </w:r>
      <w:proofErr w:type="spellStart"/>
      <w:r w:rsidRPr="00AF4B61">
        <w:rPr>
          <w:rFonts w:asciiTheme="majorHAnsi" w:hAnsiTheme="majorHAnsi" w:cstheme="majorHAnsi"/>
        </w:rPr>
        <w:t>CPD</w:t>
      </w:r>
      <w:proofErr w:type="spellEnd"/>
      <w:r w:rsidRPr="00AF4B61">
        <w:rPr>
          <w:rFonts w:asciiTheme="majorHAnsi" w:hAnsiTheme="majorHAnsi" w:cstheme="majorHAnsi"/>
        </w:rPr>
        <w:t xml:space="preserve"> courses are essential. Comparing these systems to those of other renowned healthcare providers reveal</w:t>
      </w:r>
      <w:r w:rsidR="001B6A79" w:rsidRPr="00AF4B61">
        <w:rPr>
          <w:rFonts w:asciiTheme="majorHAnsi" w:hAnsiTheme="majorHAnsi" w:cstheme="majorHAnsi"/>
        </w:rPr>
        <w:t>s</w:t>
      </w:r>
      <w:r w:rsidRPr="00AF4B61">
        <w:rPr>
          <w:rFonts w:asciiTheme="majorHAnsi" w:hAnsiTheme="majorHAnsi" w:cstheme="majorHAnsi"/>
        </w:rPr>
        <w:t xml:space="preserve"> excellent practices and places for development (Hoyle et al., 2024).</w:t>
      </w:r>
      <w:r w:rsidRPr="00AF4B61">
        <w:rPr>
          <w:rFonts w:asciiTheme="majorHAnsi" w:hAnsiTheme="majorHAnsi" w:cstheme="majorHAnsi"/>
        </w:rPr>
        <w:br/>
        <w:t xml:space="preserve">Performance evaluations are the main way the NHS Human Resources department evaluates worker </w:t>
      </w:r>
      <w:r w:rsidRPr="00AF4B61">
        <w:rPr>
          <w:rFonts w:asciiTheme="majorHAnsi" w:hAnsiTheme="majorHAnsi" w:cstheme="majorHAnsi"/>
        </w:rPr>
        <w:lastRenderedPageBreak/>
        <w:t>productivity, sets targets, and provides feedback. Management and staff evaluate regularly as part of these assessments. These evaluations evaluate successes, identify areas for development, and align individual performance with organisational goals. The NHS prioritises fair and open evaluation systems to motivate and develop its workers. In contrast, the world's most efficient healthcare providers focus comparable tactics. However, they may use more regular feedback, 360-degree assessments, or healthcare service outcome performance indicators (Teoh et al., 2023).</w:t>
      </w:r>
    </w:p>
    <w:p w14:paraId="72658E00" w14:textId="6A9AAE5F" w:rsidR="00447E37" w:rsidRPr="00AF4B61" w:rsidRDefault="001B6A79" w:rsidP="00AF4B61">
      <w:pPr>
        <w:spacing w:line="480" w:lineRule="auto"/>
        <w:rPr>
          <w:rFonts w:asciiTheme="majorHAnsi" w:hAnsiTheme="majorHAnsi" w:cstheme="majorHAnsi"/>
        </w:rPr>
      </w:pPr>
      <w:r w:rsidRPr="00AF4B61">
        <w:rPr>
          <w:rFonts w:asciiTheme="majorHAnsi" w:hAnsiTheme="majorHAnsi" w:cstheme="majorHAnsi"/>
        </w:rPr>
        <w:t>My organisation</w:t>
      </w:r>
      <w:r w:rsidR="00447E37" w:rsidRPr="00AF4B61">
        <w:rPr>
          <w:rFonts w:asciiTheme="majorHAnsi" w:hAnsiTheme="majorHAnsi" w:cstheme="majorHAnsi"/>
        </w:rPr>
        <w:t xml:space="preserve"> prioritises employee input to improve engagement, satisfaction, and professional advancement.</w:t>
      </w:r>
      <w:r w:rsidRPr="00AF4B61">
        <w:rPr>
          <w:rFonts w:asciiTheme="majorHAnsi" w:hAnsiTheme="majorHAnsi" w:cstheme="majorHAnsi"/>
        </w:rPr>
        <w:t xml:space="preserve"> Organisation collects f</w:t>
      </w:r>
      <w:r w:rsidR="00447E37" w:rsidRPr="00AF4B61">
        <w:rPr>
          <w:rFonts w:asciiTheme="majorHAnsi" w:hAnsiTheme="majorHAnsi" w:cstheme="majorHAnsi"/>
        </w:rPr>
        <w:t xml:space="preserve">eedback via suggestion boxes, focus groups, questionnaires, and structured sessions. The NHS cherishes employee input because it improves HR operations and promotes continual development. The most efficient healthcare providers integrate digital platforms, pulse surveys, and real-time feedback systems to connect personnel and management. Efficient complaint resolution may boost employee engagement by responding quickly. </w:t>
      </w:r>
      <w:r w:rsidR="00447E37" w:rsidRPr="00AF4B61">
        <w:rPr>
          <w:rFonts w:asciiTheme="majorHAnsi" w:hAnsiTheme="majorHAnsi" w:cstheme="majorHAnsi"/>
        </w:rPr>
        <w:br/>
      </w:r>
      <w:proofErr w:type="spellStart"/>
      <w:r w:rsidR="00447E37" w:rsidRPr="00AF4B61">
        <w:rPr>
          <w:rFonts w:asciiTheme="majorHAnsi" w:hAnsiTheme="majorHAnsi" w:cstheme="majorHAnsi"/>
        </w:rPr>
        <w:t>CPD</w:t>
      </w:r>
      <w:proofErr w:type="spellEnd"/>
      <w:r w:rsidR="00447E37" w:rsidRPr="00AF4B61">
        <w:rPr>
          <w:rFonts w:asciiTheme="majorHAnsi" w:hAnsiTheme="majorHAnsi" w:cstheme="majorHAnsi"/>
        </w:rPr>
        <w:t xml:space="preserve"> courses given by the National Health Service Human Resources department may help healthcare workers improve their skills, knowledge, and abilities. Participants in these courses may anticipate lectures, workshops, certificates, and more. The NHS Human Resources department prioritises continuous professional development (</w:t>
      </w:r>
      <w:proofErr w:type="spellStart"/>
      <w:r w:rsidR="00447E37" w:rsidRPr="00AF4B61">
        <w:rPr>
          <w:rFonts w:asciiTheme="majorHAnsi" w:hAnsiTheme="majorHAnsi" w:cstheme="majorHAnsi"/>
        </w:rPr>
        <w:t>CPD</w:t>
      </w:r>
      <w:proofErr w:type="spellEnd"/>
      <w:r w:rsidR="00447E37" w:rsidRPr="00AF4B61">
        <w:rPr>
          <w:rFonts w:asciiTheme="majorHAnsi" w:hAnsiTheme="majorHAnsi" w:cstheme="majorHAnsi"/>
        </w:rPr>
        <w:t xml:space="preserve">) to keep professionals up to date on clinical practises and technology. The most successful healthcare companies globally promote lifelong learning. They achieve this by offering </w:t>
      </w:r>
      <w:proofErr w:type="spellStart"/>
      <w:r w:rsidR="00447E37" w:rsidRPr="00AF4B61">
        <w:rPr>
          <w:rFonts w:asciiTheme="majorHAnsi" w:hAnsiTheme="majorHAnsi" w:cstheme="majorHAnsi"/>
        </w:rPr>
        <w:t>CPD</w:t>
      </w:r>
      <w:proofErr w:type="spellEnd"/>
      <w:r w:rsidR="00447E37" w:rsidRPr="00AF4B61">
        <w:rPr>
          <w:rFonts w:asciiTheme="majorHAnsi" w:hAnsiTheme="majorHAnsi" w:cstheme="majorHAnsi"/>
        </w:rPr>
        <w:t xml:space="preserve">, mentorship, leadership training, and educational institution collaborations to enhance staff creativity and competency. </w:t>
      </w:r>
      <w:r w:rsidR="00447E37" w:rsidRPr="00AF4B61">
        <w:rPr>
          <w:rFonts w:asciiTheme="majorHAnsi" w:hAnsiTheme="majorHAnsi" w:cstheme="majorHAnsi"/>
        </w:rPr>
        <w:br/>
        <w:t>NHS HR's Employee help Programmes provide confidential help to workers confronting professional or personal issues that affect their well-being and performance. An employee assistance programme (EAP) offers stress management, work-life balance, mental health services, and financial advice. The NHS Human Resources department promotes Employee Assistance Programmes (</w:t>
      </w:r>
      <w:proofErr w:type="spellStart"/>
      <w:r w:rsidR="00447E37" w:rsidRPr="00AF4B61">
        <w:rPr>
          <w:rFonts w:asciiTheme="majorHAnsi" w:hAnsiTheme="majorHAnsi" w:cstheme="majorHAnsi"/>
        </w:rPr>
        <w:t>EAPs</w:t>
      </w:r>
      <w:proofErr w:type="spellEnd"/>
      <w:r w:rsidR="00447E37" w:rsidRPr="00AF4B61">
        <w:rPr>
          <w:rFonts w:asciiTheme="majorHAnsi" w:hAnsiTheme="majorHAnsi" w:cstheme="majorHAnsi"/>
        </w:rPr>
        <w:t xml:space="preserve">) because they assist healthcare workers manage stress. Instead, major healthcare providers include proactive mental health, </w:t>
      </w:r>
      <w:r w:rsidR="00447E37" w:rsidRPr="00AF4B61">
        <w:rPr>
          <w:rFonts w:asciiTheme="majorHAnsi" w:hAnsiTheme="majorHAnsi" w:cstheme="majorHAnsi"/>
        </w:rPr>
        <w:lastRenderedPageBreak/>
        <w:t>resilience, and wellness programming to employee assistance programmes (</w:t>
      </w:r>
      <w:proofErr w:type="spellStart"/>
      <w:r w:rsidR="00447E37" w:rsidRPr="00AF4B61">
        <w:rPr>
          <w:rFonts w:asciiTheme="majorHAnsi" w:hAnsiTheme="majorHAnsi" w:cstheme="majorHAnsi"/>
        </w:rPr>
        <w:t>EAPs</w:t>
      </w:r>
      <w:proofErr w:type="spellEnd"/>
      <w:r w:rsidR="00447E37" w:rsidRPr="00AF4B61">
        <w:rPr>
          <w:rFonts w:asciiTheme="majorHAnsi" w:hAnsiTheme="majorHAnsi" w:cstheme="majorHAnsi"/>
        </w:rPr>
        <w:t>). The goal is to reduce worker burnout and improve well-being (</w:t>
      </w:r>
      <w:proofErr w:type="spellStart"/>
      <w:r w:rsidR="00447E37" w:rsidRPr="00AF4B61">
        <w:rPr>
          <w:rFonts w:asciiTheme="majorHAnsi" w:hAnsiTheme="majorHAnsi" w:cstheme="majorHAnsi"/>
        </w:rPr>
        <w:t>Shemtob</w:t>
      </w:r>
      <w:proofErr w:type="spellEnd"/>
      <w:r w:rsidR="00447E37" w:rsidRPr="00AF4B61">
        <w:rPr>
          <w:rFonts w:asciiTheme="majorHAnsi" w:hAnsiTheme="majorHAnsi" w:cstheme="majorHAnsi"/>
        </w:rPr>
        <w:t xml:space="preserve"> et al., 2022).</w:t>
      </w:r>
    </w:p>
    <w:p w14:paraId="3D0599E0" w14:textId="4B2058CA" w:rsidR="00447E37" w:rsidRPr="00AF4B61" w:rsidRDefault="00447E37" w:rsidP="00447E37">
      <w:pPr>
        <w:spacing w:line="480" w:lineRule="auto"/>
        <w:jc w:val="both"/>
        <w:rPr>
          <w:rFonts w:asciiTheme="majorHAnsi" w:hAnsiTheme="majorHAnsi" w:cstheme="majorHAnsi"/>
        </w:rPr>
      </w:pPr>
      <w:r w:rsidRPr="00AF4B61">
        <w:rPr>
          <w:rFonts w:asciiTheme="majorHAnsi" w:hAnsiTheme="majorHAnsi" w:cstheme="majorHAnsi"/>
        </w:rPr>
        <w:t xml:space="preserve">Many similarities and suggestions arise when comparing the NHS's human resource quality systems to those of other top healthcare providers globally. High-performing healthcare firms emphasise staff engagement and professional development. They have sophisticated performance management systems, adaptive feedback channels, and various possibilities for continuing professional advancement that match work functions and career paths to achieve this. </w:t>
      </w:r>
    </w:p>
    <w:p w14:paraId="403FDEA9" w14:textId="32FB14E6" w:rsidR="000120FB" w:rsidRPr="00AF4B61" w:rsidRDefault="00447E37" w:rsidP="001B6A79">
      <w:pPr>
        <w:spacing w:line="480" w:lineRule="auto"/>
        <w:jc w:val="both"/>
        <w:rPr>
          <w:rFonts w:asciiTheme="majorHAnsi" w:hAnsiTheme="majorHAnsi" w:cstheme="majorHAnsi"/>
        </w:rPr>
      </w:pPr>
      <w:r w:rsidRPr="00AF4B61">
        <w:rPr>
          <w:rFonts w:asciiTheme="majorHAnsi" w:hAnsiTheme="majorHAnsi" w:cstheme="majorHAnsi"/>
        </w:rPr>
        <w:t xml:space="preserve">Similarly, reputable healthcare institutions focus preventive measures to improve their employees' mental health and help them balance work and life. </w:t>
      </w:r>
      <w:proofErr w:type="spellStart"/>
      <w:r w:rsidRPr="00AF4B61">
        <w:rPr>
          <w:rFonts w:asciiTheme="majorHAnsi" w:hAnsiTheme="majorHAnsi" w:cstheme="majorHAnsi"/>
        </w:rPr>
        <w:t>EAPs</w:t>
      </w:r>
      <w:proofErr w:type="spellEnd"/>
      <w:r w:rsidRPr="00AF4B61">
        <w:rPr>
          <w:rFonts w:asciiTheme="majorHAnsi" w:hAnsiTheme="majorHAnsi" w:cstheme="majorHAnsi"/>
        </w:rPr>
        <w:t xml:space="preserve"> may be used with health and resilience training to address this. </w:t>
      </w:r>
    </w:p>
    <w:p w14:paraId="4703B263" w14:textId="77777777" w:rsidR="00DC0F36" w:rsidRPr="00AF4B61" w:rsidRDefault="00DC0F36" w:rsidP="00DC0F36">
      <w:pPr>
        <w:spacing w:line="480" w:lineRule="auto"/>
        <w:jc w:val="both"/>
        <w:rPr>
          <w:rFonts w:asciiTheme="majorHAnsi" w:hAnsiTheme="majorHAnsi" w:cstheme="majorHAnsi"/>
        </w:rPr>
      </w:pPr>
      <w:r w:rsidRPr="00AF4B61">
        <w:rPr>
          <w:rFonts w:asciiTheme="majorHAnsi" w:hAnsiTheme="majorHAnsi" w:cstheme="majorHAnsi"/>
        </w:rPr>
        <w:t xml:space="preserve">Human resource management systems affect employee engagement, satisfaction, and corporate performance. The National Health Service's performance assessments, feedback systems, </w:t>
      </w:r>
      <w:proofErr w:type="spellStart"/>
      <w:r w:rsidRPr="00AF4B61">
        <w:rPr>
          <w:rFonts w:asciiTheme="majorHAnsi" w:hAnsiTheme="majorHAnsi" w:cstheme="majorHAnsi"/>
        </w:rPr>
        <w:t>CPD</w:t>
      </w:r>
      <w:proofErr w:type="spellEnd"/>
      <w:r w:rsidRPr="00AF4B61">
        <w:rPr>
          <w:rFonts w:asciiTheme="majorHAnsi" w:hAnsiTheme="majorHAnsi" w:cstheme="majorHAnsi"/>
        </w:rPr>
        <w:t xml:space="preserve"> courses, and </w:t>
      </w:r>
      <w:proofErr w:type="spellStart"/>
      <w:r w:rsidRPr="00AF4B61">
        <w:rPr>
          <w:rFonts w:asciiTheme="majorHAnsi" w:hAnsiTheme="majorHAnsi" w:cstheme="majorHAnsi"/>
        </w:rPr>
        <w:t>EAPs</w:t>
      </w:r>
      <w:proofErr w:type="spellEnd"/>
      <w:r w:rsidRPr="00AF4B61">
        <w:rPr>
          <w:rFonts w:asciiTheme="majorHAnsi" w:hAnsiTheme="majorHAnsi" w:cstheme="majorHAnsi"/>
        </w:rPr>
        <w:t xml:space="preserve"> may reveal the results of these measures. Monitor job satisfaction, output, and personnel turnover to measure performance (Currie et al., 2020).</w:t>
      </w:r>
    </w:p>
    <w:p w14:paraId="73DF6D0F" w14:textId="68D7F42B" w:rsidR="00DC0F36" w:rsidRPr="00AF4B61" w:rsidRDefault="00DC0F36" w:rsidP="00AF4B61">
      <w:pPr>
        <w:spacing w:line="480" w:lineRule="auto"/>
        <w:rPr>
          <w:rFonts w:asciiTheme="majorHAnsi" w:hAnsiTheme="majorHAnsi" w:cstheme="majorHAnsi"/>
        </w:rPr>
      </w:pPr>
      <w:r w:rsidRPr="00AF4B61">
        <w:rPr>
          <w:rFonts w:asciiTheme="majorHAnsi" w:hAnsiTheme="majorHAnsi" w:cstheme="majorHAnsi"/>
        </w:rPr>
        <w:t xml:space="preserve">NHS Human Resources evaluates employees based on specified criteria and skill levels. Managers and employees benefit from frequent feedback meetings to assess performance and identify areas for growth. The assessment system links performance to company goals, evaluates training requirements, and promotes career advancement. </w:t>
      </w:r>
      <w:r w:rsidRPr="00AF4B61">
        <w:rPr>
          <w:rFonts w:asciiTheme="majorHAnsi" w:hAnsiTheme="majorHAnsi" w:cstheme="majorHAnsi"/>
        </w:rPr>
        <w:br/>
      </w:r>
      <w:r w:rsidR="003C760B" w:rsidRPr="00AF4B61">
        <w:rPr>
          <w:rFonts w:asciiTheme="majorHAnsi" w:hAnsiTheme="majorHAnsi" w:cstheme="majorHAnsi"/>
        </w:rPr>
        <w:t>My organisation</w:t>
      </w:r>
      <w:r w:rsidRPr="00AF4B61">
        <w:rPr>
          <w:rFonts w:asciiTheme="majorHAnsi" w:hAnsiTheme="majorHAnsi" w:cstheme="majorHAnsi"/>
        </w:rPr>
        <w:t xml:space="preserve"> </w:t>
      </w:r>
      <w:proofErr w:type="gramStart"/>
      <w:r w:rsidRPr="00AF4B61">
        <w:rPr>
          <w:rFonts w:asciiTheme="majorHAnsi" w:hAnsiTheme="majorHAnsi" w:cstheme="majorHAnsi"/>
        </w:rPr>
        <w:t>evaluate</w:t>
      </w:r>
      <w:proofErr w:type="gramEnd"/>
      <w:r w:rsidRPr="00AF4B61">
        <w:rPr>
          <w:rFonts w:asciiTheme="majorHAnsi" w:hAnsiTheme="majorHAnsi" w:cstheme="majorHAnsi"/>
        </w:rPr>
        <w:t xml:space="preserve"> its efficacy by examining worker happiness, evaluation fairness, and the relationship between performance ratings and career advancement. This technique motivates workers and promotes career progress, as proven by increased productivity, job satisfaction, and staff retention among those who get positive performance assessments. </w:t>
      </w:r>
      <w:r w:rsidRPr="00AF4B61">
        <w:rPr>
          <w:rFonts w:asciiTheme="majorHAnsi" w:hAnsiTheme="majorHAnsi" w:cstheme="majorHAnsi"/>
        </w:rPr>
        <w:br/>
        <w:t xml:space="preserve">NHS HR handles staff comments, viewpoints, and complaints via feedback methods. These systems </w:t>
      </w:r>
      <w:r w:rsidRPr="00AF4B61">
        <w:rPr>
          <w:rFonts w:asciiTheme="majorHAnsi" w:hAnsiTheme="majorHAnsi" w:cstheme="majorHAnsi"/>
        </w:rPr>
        <w:lastRenderedPageBreak/>
        <w:t>employ several methods and protocols. Regular meetings with management to discuss employee feedback, surveys, focus groups, and suggestion boxes are some tactics. To boost employee engagement and organisational change, data on employee experiences, satisfaction, and opportunities for development is collected (Drennan, 2019).</w:t>
      </w:r>
    </w:p>
    <w:p w14:paraId="5D67C445" w14:textId="77777777" w:rsidR="00DC0F36" w:rsidRPr="00AF4B61" w:rsidRDefault="00DC0F36" w:rsidP="00DC0F36">
      <w:pPr>
        <w:spacing w:line="480" w:lineRule="auto"/>
        <w:jc w:val="both"/>
        <w:rPr>
          <w:rFonts w:asciiTheme="majorHAnsi" w:hAnsiTheme="majorHAnsi" w:cstheme="majorHAnsi"/>
        </w:rPr>
      </w:pPr>
      <w:r w:rsidRPr="00AF4B61">
        <w:rPr>
          <w:rFonts w:asciiTheme="majorHAnsi" w:hAnsiTheme="majorHAnsi" w:cstheme="majorHAnsi"/>
        </w:rPr>
        <w:t>Efficacy may be measured by the volume and quality of feedback received, its regularity, and the pace at which employee-driven initiatives are implemented. Increasing staff satisfaction survey responses and feedback-driven policy and procedure improvements in the National Health Service (NHS) demonstrate that the strategies used to create a transparent, reliable, and committed to continuous improvement are working (Hoyle et al., 2024).</w:t>
      </w:r>
    </w:p>
    <w:p w14:paraId="70E17397" w14:textId="77777777" w:rsidR="00DC0F36" w:rsidRPr="00AF4B61" w:rsidRDefault="00DC0F36" w:rsidP="00DC0F36">
      <w:pPr>
        <w:spacing w:line="480" w:lineRule="auto"/>
        <w:jc w:val="both"/>
        <w:rPr>
          <w:rFonts w:asciiTheme="majorHAnsi" w:hAnsiTheme="majorHAnsi" w:cstheme="majorHAnsi"/>
        </w:rPr>
      </w:pPr>
      <w:r w:rsidRPr="00AF4B61">
        <w:rPr>
          <w:rFonts w:asciiTheme="majorHAnsi" w:hAnsiTheme="majorHAnsi" w:cstheme="majorHAnsi"/>
        </w:rPr>
        <w:t xml:space="preserve">NHS HR offers healthcare staff </w:t>
      </w:r>
      <w:proofErr w:type="spellStart"/>
      <w:r w:rsidRPr="00AF4B61">
        <w:rPr>
          <w:rFonts w:asciiTheme="majorHAnsi" w:hAnsiTheme="majorHAnsi" w:cstheme="majorHAnsi"/>
        </w:rPr>
        <w:t>CPD</w:t>
      </w:r>
      <w:proofErr w:type="spellEnd"/>
      <w:r w:rsidRPr="00AF4B61">
        <w:rPr>
          <w:rFonts w:asciiTheme="majorHAnsi" w:hAnsiTheme="majorHAnsi" w:cstheme="majorHAnsi"/>
        </w:rPr>
        <w:t xml:space="preserve"> opportunities to improve their skills, knowledge, and competences. These courses are designed for the ever-changing healthcare industry. They provide training, certificates, seminars, and additional study. Continuous professional development (</w:t>
      </w:r>
      <w:proofErr w:type="spellStart"/>
      <w:r w:rsidRPr="00AF4B61">
        <w:rPr>
          <w:rFonts w:asciiTheme="majorHAnsi" w:hAnsiTheme="majorHAnsi" w:cstheme="majorHAnsi"/>
        </w:rPr>
        <w:t>CPD</w:t>
      </w:r>
      <w:proofErr w:type="spellEnd"/>
      <w:r w:rsidRPr="00AF4B61">
        <w:rPr>
          <w:rFonts w:asciiTheme="majorHAnsi" w:hAnsiTheme="majorHAnsi" w:cstheme="majorHAnsi"/>
        </w:rPr>
        <w:t>) ensures that workers remain motivated, skilled, and proficient to give the best patient care (</w:t>
      </w:r>
      <w:proofErr w:type="spellStart"/>
      <w:r w:rsidRPr="00AF4B61">
        <w:rPr>
          <w:rFonts w:asciiTheme="majorHAnsi" w:hAnsiTheme="majorHAnsi" w:cstheme="majorHAnsi"/>
        </w:rPr>
        <w:t>Exworthy</w:t>
      </w:r>
      <w:proofErr w:type="spellEnd"/>
      <w:r w:rsidRPr="00AF4B61">
        <w:rPr>
          <w:rFonts w:asciiTheme="majorHAnsi" w:hAnsiTheme="majorHAnsi" w:cstheme="majorHAnsi"/>
        </w:rPr>
        <w:t xml:space="preserve"> et al., 2024).</w:t>
      </w:r>
    </w:p>
    <w:p w14:paraId="59CDB7EF" w14:textId="77777777" w:rsidR="00D4344B" w:rsidRPr="00AF4B61" w:rsidRDefault="00DC0F36" w:rsidP="00AF4B61">
      <w:pPr>
        <w:spacing w:line="480" w:lineRule="auto"/>
        <w:rPr>
          <w:rFonts w:asciiTheme="majorHAnsi" w:hAnsiTheme="majorHAnsi" w:cstheme="majorHAnsi"/>
        </w:rPr>
      </w:pPr>
      <w:proofErr w:type="spellStart"/>
      <w:r w:rsidRPr="00AF4B61">
        <w:rPr>
          <w:rFonts w:asciiTheme="majorHAnsi" w:hAnsiTheme="majorHAnsi" w:cstheme="majorHAnsi"/>
        </w:rPr>
        <w:t>CPD</w:t>
      </w:r>
      <w:proofErr w:type="spellEnd"/>
      <w:r w:rsidRPr="00AF4B61">
        <w:rPr>
          <w:rFonts w:asciiTheme="majorHAnsi" w:hAnsiTheme="majorHAnsi" w:cstheme="majorHAnsi"/>
        </w:rPr>
        <w:t xml:space="preserve"> efficacy is measured using many indicators. Training attendance, skill improvement ratings, and employee satisfaction with the program's substance and efficacy are the indications. The lectures improve National Health Service personnel' knowledge and skills, improving patient satisfaction, clinical results, and job performance. </w:t>
      </w:r>
      <w:r w:rsidRPr="00AF4B61">
        <w:rPr>
          <w:rFonts w:asciiTheme="majorHAnsi" w:hAnsiTheme="majorHAnsi" w:cstheme="majorHAnsi"/>
        </w:rPr>
        <w:br/>
        <w:t>NHS Human Resources staff suffering personal or professional challenges may access confidential employee help initiatives. These programmes are designed to help workers handle difficult situations. Counselling, financial assistance, mental health support, and tools for balancing personal and work life are available. Employee assistance programmes (</w:t>
      </w:r>
      <w:proofErr w:type="spellStart"/>
      <w:r w:rsidRPr="00AF4B61">
        <w:rPr>
          <w:rFonts w:asciiTheme="majorHAnsi" w:hAnsiTheme="majorHAnsi" w:cstheme="majorHAnsi"/>
        </w:rPr>
        <w:t>EAPs</w:t>
      </w:r>
      <w:proofErr w:type="spellEnd"/>
      <w:r w:rsidRPr="00AF4B61">
        <w:rPr>
          <w:rFonts w:asciiTheme="majorHAnsi" w:hAnsiTheme="majorHAnsi" w:cstheme="majorHAnsi"/>
        </w:rPr>
        <w:t xml:space="preserve">) decrease absenteeism, boost resilience, and boost productivity and work satisfaction. </w:t>
      </w:r>
      <w:r w:rsidRPr="00AF4B61">
        <w:rPr>
          <w:rFonts w:asciiTheme="majorHAnsi" w:hAnsiTheme="majorHAnsi" w:cstheme="majorHAnsi"/>
        </w:rPr>
        <w:br/>
      </w:r>
      <w:r w:rsidR="00D4344B" w:rsidRPr="00AF4B61">
        <w:rPr>
          <w:rFonts w:asciiTheme="majorHAnsi" w:hAnsiTheme="majorHAnsi" w:cstheme="majorHAnsi"/>
        </w:rPr>
        <w:t xml:space="preserve">NHS professionals must balance work and life. Healthcare workers generally have busy schedules and </w:t>
      </w:r>
      <w:r w:rsidR="00D4344B" w:rsidRPr="00AF4B61">
        <w:rPr>
          <w:rFonts w:asciiTheme="majorHAnsi" w:hAnsiTheme="majorHAnsi" w:cstheme="majorHAnsi"/>
        </w:rPr>
        <w:lastRenderedPageBreak/>
        <w:t>high stress. People value work-life balance norms and methods. These include scheduling flexibility, leave, wellness initiatives, and telecommuting where appropriate. These classes may reduce stress, burnout, and promote employee wellness (Sayli et al., 2022).</w:t>
      </w:r>
    </w:p>
    <w:p w14:paraId="44163CE4" w14:textId="77777777" w:rsidR="00D4344B" w:rsidRPr="00AF4B61" w:rsidRDefault="00D4344B" w:rsidP="00D4344B">
      <w:pPr>
        <w:spacing w:line="480" w:lineRule="auto"/>
        <w:jc w:val="both"/>
        <w:rPr>
          <w:rFonts w:asciiTheme="majorHAnsi" w:hAnsiTheme="majorHAnsi" w:cstheme="majorHAnsi"/>
        </w:rPr>
      </w:pPr>
      <w:r w:rsidRPr="00AF4B61">
        <w:rPr>
          <w:rFonts w:asciiTheme="majorHAnsi" w:hAnsiTheme="majorHAnsi" w:cstheme="majorHAnsi"/>
        </w:rPr>
        <w:t>The NHS Human Resources department may employ surveys or focus groups to learn about staff work-life balance issues. Analyse workload issues, evaluate rules, and create new work-life balance methods. Human Resources at the National Health Service prioritises work-life balance to improve job satisfaction and performance. This shows the department's dedication to staff retention and well-being (Currie et al., 2020).</w:t>
      </w:r>
    </w:p>
    <w:p w14:paraId="25CB0C0C" w14:textId="77777777" w:rsidR="00D4344B" w:rsidRPr="00AF4B61" w:rsidRDefault="00D4344B" w:rsidP="00D4344B">
      <w:pPr>
        <w:spacing w:line="480" w:lineRule="auto"/>
        <w:jc w:val="both"/>
        <w:rPr>
          <w:rFonts w:asciiTheme="majorHAnsi" w:hAnsiTheme="majorHAnsi" w:cstheme="majorHAnsi"/>
        </w:rPr>
      </w:pPr>
      <w:r w:rsidRPr="00AF4B61">
        <w:rPr>
          <w:rFonts w:asciiTheme="majorHAnsi" w:hAnsiTheme="majorHAnsi" w:cstheme="majorHAnsi"/>
        </w:rPr>
        <w:t>NHS employees need incentives and rewards to stay motivated and behave well. Staff always welcome acknowledgment, whether it's formal awards, peer recognition initiatives, or performance incentives. Compensation for accomplishments promotes morale, job satisfaction, and company culture of gratitude (Phiri et al., 2022).</w:t>
      </w:r>
    </w:p>
    <w:p w14:paraId="7999DFE1" w14:textId="77777777" w:rsidR="00D4344B" w:rsidRPr="00AF4B61" w:rsidRDefault="00D4344B" w:rsidP="00D4344B">
      <w:pPr>
        <w:spacing w:line="480" w:lineRule="auto"/>
        <w:jc w:val="both"/>
        <w:rPr>
          <w:rFonts w:asciiTheme="majorHAnsi" w:hAnsiTheme="majorHAnsi" w:cstheme="majorHAnsi"/>
        </w:rPr>
      </w:pPr>
      <w:r w:rsidRPr="00AF4B61">
        <w:rPr>
          <w:rFonts w:asciiTheme="majorHAnsi" w:hAnsiTheme="majorHAnsi" w:cstheme="majorHAnsi"/>
        </w:rPr>
        <w:t>NHS Human Resources may poll employees on recognition efforts' frequency, openness, and equality. Human resources may customise programmes to the needs of the workforce by identifying what recognition they value most, such as money prizes, career chances, or public praise. Successful reward programmes promote employee morale, engagement, and productivity (Teoh et al., 2023).</w:t>
      </w:r>
    </w:p>
    <w:p w14:paraId="4B4A43E6" w14:textId="498C1270" w:rsidR="0075147D" w:rsidRPr="00AF4B61" w:rsidRDefault="0075147D" w:rsidP="0075147D">
      <w:pPr>
        <w:spacing w:line="480" w:lineRule="auto"/>
        <w:jc w:val="both"/>
        <w:rPr>
          <w:rFonts w:asciiTheme="majorHAnsi" w:hAnsiTheme="majorHAnsi" w:cstheme="majorHAnsi"/>
        </w:rPr>
      </w:pPr>
      <w:r w:rsidRPr="00AF4B61">
        <w:rPr>
          <w:rFonts w:asciiTheme="majorHAnsi" w:hAnsiTheme="majorHAnsi" w:cstheme="majorHAnsi"/>
        </w:rPr>
        <w:t xml:space="preserve">NHS HR must first identify all internal customer groups to customise their strategy to their HR requirements. Clinical practitioners, administrative personnel, managers, and other healthcare leaders are included. </w:t>
      </w:r>
    </w:p>
    <w:p w14:paraId="7B1B9FEC" w14:textId="77777777" w:rsidR="0075147D" w:rsidRPr="00AF4B61" w:rsidRDefault="0075147D" w:rsidP="0075147D">
      <w:pPr>
        <w:spacing w:line="480" w:lineRule="auto"/>
        <w:jc w:val="both"/>
        <w:rPr>
          <w:rFonts w:asciiTheme="majorHAnsi" w:hAnsiTheme="majorHAnsi" w:cstheme="majorHAnsi"/>
        </w:rPr>
      </w:pPr>
      <w:r w:rsidRPr="00AF4B61">
        <w:rPr>
          <w:rFonts w:asciiTheme="majorHAnsi" w:hAnsiTheme="majorHAnsi" w:cstheme="majorHAnsi"/>
        </w:rPr>
        <w:t xml:space="preserve">The phrase "clinical staff" refers to a diverse group of NHS healthcare workers. Their human resources must ensure regulatory compliance, patient care, and professional progress. Clinical workers frequently get well-defined career pathways, possibilities for additional education, and specialist training for their positions and expertise. The NHS clinical staff human resources strategy should emphasise work-life </w:t>
      </w:r>
      <w:r w:rsidRPr="00AF4B61">
        <w:rPr>
          <w:rFonts w:asciiTheme="majorHAnsi" w:hAnsiTheme="majorHAnsi" w:cstheme="majorHAnsi"/>
        </w:rPr>
        <w:lastRenderedPageBreak/>
        <w:t>balance, professional growth, and resource availability. The patient care burden will decrease (Anderson et al., 2021).</w:t>
      </w:r>
    </w:p>
    <w:p w14:paraId="6DD32AF9" w14:textId="77777777" w:rsidR="0075147D" w:rsidRPr="00AF4B61" w:rsidRDefault="0075147D" w:rsidP="0075147D">
      <w:pPr>
        <w:spacing w:line="480" w:lineRule="auto"/>
        <w:jc w:val="both"/>
        <w:rPr>
          <w:rFonts w:asciiTheme="majorHAnsi" w:hAnsiTheme="majorHAnsi" w:cstheme="majorHAnsi"/>
        </w:rPr>
      </w:pPr>
      <w:r w:rsidRPr="00AF4B61">
        <w:rPr>
          <w:rFonts w:asciiTheme="majorHAnsi" w:hAnsiTheme="majorHAnsi" w:cstheme="majorHAnsi"/>
        </w:rPr>
        <w:t xml:space="preserve">The NHS uses administrative professionals to improve hospital operations. Company finance, IT, patient administration, HR, and logistics jobs are included. Human resources </w:t>
      </w:r>
      <w:proofErr w:type="gramStart"/>
      <w:r w:rsidRPr="00AF4B61">
        <w:rPr>
          <w:rFonts w:asciiTheme="majorHAnsi" w:hAnsiTheme="majorHAnsi" w:cstheme="majorHAnsi"/>
        </w:rPr>
        <w:t>focuses</w:t>
      </w:r>
      <w:proofErr w:type="gramEnd"/>
      <w:r w:rsidRPr="00AF4B61">
        <w:rPr>
          <w:rFonts w:asciiTheme="majorHAnsi" w:hAnsiTheme="majorHAnsi" w:cstheme="majorHAnsi"/>
        </w:rPr>
        <w:t xml:space="preserve"> on improving administrative procedures, promoting administrative career progression, and providing technological resources and technologies that boost productivity. The National Health Service (NHS) human resources plan should provide administrative staff professional progression, training in best practises, and operational efficiency measures (</w:t>
      </w:r>
      <w:proofErr w:type="spellStart"/>
      <w:r w:rsidRPr="00AF4B61">
        <w:rPr>
          <w:rFonts w:asciiTheme="majorHAnsi" w:hAnsiTheme="majorHAnsi" w:cstheme="majorHAnsi"/>
        </w:rPr>
        <w:t>Boselie</w:t>
      </w:r>
      <w:proofErr w:type="spellEnd"/>
      <w:r w:rsidRPr="00AF4B61">
        <w:rPr>
          <w:rFonts w:asciiTheme="majorHAnsi" w:hAnsiTheme="majorHAnsi" w:cstheme="majorHAnsi"/>
        </w:rPr>
        <w:t xml:space="preserve"> et al., 2021).</w:t>
      </w:r>
    </w:p>
    <w:p w14:paraId="5924979A" w14:textId="77777777" w:rsidR="0075147D" w:rsidRPr="00AF4B61" w:rsidRDefault="0075147D" w:rsidP="0075147D">
      <w:pPr>
        <w:spacing w:line="480" w:lineRule="auto"/>
        <w:jc w:val="both"/>
        <w:rPr>
          <w:rFonts w:asciiTheme="majorHAnsi" w:hAnsiTheme="majorHAnsi" w:cstheme="majorHAnsi"/>
        </w:rPr>
      </w:pPr>
      <w:r w:rsidRPr="00AF4B61">
        <w:rPr>
          <w:rFonts w:asciiTheme="majorHAnsi" w:hAnsiTheme="majorHAnsi" w:cstheme="majorHAnsi"/>
        </w:rPr>
        <w:t>NHS executives with clinical and non-clinical skills head many departments, teams, and strategic projects. These executives oversee NHS. Their HR requirements include performance management, leadership development, team training, and effective communication. The NHS must stress mentorship, leadership development, succession planning, and managerial assistance to improve strategic human resource management. National Health Service Human Resources invests in management development to build leaders. These investments boost productivity and encourage cooperation and creativity (Booth et al., 2021).</w:t>
      </w:r>
    </w:p>
    <w:p w14:paraId="1A844A9A" w14:textId="457E208C" w:rsidR="005B4BE2" w:rsidRPr="00301621" w:rsidRDefault="0042275E" w:rsidP="005B4BE2">
      <w:pPr>
        <w:pStyle w:val="Heading1"/>
        <w:rPr>
          <w:rFonts w:asciiTheme="majorHAnsi" w:hAnsiTheme="majorHAnsi" w:cstheme="majorHAnsi"/>
        </w:rPr>
      </w:pPr>
      <w:bookmarkStart w:id="17" w:name="_Toc171005112"/>
      <w:r w:rsidRPr="00301621">
        <w:rPr>
          <w:rFonts w:asciiTheme="majorHAnsi" w:hAnsiTheme="majorHAnsi" w:cstheme="majorHAnsi"/>
        </w:rPr>
        <w:t>CONCLUSION</w:t>
      </w:r>
      <w:bookmarkEnd w:id="17"/>
      <w:r w:rsidRPr="00301621">
        <w:rPr>
          <w:rFonts w:asciiTheme="majorHAnsi" w:hAnsiTheme="majorHAnsi" w:cstheme="majorHAnsi"/>
        </w:rPr>
        <w:t xml:space="preserve"> </w:t>
      </w:r>
    </w:p>
    <w:p w14:paraId="083DA59A" w14:textId="5B45AB45" w:rsidR="0042275E" w:rsidRPr="0042275E" w:rsidRDefault="0042275E" w:rsidP="0042275E">
      <w:pPr>
        <w:rPr>
          <w:rFonts w:asciiTheme="majorHAnsi" w:hAnsiTheme="majorHAnsi" w:cstheme="majorHAnsi"/>
        </w:rPr>
      </w:pPr>
    </w:p>
    <w:p w14:paraId="602EBCAD" w14:textId="5B0389DE" w:rsidR="005B4BE2" w:rsidRPr="0042275E" w:rsidRDefault="0075147D" w:rsidP="0075147D">
      <w:pPr>
        <w:spacing w:line="360" w:lineRule="auto"/>
        <w:jc w:val="both"/>
        <w:rPr>
          <w:rFonts w:asciiTheme="majorHAnsi" w:hAnsiTheme="majorHAnsi" w:cstheme="majorHAnsi"/>
        </w:rPr>
      </w:pPr>
      <w:r w:rsidRPr="0042275E">
        <w:rPr>
          <w:rFonts w:asciiTheme="majorHAnsi" w:hAnsiTheme="majorHAnsi" w:cstheme="majorHAnsi"/>
        </w:rPr>
        <w:t>In conclusion, the NHS needs good human resource management to keep its staff motivated, trained, and happy to provide quality treatment. The NHS Human Resources department tailors its strategy to various internal customer groups to boost worker engagement and retention. This organisational sector includes doctors, administrative assistants, and managers.</w:t>
      </w:r>
    </w:p>
    <w:p w14:paraId="3CFE1D2A" w14:textId="77777777" w:rsidR="00173557" w:rsidRDefault="00173557" w:rsidP="00184579">
      <w:pPr>
        <w:pStyle w:val="Heading1"/>
        <w:rPr>
          <w:rFonts w:asciiTheme="majorHAnsi" w:hAnsiTheme="majorHAnsi" w:cstheme="majorHAnsi"/>
        </w:rPr>
      </w:pPr>
    </w:p>
    <w:p w14:paraId="2278899C" w14:textId="77777777" w:rsidR="00173557" w:rsidRDefault="00173557" w:rsidP="00184579">
      <w:pPr>
        <w:pStyle w:val="Heading1"/>
        <w:rPr>
          <w:rFonts w:asciiTheme="majorHAnsi" w:hAnsiTheme="majorHAnsi" w:cstheme="majorHAnsi"/>
        </w:rPr>
      </w:pPr>
    </w:p>
    <w:p w14:paraId="04B2251D" w14:textId="080E2A47" w:rsidR="00184579" w:rsidRDefault="00173557" w:rsidP="00184579">
      <w:pPr>
        <w:pStyle w:val="Heading1"/>
        <w:rPr>
          <w:rFonts w:asciiTheme="majorHAnsi" w:hAnsiTheme="majorHAnsi" w:cstheme="majorHAnsi"/>
        </w:rPr>
      </w:pPr>
      <w:bookmarkStart w:id="18" w:name="_Toc171005113"/>
      <w:r w:rsidRPr="00173557">
        <w:rPr>
          <w:rFonts w:asciiTheme="majorHAnsi" w:hAnsiTheme="majorHAnsi" w:cstheme="majorHAnsi"/>
        </w:rPr>
        <w:t>REFERENCES</w:t>
      </w:r>
      <w:bookmarkEnd w:id="18"/>
      <w:r w:rsidRPr="00173557">
        <w:rPr>
          <w:rFonts w:asciiTheme="majorHAnsi" w:hAnsiTheme="majorHAnsi" w:cstheme="majorHAnsi"/>
        </w:rPr>
        <w:t xml:space="preserve"> </w:t>
      </w:r>
    </w:p>
    <w:p w14:paraId="72CD992B" w14:textId="77777777" w:rsidR="00173557" w:rsidRDefault="00173557" w:rsidP="00173557">
      <w:pPr>
        <w:spacing w:line="480" w:lineRule="auto"/>
        <w:ind w:left="720" w:hanging="720"/>
        <w:jc w:val="both"/>
        <w:rPr>
          <w:rFonts w:ascii="Times New Roman" w:hAnsi="Times New Roman" w:cs="Times New Roman"/>
          <w:sz w:val="24"/>
          <w:szCs w:val="24"/>
        </w:rPr>
      </w:pPr>
      <w:r w:rsidRPr="00817246">
        <w:rPr>
          <w:rFonts w:ascii="Times New Roman" w:hAnsi="Times New Roman" w:cs="Times New Roman"/>
          <w:sz w:val="24"/>
          <w:szCs w:val="24"/>
        </w:rPr>
        <w:t xml:space="preserve">Aggarwal, D., Roy-Chowdhury, M., Xiang, N. and Peacock, </w:t>
      </w:r>
      <w:proofErr w:type="spellStart"/>
      <w:r w:rsidRPr="00817246">
        <w:rPr>
          <w:rFonts w:ascii="Times New Roman" w:hAnsi="Times New Roman" w:cs="Times New Roman"/>
          <w:sz w:val="24"/>
          <w:szCs w:val="24"/>
        </w:rPr>
        <w:t>S.J</w:t>
      </w:r>
      <w:proofErr w:type="spellEnd"/>
      <w:r w:rsidRPr="00817246">
        <w:rPr>
          <w:rFonts w:ascii="Times New Roman" w:hAnsi="Times New Roman" w:cs="Times New Roman"/>
          <w:sz w:val="24"/>
          <w:szCs w:val="24"/>
        </w:rPr>
        <w:t xml:space="preserve">., 2023. Applications to medical and surgical specialist training in the UK National Health Service, 2021–2022: a cross-sectional observational study to characterise the diversity of successful applicants. BMJ open, 13(4), </w:t>
      </w:r>
      <w:proofErr w:type="spellStart"/>
      <w:r w:rsidRPr="00817246">
        <w:rPr>
          <w:rFonts w:ascii="Times New Roman" w:hAnsi="Times New Roman" w:cs="Times New Roman"/>
          <w:sz w:val="24"/>
          <w:szCs w:val="24"/>
        </w:rPr>
        <w:t>p.e069846</w:t>
      </w:r>
      <w:proofErr w:type="spellEnd"/>
      <w:r w:rsidRPr="00817246">
        <w:rPr>
          <w:rFonts w:ascii="Times New Roman" w:hAnsi="Times New Roman" w:cs="Times New Roman"/>
          <w:sz w:val="24"/>
          <w:szCs w:val="24"/>
        </w:rPr>
        <w:t>.</w:t>
      </w:r>
    </w:p>
    <w:p w14:paraId="637FC8A0" w14:textId="6F7C80B3" w:rsidR="00173557" w:rsidRPr="00817246" w:rsidRDefault="00173557" w:rsidP="003156EC">
      <w:pPr>
        <w:spacing w:line="480" w:lineRule="auto"/>
        <w:ind w:left="720" w:hanging="720"/>
        <w:jc w:val="both"/>
        <w:rPr>
          <w:rFonts w:ascii="Times New Roman" w:hAnsi="Times New Roman" w:cs="Times New Roman"/>
          <w:sz w:val="24"/>
          <w:szCs w:val="24"/>
        </w:rPr>
      </w:pPr>
      <w:r w:rsidRPr="00FB1236">
        <w:rPr>
          <w:rFonts w:ascii="Times New Roman" w:hAnsi="Times New Roman" w:cs="Times New Roman"/>
          <w:sz w:val="24"/>
          <w:szCs w:val="24"/>
        </w:rPr>
        <w:t>Almquist, E., Senior, J. and Bloch, N., 2016. </w:t>
      </w:r>
      <w:r w:rsidRPr="00FB1236">
        <w:rPr>
          <w:rFonts w:ascii="Times New Roman" w:hAnsi="Times New Roman" w:cs="Times New Roman"/>
          <w:i/>
          <w:iCs/>
          <w:sz w:val="24"/>
          <w:szCs w:val="24"/>
        </w:rPr>
        <w:t xml:space="preserve">The 30 Elements </w:t>
      </w:r>
      <w:proofErr w:type="gramStart"/>
      <w:r w:rsidRPr="00FB1236">
        <w:rPr>
          <w:rFonts w:ascii="Times New Roman" w:hAnsi="Times New Roman" w:cs="Times New Roman"/>
          <w:i/>
          <w:iCs/>
          <w:sz w:val="24"/>
          <w:szCs w:val="24"/>
        </w:rPr>
        <w:t>Of</w:t>
      </w:r>
      <w:proofErr w:type="gramEnd"/>
      <w:r w:rsidRPr="00FB1236">
        <w:rPr>
          <w:rFonts w:ascii="Times New Roman" w:hAnsi="Times New Roman" w:cs="Times New Roman"/>
          <w:i/>
          <w:iCs/>
          <w:sz w:val="24"/>
          <w:szCs w:val="24"/>
        </w:rPr>
        <w:t xml:space="preserve"> Consumer Value: A Hierarchy</w:t>
      </w:r>
      <w:r w:rsidRPr="00FB1236">
        <w:rPr>
          <w:rFonts w:ascii="Times New Roman" w:hAnsi="Times New Roman" w:cs="Times New Roman"/>
          <w:sz w:val="24"/>
          <w:szCs w:val="24"/>
        </w:rPr>
        <w:t>. [online] Harvard Business Review. Available at: &lt; https://search-ebscohost-com.ezproxy.uwtsd.ac.uk/login.aspx?direct=true&amp;db=bth&amp;AN=117516203&amp;site=ehost-live &gt; [Accessed 13 May 2020].</w:t>
      </w:r>
      <w:r>
        <w:rPr>
          <w:rFonts w:ascii="Times New Roman" w:hAnsi="Times New Roman" w:cs="Times New Roman"/>
          <w:sz w:val="24"/>
          <w:szCs w:val="24"/>
        </w:rPr>
        <w:t xml:space="preserve"> </w:t>
      </w:r>
    </w:p>
    <w:p w14:paraId="5479EDCC" w14:textId="77777777" w:rsidR="00173557" w:rsidRDefault="00173557" w:rsidP="00173557">
      <w:pPr>
        <w:spacing w:line="480" w:lineRule="auto"/>
        <w:ind w:left="720" w:hanging="720"/>
        <w:jc w:val="both"/>
        <w:rPr>
          <w:rFonts w:ascii="Times New Roman" w:hAnsi="Times New Roman" w:cs="Times New Roman"/>
          <w:sz w:val="24"/>
          <w:szCs w:val="24"/>
        </w:rPr>
      </w:pPr>
      <w:r w:rsidRPr="00817246">
        <w:rPr>
          <w:rFonts w:ascii="Times New Roman" w:hAnsi="Times New Roman" w:cs="Times New Roman"/>
          <w:sz w:val="24"/>
          <w:szCs w:val="24"/>
        </w:rPr>
        <w:t xml:space="preserve">Anderson, M., O'Neill, C., Clark, J.M., Street, A., Woods, M., Johnston-Webber, C., Charlesworth, A., Whyte, M., Foster, M., Majeed, A. and Pitchforth, E., 2021. Securing a sustainable and fit-for-purpose UK health and care workforce. The Lancet, 397(10288), </w:t>
      </w:r>
      <w:proofErr w:type="spellStart"/>
      <w:r w:rsidRPr="00817246">
        <w:rPr>
          <w:rFonts w:ascii="Times New Roman" w:hAnsi="Times New Roman" w:cs="Times New Roman"/>
          <w:sz w:val="24"/>
          <w:szCs w:val="24"/>
        </w:rPr>
        <w:t>pp.1992</w:t>
      </w:r>
      <w:proofErr w:type="spellEnd"/>
      <w:r w:rsidRPr="00817246">
        <w:rPr>
          <w:rFonts w:ascii="Times New Roman" w:hAnsi="Times New Roman" w:cs="Times New Roman"/>
          <w:sz w:val="24"/>
          <w:szCs w:val="24"/>
        </w:rPr>
        <w:t>-2011.</w:t>
      </w:r>
    </w:p>
    <w:p w14:paraId="173F67EF" w14:textId="77777777" w:rsidR="00173557" w:rsidRPr="00817246" w:rsidRDefault="00173557" w:rsidP="003156EC">
      <w:pPr>
        <w:spacing w:line="480" w:lineRule="auto"/>
        <w:jc w:val="both"/>
        <w:rPr>
          <w:rFonts w:ascii="Times New Roman" w:hAnsi="Times New Roman" w:cs="Times New Roman"/>
          <w:sz w:val="24"/>
          <w:szCs w:val="24"/>
        </w:rPr>
      </w:pPr>
      <w:r w:rsidRPr="00817246">
        <w:rPr>
          <w:rFonts w:ascii="Times New Roman" w:hAnsi="Times New Roman" w:cs="Times New Roman"/>
          <w:sz w:val="24"/>
          <w:szCs w:val="24"/>
        </w:rPr>
        <w:t>Blake, H. and Lloyd, S., 2020. Influencing organisational change in the NHS: lessons learned from workplace wellness initiatives in practice.</w:t>
      </w:r>
      <w:r>
        <w:rPr>
          <w:rFonts w:ascii="Times New Roman" w:hAnsi="Times New Roman" w:cs="Times New Roman"/>
          <w:sz w:val="24"/>
          <w:szCs w:val="24"/>
        </w:rPr>
        <w:t xml:space="preserve">  </w:t>
      </w:r>
    </w:p>
    <w:p w14:paraId="7682FBE3" w14:textId="77777777" w:rsidR="00173557" w:rsidRPr="00817246" w:rsidRDefault="00173557" w:rsidP="00173557">
      <w:pPr>
        <w:spacing w:line="480" w:lineRule="auto"/>
        <w:ind w:left="720" w:hanging="720"/>
        <w:jc w:val="both"/>
        <w:rPr>
          <w:rFonts w:ascii="Times New Roman" w:hAnsi="Times New Roman" w:cs="Times New Roman"/>
          <w:sz w:val="24"/>
          <w:szCs w:val="24"/>
        </w:rPr>
      </w:pPr>
      <w:r w:rsidRPr="00817246">
        <w:rPr>
          <w:rFonts w:ascii="Times New Roman" w:hAnsi="Times New Roman" w:cs="Times New Roman"/>
          <w:sz w:val="24"/>
          <w:szCs w:val="24"/>
        </w:rPr>
        <w:t xml:space="preserve">Booth, S., Price, E. and Walker, E., 2021. ‘When I asked for help and support it was not there’: current NHS employment practice and its impact on people with systemic lupus erythematosus. Rheumatology Advances in Practice, 5(1), </w:t>
      </w:r>
      <w:proofErr w:type="spellStart"/>
      <w:proofErr w:type="gramStart"/>
      <w:r w:rsidRPr="00817246">
        <w:rPr>
          <w:rFonts w:ascii="Times New Roman" w:hAnsi="Times New Roman" w:cs="Times New Roman"/>
          <w:sz w:val="24"/>
          <w:szCs w:val="24"/>
        </w:rPr>
        <w:t>p.rkab</w:t>
      </w:r>
      <w:proofErr w:type="gramEnd"/>
      <w:r w:rsidRPr="00817246">
        <w:rPr>
          <w:rFonts w:ascii="Times New Roman" w:hAnsi="Times New Roman" w:cs="Times New Roman"/>
          <w:sz w:val="24"/>
          <w:szCs w:val="24"/>
        </w:rPr>
        <w:t>019</w:t>
      </w:r>
      <w:proofErr w:type="spellEnd"/>
      <w:r w:rsidRPr="00817246">
        <w:rPr>
          <w:rFonts w:ascii="Times New Roman" w:hAnsi="Times New Roman" w:cs="Times New Roman"/>
          <w:sz w:val="24"/>
          <w:szCs w:val="24"/>
        </w:rPr>
        <w:t>.</w:t>
      </w:r>
      <w:r>
        <w:rPr>
          <w:rFonts w:ascii="Times New Roman" w:hAnsi="Times New Roman" w:cs="Times New Roman"/>
          <w:sz w:val="24"/>
          <w:szCs w:val="24"/>
        </w:rPr>
        <w:t xml:space="preserve"> </w:t>
      </w:r>
    </w:p>
    <w:p w14:paraId="1A0618EC" w14:textId="77777777" w:rsidR="00173557" w:rsidRPr="00817246" w:rsidRDefault="00173557" w:rsidP="00173557">
      <w:pPr>
        <w:spacing w:line="480" w:lineRule="auto"/>
        <w:ind w:left="720" w:hanging="720"/>
        <w:jc w:val="both"/>
        <w:rPr>
          <w:rFonts w:ascii="Times New Roman" w:hAnsi="Times New Roman" w:cs="Times New Roman"/>
          <w:sz w:val="24"/>
          <w:szCs w:val="24"/>
        </w:rPr>
      </w:pPr>
      <w:proofErr w:type="spellStart"/>
      <w:r w:rsidRPr="00817246">
        <w:rPr>
          <w:rFonts w:ascii="Times New Roman" w:hAnsi="Times New Roman" w:cs="Times New Roman"/>
          <w:sz w:val="24"/>
          <w:szCs w:val="24"/>
        </w:rPr>
        <w:t>Boselie</w:t>
      </w:r>
      <w:proofErr w:type="spellEnd"/>
      <w:r w:rsidRPr="00817246">
        <w:rPr>
          <w:rFonts w:ascii="Times New Roman" w:hAnsi="Times New Roman" w:cs="Times New Roman"/>
          <w:sz w:val="24"/>
          <w:szCs w:val="24"/>
        </w:rPr>
        <w:t xml:space="preserve">, P., Van Harten, J. and Veld, M., 2021. A human resource management review on public management and public administration research: stop right there… before we go any further…. Public Management Review, 23(4), </w:t>
      </w:r>
      <w:proofErr w:type="spellStart"/>
      <w:r w:rsidRPr="00817246">
        <w:rPr>
          <w:rFonts w:ascii="Times New Roman" w:hAnsi="Times New Roman" w:cs="Times New Roman"/>
          <w:sz w:val="24"/>
          <w:szCs w:val="24"/>
        </w:rPr>
        <w:t>pp.483</w:t>
      </w:r>
      <w:proofErr w:type="spellEnd"/>
      <w:r w:rsidRPr="00817246">
        <w:rPr>
          <w:rFonts w:ascii="Times New Roman" w:hAnsi="Times New Roman" w:cs="Times New Roman"/>
          <w:sz w:val="24"/>
          <w:szCs w:val="24"/>
        </w:rPr>
        <w:t>-500.</w:t>
      </w:r>
    </w:p>
    <w:p w14:paraId="0DBBD17D" w14:textId="77777777" w:rsidR="00173557" w:rsidRPr="00817246" w:rsidRDefault="00173557" w:rsidP="00173557">
      <w:pPr>
        <w:spacing w:line="480" w:lineRule="auto"/>
        <w:ind w:left="720" w:hanging="720"/>
        <w:jc w:val="both"/>
        <w:rPr>
          <w:rFonts w:ascii="Times New Roman" w:hAnsi="Times New Roman" w:cs="Times New Roman"/>
          <w:sz w:val="24"/>
          <w:szCs w:val="24"/>
        </w:rPr>
      </w:pPr>
      <w:r w:rsidRPr="00817246">
        <w:rPr>
          <w:rFonts w:ascii="Times New Roman" w:hAnsi="Times New Roman" w:cs="Times New Roman"/>
          <w:sz w:val="24"/>
          <w:szCs w:val="24"/>
        </w:rPr>
        <w:lastRenderedPageBreak/>
        <w:t xml:space="preserve">Currie, G., </w:t>
      </w:r>
      <w:proofErr w:type="spellStart"/>
      <w:r w:rsidRPr="00817246">
        <w:rPr>
          <w:rFonts w:ascii="Times New Roman" w:hAnsi="Times New Roman" w:cs="Times New Roman"/>
          <w:sz w:val="24"/>
          <w:szCs w:val="24"/>
        </w:rPr>
        <w:t>Spyridonidis</w:t>
      </w:r>
      <w:proofErr w:type="spellEnd"/>
      <w:r w:rsidRPr="00817246">
        <w:rPr>
          <w:rFonts w:ascii="Times New Roman" w:hAnsi="Times New Roman" w:cs="Times New Roman"/>
          <w:sz w:val="24"/>
          <w:szCs w:val="24"/>
        </w:rPr>
        <w:t xml:space="preserve">, D. and Oborn, E., 2020. The influence of HR practices upon knowledge brokering in professional organizations for service improvement: addressing professional legitimacy and identity in health care. Human Resource Management, 59(4), </w:t>
      </w:r>
      <w:proofErr w:type="spellStart"/>
      <w:r w:rsidRPr="00817246">
        <w:rPr>
          <w:rFonts w:ascii="Times New Roman" w:hAnsi="Times New Roman" w:cs="Times New Roman"/>
          <w:sz w:val="24"/>
          <w:szCs w:val="24"/>
        </w:rPr>
        <w:t>pp.379</w:t>
      </w:r>
      <w:proofErr w:type="spellEnd"/>
      <w:r w:rsidRPr="00817246">
        <w:rPr>
          <w:rFonts w:ascii="Times New Roman" w:hAnsi="Times New Roman" w:cs="Times New Roman"/>
          <w:sz w:val="24"/>
          <w:szCs w:val="24"/>
        </w:rPr>
        <w:t>-395.</w:t>
      </w:r>
    </w:p>
    <w:p w14:paraId="796053CA" w14:textId="77777777" w:rsidR="00173557" w:rsidRPr="00817246" w:rsidRDefault="00173557" w:rsidP="00173557">
      <w:pPr>
        <w:spacing w:line="480" w:lineRule="auto"/>
        <w:ind w:left="720" w:hanging="720"/>
        <w:jc w:val="both"/>
        <w:rPr>
          <w:rFonts w:ascii="Times New Roman" w:hAnsi="Times New Roman" w:cs="Times New Roman"/>
          <w:sz w:val="24"/>
          <w:szCs w:val="24"/>
        </w:rPr>
      </w:pPr>
      <w:r w:rsidRPr="00817246">
        <w:rPr>
          <w:rFonts w:ascii="Times New Roman" w:hAnsi="Times New Roman" w:cs="Times New Roman"/>
          <w:sz w:val="24"/>
          <w:szCs w:val="24"/>
        </w:rPr>
        <w:t xml:space="preserve">Drennan, </w:t>
      </w:r>
      <w:proofErr w:type="spellStart"/>
      <w:r w:rsidRPr="00817246">
        <w:rPr>
          <w:rFonts w:ascii="Times New Roman" w:hAnsi="Times New Roman" w:cs="Times New Roman"/>
          <w:sz w:val="24"/>
          <w:szCs w:val="24"/>
        </w:rPr>
        <w:t>V.M</w:t>
      </w:r>
      <w:proofErr w:type="spellEnd"/>
      <w:r w:rsidRPr="00817246">
        <w:rPr>
          <w:rFonts w:ascii="Times New Roman" w:hAnsi="Times New Roman" w:cs="Times New Roman"/>
          <w:sz w:val="24"/>
          <w:szCs w:val="24"/>
        </w:rPr>
        <w:t xml:space="preserve">., 2019. More care out of </w:t>
      </w:r>
      <w:proofErr w:type="gramStart"/>
      <w:r w:rsidRPr="00817246">
        <w:rPr>
          <w:rFonts w:ascii="Times New Roman" w:hAnsi="Times New Roman" w:cs="Times New Roman"/>
          <w:sz w:val="24"/>
          <w:szCs w:val="24"/>
        </w:rPr>
        <w:t>hospital?</w:t>
      </w:r>
      <w:proofErr w:type="gramEnd"/>
      <w:r w:rsidRPr="00817246">
        <w:rPr>
          <w:rFonts w:ascii="Times New Roman" w:hAnsi="Times New Roman" w:cs="Times New Roman"/>
          <w:sz w:val="24"/>
          <w:szCs w:val="24"/>
        </w:rPr>
        <w:t xml:space="preserve"> A qualitative exploration of the factors influencing the development of the district nursing workforce in England. Journal of health services research &amp; policy, 24(1), </w:t>
      </w:r>
      <w:proofErr w:type="spellStart"/>
      <w:r w:rsidRPr="00817246">
        <w:rPr>
          <w:rFonts w:ascii="Times New Roman" w:hAnsi="Times New Roman" w:cs="Times New Roman"/>
          <w:sz w:val="24"/>
          <w:szCs w:val="24"/>
        </w:rPr>
        <w:t>pp.11</w:t>
      </w:r>
      <w:proofErr w:type="spellEnd"/>
      <w:r w:rsidRPr="00817246">
        <w:rPr>
          <w:rFonts w:ascii="Times New Roman" w:hAnsi="Times New Roman" w:cs="Times New Roman"/>
          <w:sz w:val="24"/>
          <w:szCs w:val="24"/>
        </w:rPr>
        <w:t>-18.</w:t>
      </w:r>
    </w:p>
    <w:p w14:paraId="7F7B731A" w14:textId="77777777" w:rsidR="00173557" w:rsidRPr="00817246" w:rsidRDefault="00173557" w:rsidP="00173557">
      <w:pPr>
        <w:spacing w:line="480" w:lineRule="auto"/>
        <w:ind w:left="720" w:hanging="720"/>
        <w:jc w:val="both"/>
        <w:rPr>
          <w:rFonts w:ascii="Times New Roman" w:hAnsi="Times New Roman" w:cs="Times New Roman"/>
          <w:sz w:val="24"/>
          <w:szCs w:val="24"/>
        </w:rPr>
      </w:pPr>
      <w:proofErr w:type="spellStart"/>
      <w:r w:rsidRPr="00817246">
        <w:rPr>
          <w:rFonts w:ascii="Times New Roman" w:hAnsi="Times New Roman" w:cs="Times New Roman"/>
          <w:sz w:val="24"/>
          <w:szCs w:val="24"/>
        </w:rPr>
        <w:t>Exworthy</w:t>
      </w:r>
      <w:proofErr w:type="spellEnd"/>
      <w:r w:rsidRPr="00817246">
        <w:rPr>
          <w:rFonts w:ascii="Times New Roman" w:hAnsi="Times New Roman" w:cs="Times New Roman"/>
          <w:sz w:val="24"/>
          <w:szCs w:val="24"/>
        </w:rPr>
        <w:t>, M. and Nash, D., 2024. Pay and reward in health care services: insights from the case of the UK. In Research Handbook on Contemporary Human Resource Management for Health Care (pp. 318-334). Edward Elgar Publishing.</w:t>
      </w:r>
    </w:p>
    <w:p w14:paraId="00108AB6" w14:textId="77777777" w:rsidR="00173557" w:rsidRDefault="00173557" w:rsidP="00173557">
      <w:pPr>
        <w:spacing w:line="480" w:lineRule="auto"/>
        <w:ind w:left="720" w:hanging="720"/>
        <w:jc w:val="both"/>
        <w:rPr>
          <w:rFonts w:ascii="Times New Roman" w:hAnsi="Times New Roman" w:cs="Times New Roman"/>
          <w:sz w:val="24"/>
          <w:szCs w:val="24"/>
        </w:rPr>
      </w:pPr>
      <w:r w:rsidRPr="00817246">
        <w:rPr>
          <w:rFonts w:ascii="Times New Roman" w:hAnsi="Times New Roman" w:cs="Times New Roman"/>
          <w:sz w:val="24"/>
          <w:szCs w:val="24"/>
        </w:rPr>
        <w:t xml:space="preserve">Hoyle, L.P., Ryde, G.C., Coulter, J. and Rollason, J., 2024. Supporting health and wellbeing in health care employees: a documentary review of organizational policies, strategies and frameworks. Frontiers in Sports and Active Living, 6, </w:t>
      </w:r>
      <w:proofErr w:type="spellStart"/>
      <w:r w:rsidRPr="00817246">
        <w:rPr>
          <w:rFonts w:ascii="Times New Roman" w:hAnsi="Times New Roman" w:cs="Times New Roman"/>
          <w:sz w:val="24"/>
          <w:szCs w:val="24"/>
        </w:rPr>
        <w:t>p.1308603</w:t>
      </w:r>
      <w:proofErr w:type="spellEnd"/>
      <w:r w:rsidRPr="00817246">
        <w:rPr>
          <w:rFonts w:ascii="Times New Roman" w:hAnsi="Times New Roman" w:cs="Times New Roman"/>
          <w:sz w:val="24"/>
          <w:szCs w:val="24"/>
        </w:rPr>
        <w:t>.</w:t>
      </w:r>
    </w:p>
    <w:p w14:paraId="11443EE0" w14:textId="16624C57" w:rsidR="00173557" w:rsidRPr="00817246" w:rsidRDefault="00173557" w:rsidP="003156EC">
      <w:pPr>
        <w:spacing w:line="480" w:lineRule="auto"/>
        <w:ind w:left="720" w:hanging="720"/>
        <w:jc w:val="both"/>
        <w:rPr>
          <w:rFonts w:ascii="Times New Roman" w:hAnsi="Times New Roman" w:cs="Times New Roman"/>
          <w:sz w:val="24"/>
          <w:szCs w:val="24"/>
        </w:rPr>
      </w:pPr>
      <w:r w:rsidRPr="00FB1236">
        <w:rPr>
          <w:rFonts w:ascii="Times New Roman" w:hAnsi="Times New Roman" w:cs="Times New Roman"/>
          <w:sz w:val="24"/>
          <w:szCs w:val="24"/>
        </w:rPr>
        <w:t>Kumar, V., 2020. </w:t>
      </w:r>
      <w:r w:rsidRPr="00FB1236">
        <w:rPr>
          <w:rFonts w:ascii="Times New Roman" w:hAnsi="Times New Roman" w:cs="Times New Roman"/>
          <w:i/>
          <w:iCs/>
          <w:sz w:val="24"/>
          <w:szCs w:val="24"/>
        </w:rPr>
        <w:t xml:space="preserve">Customer Engagement Suite | </w:t>
      </w:r>
      <w:proofErr w:type="spellStart"/>
      <w:r w:rsidRPr="00FB1236">
        <w:rPr>
          <w:rFonts w:ascii="Times New Roman" w:hAnsi="Times New Roman" w:cs="Times New Roman"/>
          <w:i/>
          <w:iCs/>
          <w:sz w:val="24"/>
          <w:szCs w:val="24"/>
        </w:rPr>
        <w:t>VKCLV</w:t>
      </w:r>
      <w:proofErr w:type="spellEnd"/>
      <w:r w:rsidRPr="00FB1236">
        <w:rPr>
          <w:rFonts w:ascii="Times New Roman" w:hAnsi="Times New Roman" w:cs="Times New Roman"/>
          <w:sz w:val="24"/>
          <w:szCs w:val="24"/>
        </w:rPr>
        <w:t>. [online] Vkclv.com. Available at: &lt;https://www.vkclv.com/customer-engagement-suite/&gt; [Accessed 27 May 2020].</w:t>
      </w:r>
    </w:p>
    <w:p w14:paraId="15A61F6B" w14:textId="77777777" w:rsidR="00173557" w:rsidRPr="00817246" w:rsidRDefault="00173557" w:rsidP="00173557">
      <w:pPr>
        <w:spacing w:line="480" w:lineRule="auto"/>
        <w:ind w:left="720" w:hanging="720"/>
        <w:jc w:val="both"/>
        <w:rPr>
          <w:rFonts w:ascii="Times New Roman" w:hAnsi="Times New Roman" w:cs="Times New Roman"/>
          <w:sz w:val="24"/>
          <w:szCs w:val="24"/>
        </w:rPr>
      </w:pPr>
      <w:r w:rsidRPr="00817246">
        <w:rPr>
          <w:rFonts w:ascii="Times New Roman" w:hAnsi="Times New Roman" w:cs="Times New Roman"/>
          <w:sz w:val="24"/>
          <w:szCs w:val="24"/>
        </w:rPr>
        <w:t xml:space="preserve">Phiri, P., Sajid, S., </w:t>
      </w:r>
      <w:proofErr w:type="spellStart"/>
      <w:r w:rsidRPr="00817246">
        <w:rPr>
          <w:rFonts w:ascii="Times New Roman" w:hAnsi="Times New Roman" w:cs="Times New Roman"/>
          <w:sz w:val="24"/>
          <w:szCs w:val="24"/>
        </w:rPr>
        <w:t>Baykoca</w:t>
      </w:r>
      <w:proofErr w:type="spellEnd"/>
      <w:r w:rsidRPr="00817246">
        <w:rPr>
          <w:rFonts w:ascii="Times New Roman" w:hAnsi="Times New Roman" w:cs="Times New Roman"/>
          <w:sz w:val="24"/>
          <w:szCs w:val="24"/>
        </w:rPr>
        <w:t xml:space="preserve">, A., Shetty, S., </w:t>
      </w:r>
      <w:proofErr w:type="spellStart"/>
      <w:r w:rsidRPr="00817246">
        <w:rPr>
          <w:rFonts w:ascii="Times New Roman" w:hAnsi="Times New Roman" w:cs="Times New Roman"/>
          <w:sz w:val="24"/>
          <w:szCs w:val="24"/>
        </w:rPr>
        <w:t>Mudoni</w:t>
      </w:r>
      <w:proofErr w:type="spellEnd"/>
      <w:r w:rsidRPr="00817246">
        <w:rPr>
          <w:rFonts w:ascii="Times New Roman" w:hAnsi="Times New Roman" w:cs="Times New Roman"/>
          <w:sz w:val="24"/>
          <w:szCs w:val="24"/>
        </w:rPr>
        <w:t xml:space="preserve">, D., Rathod, S. and </w:t>
      </w:r>
      <w:proofErr w:type="spellStart"/>
      <w:r w:rsidRPr="00817246">
        <w:rPr>
          <w:rFonts w:ascii="Times New Roman" w:hAnsi="Times New Roman" w:cs="Times New Roman"/>
          <w:sz w:val="24"/>
          <w:szCs w:val="24"/>
        </w:rPr>
        <w:t>Delanerolle</w:t>
      </w:r>
      <w:proofErr w:type="spellEnd"/>
      <w:r w:rsidRPr="00817246">
        <w:rPr>
          <w:rFonts w:ascii="Times New Roman" w:hAnsi="Times New Roman" w:cs="Times New Roman"/>
          <w:sz w:val="24"/>
          <w:szCs w:val="24"/>
        </w:rPr>
        <w:t xml:space="preserve">, G., 2022. International recruitment of mental health nurses to the national health service: a challenge for the UK. BMC nursing, 21(1), </w:t>
      </w:r>
      <w:proofErr w:type="spellStart"/>
      <w:r w:rsidRPr="00817246">
        <w:rPr>
          <w:rFonts w:ascii="Times New Roman" w:hAnsi="Times New Roman" w:cs="Times New Roman"/>
          <w:sz w:val="24"/>
          <w:szCs w:val="24"/>
        </w:rPr>
        <w:t>p.355</w:t>
      </w:r>
      <w:proofErr w:type="spellEnd"/>
      <w:r w:rsidRPr="00817246">
        <w:rPr>
          <w:rFonts w:ascii="Times New Roman" w:hAnsi="Times New Roman" w:cs="Times New Roman"/>
          <w:sz w:val="24"/>
          <w:szCs w:val="24"/>
        </w:rPr>
        <w:t>.</w:t>
      </w:r>
    </w:p>
    <w:p w14:paraId="10826053" w14:textId="77777777" w:rsidR="00173557" w:rsidRPr="00817246" w:rsidRDefault="00173557" w:rsidP="00173557">
      <w:pPr>
        <w:spacing w:line="480" w:lineRule="auto"/>
        <w:ind w:left="720" w:hanging="720"/>
        <w:jc w:val="both"/>
        <w:rPr>
          <w:rFonts w:ascii="Times New Roman" w:hAnsi="Times New Roman" w:cs="Times New Roman"/>
          <w:sz w:val="24"/>
          <w:szCs w:val="24"/>
        </w:rPr>
      </w:pPr>
      <w:r w:rsidRPr="00817246">
        <w:rPr>
          <w:rFonts w:ascii="Times New Roman" w:hAnsi="Times New Roman" w:cs="Times New Roman"/>
          <w:sz w:val="24"/>
          <w:szCs w:val="24"/>
        </w:rPr>
        <w:t xml:space="preserve">Sayli, M., </w:t>
      </w:r>
      <w:proofErr w:type="spellStart"/>
      <w:r w:rsidRPr="00817246">
        <w:rPr>
          <w:rFonts w:ascii="Times New Roman" w:hAnsi="Times New Roman" w:cs="Times New Roman"/>
          <w:sz w:val="24"/>
          <w:szCs w:val="24"/>
        </w:rPr>
        <w:t>Moscelli</w:t>
      </w:r>
      <w:proofErr w:type="spellEnd"/>
      <w:r w:rsidRPr="00817246">
        <w:rPr>
          <w:rFonts w:ascii="Times New Roman" w:hAnsi="Times New Roman" w:cs="Times New Roman"/>
          <w:sz w:val="24"/>
          <w:szCs w:val="24"/>
        </w:rPr>
        <w:t xml:space="preserve">, G., Blanden, J., </w:t>
      </w:r>
      <w:proofErr w:type="spellStart"/>
      <w:r w:rsidRPr="00817246">
        <w:rPr>
          <w:rFonts w:ascii="Times New Roman" w:hAnsi="Times New Roman" w:cs="Times New Roman"/>
          <w:sz w:val="24"/>
          <w:szCs w:val="24"/>
        </w:rPr>
        <w:t>Bojke</w:t>
      </w:r>
      <w:proofErr w:type="spellEnd"/>
      <w:r w:rsidRPr="00817246">
        <w:rPr>
          <w:rFonts w:ascii="Times New Roman" w:hAnsi="Times New Roman" w:cs="Times New Roman"/>
          <w:sz w:val="24"/>
          <w:szCs w:val="24"/>
        </w:rPr>
        <w:t>, C. and Mello, M., 2022. Do Non-monetary Interventions Improve Staff Retention? Evidence from English NHS Hospitals.</w:t>
      </w:r>
    </w:p>
    <w:p w14:paraId="74B61037" w14:textId="77777777" w:rsidR="00173557" w:rsidRPr="00817246" w:rsidRDefault="00173557" w:rsidP="00173557">
      <w:pPr>
        <w:spacing w:line="480" w:lineRule="auto"/>
        <w:ind w:left="720" w:hanging="720"/>
        <w:jc w:val="both"/>
        <w:rPr>
          <w:rFonts w:ascii="Times New Roman" w:hAnsi="Times New Roman" w:cs="Times New Roman"/>
          <w:sz w:val="24"/>
          <w:szCs w:val="24"/>
        </w:rPr>
      </w:pPr>
      <w:proofErr w:type="spellStart"/>
      <w:r w:rsidRPr="00817246">
        <w:rPr>
          <w:rFonts w:ascii="Times New Roman" w:hAnsi="Times New Roman" w:cs="Times New Roman"/>
          <w:sz w:val="24"/>
          <w:szCs w:val="24"/>
        </w:rPr>
        <w:t>Shemtob</w:t>
      </w:r>
      <w:proofErr w:type="spellEnd"/>
      <w:r w:rsidRPr="00817246">
        <w:rPr>
          <w:rFonts w:ascii="Times New Roman" w:hAnsi="Times New Roman" w:cs="Times New Roman"/>
          <w:sz w:val="24"/>
          <w:szCs w:val="24"/>
        </w:rPr>
        <w:t xml:space="preserve">, L. and </w:t>
      </w:r>
      <w:proofErr w:type="spellStart"/>
      <w:r w:rsidRPr="00817246">
        <w:rPr>
          <w:rFonts w:ascii="Times New Roman" w:hAnsi="Times New Roman" w:cs="Times New Roman"/>
          <w:sz w:val="24"/>
          <w:szCs w:val="24"/>
        </w:rPr>
        <w:t>Asanati</w:t>
      </w:r>
      <w:proofErr w:type="spellEnd"/>
      <w:r w:rsidRPr="00817246">
        <w:rPr>
          <w:rFonts w:ascii="Times New Roman" w:hAnsi="Times New Roman" w:cs="Times New Roman"/>
          <w:sz w:val="24"/>
          <w:szCs w:val="24"/>
        </w:rPr>
        <w:t xml:space="preserve">, K., 2022. Why workforce health should have a place in UK care reform. Journal of the Royal Society of Medicine, 115(6), </w:t>
      </w:r>
      <w:proofErr w:type="spellStart"/>
      <w:r w:rsidRPr="00817246">
        <w:rPr>
          <w:rFonts w:ascii="Times New Roman" w:hAnsi="Times New Roman" w:cs="Times New Roman"/>
          <w:sz w:val="24"/>
          <w:szCs w:val="24"/>
        </w:rPr>
        <w:t>pp.205</w:t>
      </w:r>
      <w:proofErr w:type="spellEnd"/>
      <w:r w:rsidRPr="00817246">
        <w:rPr>
          <w:rFonts w:ascii="Times New Roman" w:hAnsi="Times New Roman" w:cs="Times New Roman"/>
          <w:sz w:val="24"/>
          <w:szCs w:val="24"/>
        </w:rPr>
        <w:t>-207.</w:t>
      </w:r>
    </w:p>
    <w:p w14:paraId="0798F370" w14:textId="77777777" w:rsidR="00173557" w:rsidRPr="00817246" w:rsidRDefault="00173557" w:rsidP="00173557">
      <w:pPr>
        <w:spacing w:line="480" w:lineRule="auto"/>
        <w:ind w:left="720" w:hanging="720"/>
        <w:jc w:val="both"/>
        <w:rPr>
          <w:rFonts w:ascii="Times New Roman" w:hAnsi="Times New Roman" w:cs="Times New Roman"/>
          <w:sz w:val="24"/>
          <w:szCs w:val="24"/>
        </w:rPr>
      </w:pPr>
      <w:r w:rsidRPr="00817246">
        <w:rPr>
          <w:rFonts w:ascii="Times New Roman" w:hAnsi="Times New Roman" w:cs="Times New Roman"/>
          <w:sz w:val="24"/>
          <w:szCs w:val="24"/>
        </w:rPr>
        <w:lastRenderedPageBreak/>
        <w:t xml:space="preserve">Teoh, K., </w:t>
      </w:r>
      <w:proofErr w:type="spellStart"/>
      <w:r w:rsidRPr="00817246">
        <w:rPr>
          <w:rFonts w:ascii="Times New Roman" w:hAnsi="Times New Roman" w:cs="Times New Roman"/>
          <w:sz w:val="24"/>
          <w:szCs w:val="24"/>
        </w:rPr>
        <w:t>Dhensa</w:t>
      </w:r>
      <w:proofErr w:type="spellEnd"/>
      <w:r w:rsidRPr="00817246">
        <w:rPr>
          <w:rFonts w:ascii="Times New Roman" w:hAnsi="Times New Roman" w:cs="Times New Roman"/>
          <w:sz w:val="24"/>
          <w:szCs w:val="24"/>
        </w:rPr>
        <w:t>-Kahlon, R., Christense, M., Frost, F., Hatton, E. and Nielsen, K., 2023. Organisational wellbeing interventions: case studies from the NHS.</w:t>
      </w:r>
    </w:p>
    <w:p w14:paraId="76AA15BD" w14:textId="77777777" w:rsidR="00173557" w:rsidRDefault="00173557" w:rsidP="00173557">
      <w:pPr>
        <w:spacing w:line="480" w:lineRule="auto"/>
        <w:ind w:left="720" w:hanging="720"/>
        <w:jc w:val="both"/>
        <w:rPr>
          <w:rFonts w:ascii="Times New Roman" w:hAnsi="Times New Roman" w:cs="Times New Roman"/>
          <w:sz w:val="24"/>
          <w:szCs w:val="24"/>
        </w:rPr>
      </w:pPr>
      <w:r w:rsidRPr="00FB1236">
        <w:rPr>
          <w:rFonts w:ascii="Times New Roman" w:hAnsi="Times New Roman" w:cs="Times New Roman"/>
          <w:sz w:val="24"/>
          <w:szCs w:val="24"/>
        </w:rPr>
        <w:t>Woodruff, R., 1997. Customer value: The next source for competitive advantage. </w:t>
      </w:r>
      <w:r w:rsidRPr="00FB1236">
        <w:rPr>
          <w:rFonts w:ascii="Times New Roman" w:hAnsi="Times New Roman" w:cs="Times New Roman"/>
          <w:i/>
          <w:iCs/>
          <w:sz w:val="24"/>
          <w:szCs w:val="24"/>
        </w:rPr>
        <w:t>Journal of the Academy of Marketing Science</w:t>
      </w:r>
      <w:r w:rsidRPr="00FB1236">
        <w:rPr>
          <w:rFonts w:ascii="Times New Roman" w:hAnsi="Times New Roman" w:cs="Times New Roman"/>
          <w:sz w:val="24"/>
          <w:szCs w:val="24"/>
        </w:rPr>
        <w:t xml:space="preserve">, [online] 25(2), </w:t>
      </w:r>
      <w:proofErr w:type="spellStart"/>
      <w:r w:rsidRPr="00FB1236">
        <w:rPr>
          <w:rFonts w:ascii="Times New Roman" w:hAnsi="Times New Roman" w:cs="Times New Roman"/>
          <w:sz w:val="24"/>
          <w:szCs w:val="24"/>
        </w:rPr>
        <w:t>pp.139</w:t>
      </w:r>
      <w:proofErr w:type="spellEnd"/>
      <w:r w:rsidRPr="00FB1236">
        <w:rPr>
          <w:rFonts w:ascii="Times New Roman" w:hAnsi="Times New Roman" w:cs="Times New Roman"/>
          <w:sz w:val="24"/>
          <w:szCs w:val="24"/>
        </w:rPr>
        <w:t>-153. Available at: &lt;https://link.springer.com/article/10.1007/BF02894350&gt; [Accessed 13 May 2020].</w:t>
      </w:r>
    </w:p>
    <w:p w14:paraId="317BBB4F" w14:textId="77777777" w:rsidR="00173557" w:rsidRPr="00173557" w:rsidRDefault="00173557" w:rsidP="00173557"/>
    <w:p w14:paraId="329B82F9" w14:textId="77777777" w:rsidR="00184579" w:rsidRDefault="00184579" w:rsidP="00184579"/>
    <w:sectPr w:rsidR="00184579">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5558446" w14:textId="77777777" w:rsidR="009B3547" w:rsidRDefault="009B3547" w:rsidP="005831A9">
      <w:pPr>
        <w:spacing w:after="0" w:line="240" w:lineRule="auto"/>
      </w:pPr>
      <w:r>
        <w:separator/>
      </w:r>
    </w:p>
  </w:endnote>
  <w:endnote w:type="continuationSeparator" w:id="0">
    <w:p w14:paraId="541515C7" w14:textId="77777777" w:rsidR="009B3547" w:rsidRDefault="009B3547" w:rsidP="005831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1112886" w14:textId="77777777" w:rsidR="009B3547" w:rsidRDefault="009B3547" w:rsidP="005831A9">
      <w:pPr>
        <w:spacing w:after="0" w:line="240" w:lineRule="auto"/>
      </w:pPr>
      <w:r>
        <w:separator/>
      </w:r>
    </w:p>
  </w:footnote>
  <w:footnote w:type="continuationSeparator" w:id="0">
    <w:p w14:paraId="3C38E560" w14:textId="77777777" w:rsidR="009B3547" w:rsidRDefault="009B3547" w:rsidP="005831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B53B3C"/>
    <w:multiLevelType w:val="hybridMultilevel"/>
    <w:tmpl w:val="F5321566"/>
    <w:lvl w:ilvl="0" w:tplc="7C705DE8">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9F42AE0"/>
    <w:multiLevelType w:val="hybridMultilevel"/>
    <w:tmpl w:val="8370DA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77D0309"/>
    <w:multiLevelType w:val="hybridMultilevel"/>
    <w:tmpl w:val="C9A2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1DD6D40"/>
    <w:multiLevelType w:val="hybridMultilevel"/>
    <w:tmpl w:val="05D4E8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1897713">
    <w:abstractNumId w:val="0"/>
  </w:num>
  <w:num w:numId="2" w16cid:durableId="555970349">
    <w:abstractNumId w:val="2"/>
  </w:num>
  <w:num w:numId="3" w16cid:durableId="1151096959">
    <w:abstractNumId w:val="1"/>
  </w:num>
  <w:num w:numId="4" w16cid:durableId="120868274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120FB"/>
    <w:rsid w:val="000A2FB6"/>
    <w:rsid w:val="000B1BCA"/>
    <w:rsid w:val="000C3EAC"/>
    <w:rsid w:val="000F29EC"/>
    <w:rsid w:val="00150FC3"/>
    <w:rsid w:val="00163F0B"/>
    <w:rsid w:val="00173557"/>
    <w:rsid w:val="00183B04"/>
    <w:rsid w:val="00184579"/>
    <w:rsid w:val="001B6A79"/>
    <w:rsid w:val="002163E9"/>
    <w:rsid w:val="0024011E"/>
    <w:rsid w:val="0028078F"/>
    <w:rsid w:val="002A5944"/>
    <w:rsid w:val="002B3153"/>
    <w:rsid w:val="002F758E"/>
    <w:rsid w:val="00301621"/>
    <w:rsid w:val="003156EC"/>
    <w:rsid w:val="003C760B"/>
    <w:rsid w:val="003D668E"/>
    <w:rsid w:val="0042275E"/>
    <w:rsid w:val="00443945"/>
    <w:rsid w:val="00447E37"/>
    <w:rsid w:val="00466C0C"/>
    <w:rsid w:val="004D13F9"/>
    <w:rsid w:val="004D32FF"/>
    <w:rsid w:val="00526563"/>
    <w:rsid w:val="005831A9"/>
    <w:rsid w:val="00583709"/>
    <w:rsid w:val="005B4BE2"/>
    <w:rsid w:val="006031E4"/>
    <w:rsid w:val="00622390"/>
    <w:rsid w:val="006423DD"/>
    <w:rsid w:val="0068457A"/>
    <w:rsid w:val="006C6FF9"/>
    <w:rsid w:val="006E718B"/>
    <w:rsid w:val="00734156"/>
    <w:rsid w:val="00742C36"/>
    <w:rsid w:val="0075147D"/>
    <w:rsid w:val="007A66E2"/>
    <w:rsid w:val="00806A13"/>
    <w:rsid w:val="008312FD"/>
    <w:rsid w:val="00855087"/>
    <w:rsid w:val="00874831"/>
    <w:rsid w:val="00884399"/>
    <w:rsid w:val="008C0ED7"/>
    <w:rsid w:val="00947878"/>
    <w:rsid w:val="00974EB7"/>
    <w:rsid w:val="009827C6"/>
    <w:rsid w:val="009B15B9"/>
    <w:rsid w:val="009B3547"/>
    <w:rsid w:val="009D2306"/>
    <w:rsid w:val="009D461C"/>
    <w:rsid w:val="00AA2D3C"/>
    <w:rsid w:val="00AE7ABD"/>
    <w:rsid w:val="00AF4B61"/>
    <w:rsid w:val="00B57D67"/>
    <w:rsid w:val="00BB7D1B"/>
    <w:rsid w:val="00BC72F5"/>
    <w:rsid w:val="00BD6870"/>
    <w:rsid w:val="00CD4FBD"/>
    <w:rsid w:val="00D330DF"/>
    <w:rsid w:val="00D4344B"/>
    <w:rsid w:val="00D87080"/>
    <w:rsid w:val="00DC0F36"/>
    <w:rsid w:val="00DE7836"/>
    <w:rsid w:val="00E841CA"/>
    <w:rsid w:val="00EB5B6C"/>
    <w:rsid w:val="00F448D6"/>
    <w:rsid w:val="00F811F5"/>
    <w:rsid w:val="00F867C0"/>
    <w:rsid w:val="00FC481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5831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1A9"/>
  </w:style>
  <w:style w:type="paragraph" w:styleId="Footer">
    <w:name w:val="footer"/>
    <w:basedOn w:val="Normal"/>
    <w:link w:val="FooterChar"/>
    <w:uiPriority w:val="99"/>
    <w:unhideWhenUsed/>
    <w:rsid w:val="005831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1A9"/>
  </w:style>
  <w:style w:type="paragraph" w:styleId="ListParagraph">
    <w:name w:val="List Paragraph"/>
    <w:basedOn w:val="Normal"/>
    <w:uiPriority w:val="34"/>
    <w:qFormat/>
    <w:rsid w:val="005831A9"/>
    <w:pPr>
      <w:ind w:left="720"/>
      <w:contextualSpacing/>
    </w:pPr>
  </w:style>
  <w:style w:type="paragraph" w:styleId="NoSpacing">
    <w:name w:val="No Spacing"/>
    <w:uiPriority w:val="1"/>
    <w:qFormat/>
    <w:rsid w:val="0028078F"/>
    <w:pPr>
      <w:spacing w:after="0" w:line="240" w:lineRule="auto"/>
    </w:pPr>
    <w:rPr>
      <w:rFonts w:asciiTheme="minorHAnsi" w:eastAsiaTheme="minorHAnsi" w:hAnsiTheme="minorHAnsi" w:cstheme="minorBidi"/>
      <w:kern w:val="2"/>
      <w:lang w:eastAsia="en-US"/>
      <w14:ligatures w14:val="standardContextual"/>
    </w:rPr>
  </w:style>
  <w:style w:type="character" w:styleId="Strong">
    <w:name w:val="Strong"/>
    <w:basedOn w:val="DefaultParagraphFont"/>
    <w:uiPriority w:val="22"/>
    <w:qFormat/>
    <w:rsid w:val="0028078F"/>
    <w:rPr>
      <w:b/>
      <w:bCs/>
    </w:rPr>
  </w:style>
  <w:style w:type="table" w:styleId="TableGrid">
    <w:name w:val="Table Grid"/>
    <w:basedOn w:val="TableNormal"/>
    <w:uiPriority w:val="39"/>
    <w:rsid w:val="000120FB"/>
    <w:pPr>
      <w:spacing w:after="0" w:line="240" w:lineRule="auto"/>
    </w:pPr>
    <w:rPr>
      <w:rFonts w:asciiTheme="minorHAnsi" w:eastAsiaTheme="minorHAnsi" w:hAnsiTheme="minorHAnsi" w:cstheme="minorBidi"/>
      <w:kern w:val="2"/>
      <w:lang w:eastAsia="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0120F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IntenseQuote">
    <w:name w:val="Intense Quote"/>
    <w:basedOn w:val="Normal"/>
    <w:next w:val="Normal"/>
    <w:link w:val="IntenseQuoteChar"/>
    <w:uiPriority w:val="30"/>
    <w:qFormat/>
    <w:rsid w:val="000120FB"/>
    <w:pPr>
      <w:pBdr>
        <w:top w:val="single" w:sz="4" w:space="10" w:color="365F91" w:themeColor="accent1" w:themeShade="BF"/>
        <w:bottom w:val="single" w:sz="4" w:space="10" w:color="365F91" w:themeColor="accent1" w:themeShade="BF"/>
      </w:pBdr>
      <w:spacing w:before="360" w:after="360"/>
      <w:ind w:left="864" w:right="864"/>
      <w:jc w:val="center"/>
    </w:pPr>
    <w:rPr>
      <w:rFonts w:asciiTheme="minorHAnsi" w:eastAsiaTheme="minorHAnsi" w:hAnsiTheme="minorHAnsi" w:cstheme="minorBidi"/>
      <w:i/>
      <w:iCs/>
      <w:color w:val="365F9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0120FB"/>
    <w:rPr>
      <w:rFonts w:asciiTheme="minorHAnsi" w:eastAsiaTheme="minorHAnsi" w:hAnsiTheme="minorHAnsi" w:cstheme="minorBidi"/>
      <w:i/>
      <w:iCs/>
      <w:color w:val="365F91" w:themeColor="accent1" w:themeShade="BF"/>
      <w:kern w:val="2"/>
      <w:lang w:eastAsia="en-US"/>
      <w14:ligatures w14:val="standardContextual"/>
    </w:rPr>
  </w:style>
  <w:style w:type="character" w:styleId="Emphasis">
    <w:name w:val="Emphasis"/>
    <w:basedOn w:val="DefaultParagraphFont"/>
    <w:uiPriority w:val="20"/>
    <w:qFormat/>
    <w:rsid w:val="00184579"/>
    <w:rPr>
      <w:i/>
      <w:iCs/>
    </w:rPr>
  </w:style>
  <w:style w:type="character" w:styleId="UnresolvedMention">
    <w:name w:val="Unresolved Mention"/>
    <w:basedOn w:val="DefaultParagraphFont"/>
    <w:uiPriority w:val="99"/>
    <w:semiHidden/>
    <w:unhideWhenUsed/>
    <w:rsid w:val="00184579"/>
    <w:rPr>
      <w:color w:val="605E5C"/>
      <w:shd w:val="clear" w:color="auto" w:fill="E1DFDD"/>
    </w:rPr>
  </w:style>
  <w:style w:type="character" w:customStyle="1" w:styleId="Heading2Char">
    <w:name w:val="Heading 2 Char"/>
    <w:basedOn w:val="DefaultParagraphFont"/>
    <w:link w:val="Heading2"/>
    <w:uiPriority w:val="9"/>
    <w:rsid w:val="00947878"/>
    <w:rPr>
      <w:color w:val="2E75B5"/>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99016440">
      <w:bodyDiv w:val="1"/>
      <w:marLeft w:val="0"/>
      <w:marRight w:val="0"/>
      <w:marTop w:val="0"/>
      <w:marBottom w:val="0"/>
      <w:divBdr>
        <w:top w:val="none" w:sz="0" w:space="0" w:color="auto"/>
        <w:left w:val="none" w:sz="0" w:space="0" w:color="auto"/>
        <w:bottom w:val="none" w:sz="0" w:space="0" w:color="auto"/>
        <w:right w:val="none" w:sz="0" w:space="0" w:color="auto"/>
      </w:divBdr>
    </w:div>
    <w:div w:id="115422009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tiff"/><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tif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316</TotalTime>
  <Pages>24</Pages>
  <Words>5939</Words>
  <Characters>33853</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Lina Sultana (DHCW - People &amp; OD)</dc:creator>
  <cp:lastModifiedBy>Lina Sultana (DHCW - People &amp; OD)</cp:lastModifiedBy>
  <cp:revision>34</cp:revision>
  <dcterms:created xsi:type="dcterms:W3CDTF">2024-07-02T14:42:00Z</dcterms:created>
  <dcterms:modified xsi:type="dcterms:W3CDTF">2024-07-04T16:04:00Z</dcterms:modified>
</cp:coreProperties>
</file>