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2F4CFB" w:rsidP="00F53DF5" w:rsidRDefault="00F53DF5" w14:paraId="565763C6" w14:textId="77777777">
      <w:pPr>
        <w:spacing w:line="360" w:lineRule="auto"/>
        <w:jc w:val="center"/>
        <w:rPr>
          <w:rFonts w:ascii="Times New Roman" w:hAnsi="Times New Roman" w:cs="Times New Roman"/>
        </w:rPr>
      </w:pPr>
      <w:r>
        <w:rPr>
          <w:rFonts w:ascii="Times New Roman"/>
          <w:noProof/>
          <w:sz w:val="20"/>
        </w:rPr>
        <w:drawing>
          <wp:inline distT="0" distB="0" distL="0" distR="0" wp14:anchorId="44C531CD" wp14:editId="5C1457AB">
            <wp:extent cx="1816670" cy="600075"/>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1816670" cy="600075"/>
                    </a:xfrm>
                    <a:prstGeom prst="rect">
                      <a:avLst/>
                    </a:prstGeom>
                  </pic:spPr>
                </pic:pic>
              </a:graphicData>
            </a:graphic>
          </wp:inline>
        </w:drawing>
      </w:r>
    </w:p>
    <w:p w:rsidR="002F4CFB" w:rsidP="00F53DF5" w:rsidRDefault="002F4CFB" w14:paraId="6E22E36A" w14:textId="77777777">
      <w:pPr>
        <w:spacing w:line="360" w:lineRule="auto"/>
        <w:jc w:val="center"/>
        <w:rPr>
          <w:rFonts w:ascii="Times New Roman" w:hAnsi="Times New Roman" w:cs="Times New Roman"/>
        </w:rPr>
      </w:pPr>
    </w:p>
    <w:p w:rsidR="002F4CFB" w:rsidP="00F53DF5" w:rsidRDefault="002F4CFB" w14:paraId="6458E506" w14:textId="77777777">
      <w:pPr>
        <w:spacing w:line="360" w:lineRule="auto"/>
        <w:jc w:val="center"/>
        <w:rPr>
          <w:rFonts w:ascii="Times New Roman" w:hAnsi="Times New Roman" w:cs="Times New Roman"/>
          <w:b/>
          <w:bCs/>
        </w:rPr>
      </w:pPr>
      <w:r w:rsidRPr="002F4CFB">
        <w:rPr>
          <w:rFonts w:ascii="Times New Roman" w:hAnsi="Times New Roman" w:cs="Times New Roman"/>
          <w:b/>
          <w:bCs/>
        </w:rPr>
        <w:t>Aligning People and Performance at Aether Innovations</w:t>
      </w:r>
    </w:p>
    <w:p w:rsidR="002F4CFB" w:rsidP="00F53DF5" w:rsidRDefault="002F4CFB" w14:paraId="13EEC8F6" w14:textId="77777777">
      <w:pPr>
        <w:spacing w:line="360" w:lineRule="auto"/>
        <w:jc w:val="center"/>
        <w:rPr>
          <w:rFonts w:ascii="Times New Roman" w:hAnsi="Times New Roman" w:cs="Times New Roman"/>
          <w:b/>
          <w:bCs/>
        </w:rPr>
      </w:pPr>
      <w:r>
        <w:rPr>
          <w:rFonts w:ascii="Times New Roman" w:hAnsi="Times New Roman" w:cs="Times New Roman"/>
          <w:b/>
          <w:bCs/>
        </w:rPr>
        <w:t>Module name: Human Capital Management</w:t>
      </w:r>
    </w:p>
    <w:p w:rsidR="002F4CFB" w:rsidP="00F53DF5" w:rsidRDefault="002F4CFB" w14:paraId="659006B7" w14:textId="77777777">
      <w:pPr>
        <w:spacing w:line="360" w:lineRule="auto"/>
        <w:jc w:val="center"/>
        <w:rPr>
          <w:rFonts w:ascii="Times New Roman" w:hAnsi="Times New Roman" w:cs="Times New Roman"/>
          <w:b/>
          <w:bCs/>
        </w:rPr>
      </w:pPr>
    </w:p>
    <w:p w:rsidR="002F4CFB" w:rsidP="00F53DF5" w:rsidRDefault="002F4CFB" w14:paraId="1952DA54" w14:textId="0CB3B76A">
      <w:pPr>
        <w:spacing w:line="360" w:lineRule="auto"/>
        <w:jc w:val="center"/>
        <w:rPr>
          <w:rFonts w:ascii="Times New Roman" w:hAnsi="Times New Roman" w:cs="Times New Roman"/>
          <w:b/>
          <w:bCs/>
        </w:rPr>
      </w:pPr>
      <w:r>
        <w:rPr>
          <w:rFonts w:ascii="Times New Roman" w:hAnsi="Times New Roman" w:cs="Times New Roman"/>
          <w:b/>
          <w:bCs/>
        </w:rPr>
        <w:t xml:space="preserve">Module Code: </w:t>
      </w:r>
      <w:r w:rsidRPr="000869CA">
        <w:rPr>
          <w:rFonts w:ascii="Times New Roman" w:hAnsi="Times New Roman" w:cs="Times New Roman"/>
          <w:b/>
          <w:spacing w:val="-2"/>
        </w:rPr>
        <w:t>LCMB7023</w:t>
      </w:r>
    </w:p>
    <w:p w:rsidR="002F4CFB" w:rsidP="00F53DF5" w:rsidRDefault="002F4CFB" w14:paraId="7FD40696" w14:textId="1E677D42">
      <w:pPr>
        <w:spacing w:line="360" w:lineRule="auto"/>
        <w:jc w:val="center"/>
        <w:rPr>
          <w:rFonts w:ascii="Times New Roman" w:hAnsi="Times New Roman" w:cs="Times New Roman"/>
          <w:b/>
        </w:rPr>
      </w:pPr>
      <w:r>
        <w:rPr>
          <w:rFonts w:ascii="Times New Roman" w:hAnsi="Times New Roman" w:cs="Times New Roman"/>
          <w:b/>
          <w:bCs/>
        </w:rPr>
        <w:t xml:space="preserve">Assessment Component: </w:t>
      </w:r>
      <w:r w:rsidRPr="000869CA">
        <w:rPr>
          <w:rFonts w:ascii="Times New Roman" w:hAnsi="Times New Roman" w:cs="Times New Roman"/>
          <w:b/>
        </w:rPr>
        <w:t>Individual</w:t>
      </w:r>
      <w:r w:rsidRPr="000869CA">
        <w:rPr>
          <w:rFonts w:ascii="Times New Roman" w:hAnsi="Times New Roman" w:cs="Times New Roman"/>
          <w:b/>
          <w:spacing w:val="-8"/>
        </w:rPr>
        <w:t xml:space="preserve"> </w:t>
      </w:r>
      <w:r w:rsidRPr="000869CA">
        <w:rPr>
          <w:rFonts w:ascii="Times New Roman" w:hAnsi="Times New Roman" w:cs="Times New Roman"/>
          <w:b/>
        </w:rPr>
        <w:t>report</w:t>
      </w:r>
      <w:r w:rsidRPr="000869CA">
        <w:rPr>
          <w:rFonts w:ascii="Times New Roman" w:hAnsi="Times New Roman" w:cs="Times New Roman"/>
          <w:b/>
          <w:spacing w:val="-6"/>
        </w:rPr>
        <w:t xml:space="preserve"> </w:t>
      </w:r>
      <w:r w:rsidRPr="000869CA">
        <w:rPr>
          <w:rFonts w:ascii="Times New Roman" w:hAnsi="Times New Roman" w:cs="Times New Roman"/>
          <w:b/>
        </w:rPr>
        <w:t>–</w:t>
      </w:r>
      <w:r w:rsidRPr="000869CA">
        <w:rPr>
          <w:rFonts w:ascii="Times New Roman" w:hAnsi="Times New Roman" w:cs="Times New Roman"/>
          <w:b/>
          <w:spacing w:val="-10"/>
        </w:rPr>
        <w:t xml:space="preserve"> </w:t>
      </w:r>
      <w:r w:rsidRPr="000869CA">
        <w:rPr>
          <w:rFonts w:ascii="Times New Roman" w:hAnsi="Times New Roman" w:cs="Times New Roman"/>
          <w:b/>
        </w:rPr>
        <w:t>HR</w:t>
      </w:r>
      <w:r w:rsidRPr="000869CA">
        <w:rPr>
          <w:rFonts w:ascii="Times New Roman" w:hAnsi="Times New Roman" w:cs="Times New Roman"/>
          <w:b/>
          <w:spacing w:val="-10"/>
        </w:rPr>
        <w:t xml:space="preserve"> </w:t>
      </w:r>
      <w:r w:rsidRPr="000869CA">
        <w:rPr>
          <w:rFonts w:ascii="Times New Roman" w:hAnsi="Times New Roman" w:cs="Times New Roman"/>
          <w:b/>
        </w:rPr>
        <w:t>strategy</w:t>
      </w:r>
    </w:p>
    <w:p w:rsidR="002F4CFB" w:rsidP="00F53DF5" w:rsidRDefault="002F4CFB" w14:paraId="570AAB04" w14:textId="77777777">
      <w:pPr>
        <w:spacing w:line="360" w:lineRule="auto"/>
        <w:jc w:val="center"/>
        <w:rPr>
          <w:rFonts w:ascii="Times New Roman" w:hAnsi="Times New Roman" w:cs="Times New Roman"/>
          <w:b/>
        </w:rPr>
      </w:pPr>
    </w:p>
    <w:p w:rsidR="002F4CFB" w:rsidP="25F33CD2" w:rsidRDefault="002F4CFB" w14:paraId="3E9A42A8" w14:textId="00ECF516">
      <w:pPr>
        <w:spacing w:line="360" w:lineRule="auto"/>
        <w:jc w:val="center"/>
        <w:rPr>
          <w:rFonts w:ascii="Times New Roman" w:hAnsi="Times New Roman" w:cs="Times New Roman"/>
          <w:b w:val="1"/>
          <w:bCs w:val="1"/>
          <w:lang w:val="en-US"/>
        </w:rPr>
      </w:pPr>
      <w:r w:rsidRPr="25F33CD2" w:rsidR="002F4CFB">
        <w:rPr>
          <w:rFonts w:ascii="Times New Roman" w:hAnsi="Times New Roman" w:cs="Times New Roman"/>
          <w:b w:val="1"/>
          <w:bCs w:val="1"/>
          <w:lang w:val="en-US"/>
        </w:rPr>
        <w:t xml:space="preserve">Student name: </w:t>
      </w:r>
      <w:r w:rsidRPr="25F33CD2" w:rsidR="709DECC2">
        <w:rPr>
          <w:rFonts w:ascii="Times New Roman" w:hAnsi="Times New Roman" w:cs="Times New Roman"/>
          <w:b w:val="1"/>
          <w:bCs w:val="1"/>
          <w:lang w:val="en-US"/>
        </w:rPr>
        <w:t xml:space="preserve">Godhani Hevin </w:t>
      </w:r>
      <w:r w:rsidRPr="25F33CD2" w:rsidR="709DECC2">
        <w:rPr>
          <w:rFonts w:ascii="Times New Roman" w:hAnsi="Times New Roman" w:cs="Times New Roman"/>
          <w:b w:val="1"/>
          <w:bCs w:val="1"/>
          <w:lang w:val="en-US"/>
        </w:rPr>
        <w:t>Ashvinbhai</w:t>
      </w:r>
    </w:p>
    <w:p w:rsidR="002F4CFB" w:rsidP="00F53DF5" w:rsidRDefault="002F4CFB" w14:paraId="6B01FAC7" w14:textId="77777777">
      <w:pPr>
        <w:spacing w:line="360" w:lineRule="auto"/>
        <w:jc w:val="center"/>
        <w:rPr>
          <w:rFonts w:ascii="Times New Roman" w:hAnsi="Times New Roman" w:cs="Times New Roman"/>
          <w:b/>
        </w:rPr>
      </w:pPr>
    </w:p>
    <w:p w:rsidR="002F4CFB" w:rsidP="25F33CD2" w:rsidRDefault="002F4CFB" w14:paraId="022AB01B" w14:textId="446AA85D">
      <w:pPr>
        <w:spacing w:line="360" w:lineRule="auto"/>
        <w:jc w:val="center"/>
        <w:rPr>
          <w:rFonts w:ascii="Times New Roman" w:hAnsi="Times New Roman" w:cs="Times New Roman"/>
          <w:b w:val="1"/>
          <w:bCs w:val="1"/>
        </w:rPr>
      </w:pPr>
      <w:r w:rsidRPr="25F33CD2" w:rsidR="002F4CFB">
        <w:rPr>
          <w:rFonts w:ascii="Times New Roman" w:hAnsi="Times New Roman" w:cs="Times New Roman"/>
          <w:b w:val="1"/>
          <w:bCs w:val="1"/>
        </w:rPr>
        <w:t>Student Id:</w:t>
      </w:r>
      <w:r w:rsidRPr="25F33CD2" w:rsidR="0720BD34">
        <w:rPr>
          <w:rFonts w:ascii="Times New Roman" w:hAnsi="Times New Roman" w:cs="Times New Roman"/>
          <w:b w:val="1"/>
          <w:bCs w:val="1"/>
        </w:rPr>
        <w:t>2519666</w:t>
      </w:r>
    </w:p>
    <w:p w:rsidR="25F33CD2" w:rsidP="25F33CD2" w:rsidRDefault="25F33CD2" w14:paraId="485292C0" w14:textId="19C88A0B">
      <w:pPr>
        <w:spacing w:line="360" w:lineRule="auto"/>
        <w:jc w:val="center"/>
        <w:rPr>
          <w:rFonts w:ascii="Times New Roman" w:hAnsi="Times New Roman" w:cs="Times New Roman"/>
          <w:b w:val="1"/>
          <w:bCs w:val="1"/>
        </w:rPr>
      </w:pPr>
    </w:p>
    <w:p w:rsidR="002F4CFB" w:rsidP="00F53DF5" w:rsidRDefault="002F4CFB" w14:paraId="4E4C1AC9" w14:textId="1F7CB66A">
      <w:pPr>
        <w:spacing w:line="360" w:lineRule="auto"/>
        <w:jc w:val="center"/>
        <w:rPr>
          <w:rFonts w:ascii="Times New Roman" w:hAnsi="Times New Roman" w:cs="Times New Roman"/>
          <w:b/>
          <w:bCs/>
        </w:rPr>
      </w:pPr>
      <w:r>
        <w:rPr>
          <w:rFonts w:ascii="Times New Roman" w:hAnsi="Times New Roman" w:cs="Times New Roman"/>
          <w:b/>
          <w:bCs/>
        </w:rPr>
        <w:t>Word Count:  2670</w:t>
      </w:r>
    </w:p>
    <w:p w:rsidRPr="002F4CFB" w:rsidR="00E9124D" w:rsidP="00F53DF5" w:rsidRDefault="00F53DF5" w14:paraId="2C5DA820" w14:textId="4AA039BE">
      <w:pPr>
        <w:spacing w:line="360" w:lineRule="auto"/>
        <w:jc w:val="center"/>
        <w:rPr>
          <w:rFonts w:ascii="Times New Roman" w:hAnsi="Times New Roman" w:eastAsia="Times New Roman" w:cs="Times New Roman"/>
          <w:b/>
          <w:bCs/>
        </w:rPr>
      </w:pPr>
      <w:r w:rsidRPr="002F4CFB">
        <w:rPr>
          <w:rFonts w:ascii="Times New Roman" w:hAnsi="Times New Roman" w:cs="Times New Roman"/>
          <w:b/>
          <w:bCs/>
        </w:rPr>
        <w:br w:type="page"/>
      </w:r>
    </w:p>
    <w:sdt>
      <w:sdtPr>
        <w:rPr>
          <w:rFonts w:ascii="Times New Roman" w:hAnsi="Times New Roman" w:eastAsia="Arial" w:cs="Times New Roman"/>
          <w:color w:val="auto"/>
          <w:sz w:val="24"/>
          <w:szCs w:val="24"/>
          <w:lang w:val="en"/>
        </w:rPr>
        <w:id w:val="1011959246"/>
        <w:docPartObj>
          <w:docPartGallery w:val="Table of Contents"/>
          <w:docPartUnique/>
        </w:docPartObj>
      </w:sdtPr>
      <w:sdtEndPr>
        <w:rPr>
          <w:rFonts w:ascii="Times New Roman" w:hAnsi="Times New Roman" w:eastAsia="Arial" w:cs="Times New Roman"/>
          <w:b w:val="1"/>
          <w:bCs w:val="1"/>
          <w:noProof/>
          <w:color w:val="auto"/>
          <w:sz w:val="24"/>
          <w:szCs w:val="24"/>
          <w:lang w:val="en"/>
        </w:rPr>
      </w:sdtEndPr>
      <w:sdtContent>
        <w:p w:rsidRPr="00335586" w:rsidR="000869CA" w:rsidP="00A71DB2" w:rsidRDefault="000869CA" w14:paraId="6CA63258" w14:textId="5AE8559A">
          <w:pPr>
            <w:pStyle w:val="TOCHeading"/>
            <w:spacing w:line="360" w:lineRule="auto"/>
            <w:jc w:val="center"/>
            <w:rPr>
              <w:rFonts w:ascii="Times New Roman" w:hAnsi="Times New Roman" w:cs="Times New Roman"/>
              <w:b/>
              <w:bCs/>
              <w:color w:val="auto"/>
              <w:sz w:val="24"/>
              <w:szCs w:val="24"/>
            </w:rPr>
          </w:pPr>
          <w:r w:rsidRPr="00335586">
            <w:rPr>
              <w:rFonts w:ascii="Times New Roman" w:hAnsi="Times New Roman" w:cs="Times New Roman"/>
              <w:b/>
              <w:bCs/>
              <w:color w:val="auto"/>
              <w:sz w:val="24"/>
              <w:szCs w:val="24"/>
            </w:rPr>
            <w:t>Table of Contents</w:t>
          </w:r>
        </w:p>
        <w:p w:rsidRPr="00335586" w:rsidR="00335586" w:rsidP="005B2598" w:rsidRDefault="000869CA" w14:paraId="05AD0DB2" w14:textId="332B3D00">
          <w:pPr>
            <w:pStyle w:val="TOC1"/>
            <w:tabs>
              <w:tab w:val="right" w:leader="dot" w:pos="9016"/>
            </w:tabs>
            <w:spacing w:line="360" w:lineRule="auto"/>
            <w:jc w:val="both"/>
            <w:rPr>
              <w:rFonts w:ascii="Times New Roman" w:hAnsi="Times New Roman" w:cs="Times New Roman" w:eastAsiaTheme="minorEastAsia"/>
              <w:noProof/>
              <w:kern w:val="2"/>
              <w:lang w:val="en-US"/>
              <w14:ligatures w14:val="standardContextual"/>
            </w:rPr>
          </w:pPr>
          <w:r w:rsidRPr="00335586">
            <w:rPr>
              <w:rFonts w:ascii="Times New Roman" w:hAnsi="Times New Roman" w:cs="Times New Roman"/>
            </w:rPr>
            <w:fldChar w:fldCharType="begin"/>
          </w:r>
          <w:r w:rsidRPr="00335586">
            <w:rPr>
              <w:rFonts w:ascii="Times New Roman" w:hAnsi="Times New Roman" w:cs="Times New Roman"/>
            </w:rPr>
            <w:instrText xml:space="preserve"> TOC \o "1-3" \h \z \u </w:instrText>
          </w:r>
          <w:r w:rsidRPr="00335586">
            <w:rPr>
              <w:rFonts w:ascii="Times New Roman" w:hAnsi="Times New Roman" w:cs="Times New Roman"/>
            </w:rPr>
            <w:fldChar w:fldCharType="separate"/>
          </w:r>
          <w:hyperlink w:history="1" w:anchor="_Toc224898865">
            <w:r w:rsidRPr="00335586" w:rsidR="00335586">
              <w:rPr>
                <w:rStyle w:val="Hyperlink"/>
                <w:rFonts w:ascii="Times New Roman" w:hAnsi="Times New Roman" w:cs="Times New Roman"/>
                <w:noProof/>
              </w:rPr>
              <w:t>Introduction</w:t>
            </w:r>
            <w:r w:rsidRPr="00335586" w:rsidR="00335586">
              <w:rPr>
                <w:rFonts w:ascii="Times New Roman" w:hAnsi="Times New Roman" w:cs="Times New Roman"/>
                <w:noProof/>
                <w:webHidden/>
              </w:rPr>
              <w:tab/>
            </w:r>
            <w:r w:rsidRPr="00335586" w:rsidR="00335586">
              <w:rPr>
                <w:rFonts w:ascii="Times New Roman" w:hAnsi="Times New Roman" w:cs="Times New Roman"/>
                <w:noProof/>
                <w:webHidden/>
              </w:rPr>
              <w:fldChar w:fldCharType="begin"/>
            </w:r>
            <w:r w:rsidRPr="00335586" w:rsidR="00335586">
              <w:rPr>
                <w:rFonts w:ascii="Times New Roman" w:hAnsi="Times New Roman" w:cs="Times New Roman"/>
                <w:noProof/>
                <w:webHidden/>
              </w:rPr>
              <w:instrText xml:space="preserve"> PAGEREF _Toc224898865 \h </w:instrText>
            </w:r>
            <w:r w:rsidRPr="00335586" w:rsidR="00335586">
              <w:rPr>
                <w:rFonts w:ascii="Times New Roman" w:hAnsi="Times New Roman" w:cs="Times New Roman"/>
                <w:noProof/>
                <w:webHidden/>
              </w:rPr>
            </w:r>
            <w:r w:rsidRPr="00335586" w:rsidR="00335586">
              <w:rPr>
                <w:rFonts w:ascii="Times New Roman" w:hAnsi="Times New Roman" w:cs="Times New Roman"/>
                <w:noProof/>
                <w:webHidden/>
              </w:rPr>
              <w:fldChar w:fldCharType="separate"/>
            </w:r>
            <w:r w:rsidRPr="00335586" w:rsidR="00335586">
              <w:rPr>
                <w:rFonts w:ascii="Times New Roman" w:hAnsi="Times New Roman" w:cs="Times New Roman"/>
                <w:noProof/>
                <w:webHidden/>
              </w:rPr>
              <w:t>3</w:t>
            </w:r>
            <w:r w:rsidRPr="00335586" w:rsidR="00335586">
              <w:rPr>
                <w:rFonts w:ascii="Times New Roman" w:hAnsi="Times New Roman" w:cs="Times New Roman"/>
                <w:noProof/>
                <w:webHidden/>
              </w:rPr>
              <w:fldChar w:fldCharType="end"/>
            </w:r>
          </w:hyperlink>
        </w:p>
        <w:p w:rsidRPr="00335586" w:rsidR="00335586" w:rsidP="005B2598" w:rsidRDefault="00335586" w14:paraId="5AF31E89" w14:textId="78AB3E17">
          <w:pPr>
            <w:pStyle w:val="TOC1"/>
            <w:tabs>
              <w:tab w:val="right" w:leader="dot" w:pos="9016"/>
            </w:tabs>
            <w:spacing w:line="360" w:lineRule="auto"/>
            <w:jc w:val="both"/>
            <w:rPr>
              <w:rFonts w:ascii="Times New Roman" w:hAnsi="Times New Roman" w:cs="Times New Roman" w:eastAsiaTheme="minorEastAsia"/>
              <w:noProof/>
              <w:kern w:val="2"/>
              <w:lang w:val="en-US"/>
              <w14:ligatures w14:val="standardContextual"/>
            </w:rPr>
          </w:pPr>
          <w:hyperlink w:history="1" w:anchor="_Toc224898866">
            <w:r w:rsidRPr="00335586">
              <w:rPr>
                <w:rStyle w:val="Hyperlink"/>
                <w:rFonts w:ascii="Times New Roman" w:hAnsi="Times New Roman" w:cs="Times New Roman"/>
                <w:noProof/>
              </w:rPr>
              <w:t>PART 1 – OPTION 1: RE-ENGINEERING PERFORMANCE &amp; JOB DESIGN</w:t>
            </w:r>
            <w:r w:rsidRPr="00335586">
              <w:rPr>
                <w:rFonts w:ascii="Times New Roman" w:hAnsi="Times New Roman" w:cs="Times New Roman"/>
                <w:noProof/>
                <w:webHidden/>
              </w:rPr>
              <w:tab/>
            </w:r>
            <w:r w:rsidRPr="00335586">
              <w:rPr>
                <w:rFonts w:ascii="Times New Roman" w:hAnsi="Times New Roman" w:cs="Times New Roman"/>
                <w:noProof/>
                <w:webHidden/>
              </w:rPr>
              <w:fldChar w:fldCharType="begin"/>
            </w:r>
            <w:r w:rsidRPr="00335586">
              <w:rPr>
                <w:rFonts w:ascii="Times New Roman" w:hAnsi="Times New Roman" w:cs="Times New Roman"/>
                <w:noProof/>
                <w:webHidden/>
              </w:rPr>
              <w:instrText xml:space="preserve"> PAGEREF _Toc224898866 \h </w:instrText>
            </w:r>
            <w:r w:rsidRPr="00335586">
              <w:rPr>
                <w:rFonts w:ascii="Times New Roman" w:hAnsi="Times New Roman" w:cs="Times New Roman"/>
                <w:noProof/>
                <w:webHidden/>
              </w:rPr>
            </w:r>
            <w:r w:rsidRPr="00335586">
              <w:rPr>
                <w:rFonts w:ascii="Times New Roman" w:hAnsi="Times New Roman" w:cs="Times New Roman"/>
                <w:noProof/>
                <w:webHidden/>
              </w:rPr>
              <w:fldChar w:fldCharType="separate"/>
            </w:r>
            <w:r w:rsidRPr="00335586">
              <w:rPr>
                <w:rFonts w:ascii="Times New Roman" w:hAnsi="Times New Roman" w:cs="Times New Roman"/>
                <w:noProof/>
                <w:webHidden/>
              </w:rPr>
              <w:t>3</w:t>
            </w:r>
            <w:r w:rsidRPr="00335586">
              <w:rPr>
                <w:rFonts w:ascii="Times New Roman" w:hAnsi="Times New Roman" w:cs="Times New Roman"/>
                <w:noProof/>
                <w:webHidden/>
              </w:rPr>
              <w:fldChar w:fldCharType="end"/>
            </w:r>
          </w:hyperlink>
        </w:p>
        <w:p w:rsidRPr="00335586" w:rsidR="00335586" w:rsidP="005B2598" w:rsidRDefault="00335586" w14:paraId="3BE74270" w14:textId="3DB50C16">
          <w:pPr>
            <w:pStyle w:val="TOC2"/>
            <w:tabs>
              <w:tab w:val="right" w:leader="dot" w:pos="9016"/>
            </w:tabs>
            <w:spacing w:line="360" w:lineRule="auto"/>
            <w:jc w:val="both"/>
            <w:rPr>
              <w:rFonts w:ascii="Times New Roman" w:hAnsi="Times New Roman" w:cs="Times New Roman" w:eastAsiaTheme="minorEastAsia"/>
              <w:noProof/>
              <w:kern w:val="2"/>
              <w:lang w:val="en-US"/>
              <w14:ligatures w14:val="standardContextual"/>
            </w:rPr>
          </w:pPr>
          <w:hyperlink w:history="1" w:anchor="_Toc224898867">
            <w:r w:rsidRPr="00335586">
              <w:rPr>
                <w:rStyle w:val="Hyperlink"/>
                <w:rFonts w:ascii="Times New Roman" w:hAnsi="Times New Roman" w:eastAsia="Times New Roman" w:cs="Times New Roman"/>
                <w:noProof/>
              </w:rPr>
              <w:t>1. Current Performance Appraisal &amp; Job Design Practices in the Tech Sector</w:t>
            </w:r>
            <w:r w:rsidRPr="00335586">
              <w:rPr>
                <w:rFonts w:ascii="Times New Roman" w:hAnsi="Times New Roman" w:cs="Times New Roman"/>
                <w:noProof/>
                <w:webHidden/>
              </w:rPr>
              <w:tab/>
            </w:r>
            <w:r w:rsidRPr="00335586">
              <w:rPr>
                <w:rFonts w:ascii="Times New Roman" w:hAnsi="Times New Roman" w:cs="Times New Roman"/>
                <w:noProof/>
                <w:webHidden/>
              </w:rPr>
              <w:fldChar w:fldCharType="begin"/>
            </w:r>
            <w:r w:rsidRPr="00335586">
              <w:rPr>
                <w:rFonts w:ascii="Times New Roman" w:hAnsi="Times New Roman" w:cs="Times New Roman"/>
                <w:noProof/>
                <w:webHidden/>
              </w:rPr>
              <w:instrText xml:space="preserve"> PAGEREF _Toc224898867 \h </w:instrText>
            </w:r>
            <w:r w:rsidRPr="00335586">
              <w:rPr>
                <w:rFonts w:ascii="Times New Roman" w:hAnsi="Times New Roman" w:cs="Times New Roman"/>
                <w:noProof/>
                <w:webHidden/>
              </w:rPr>
            </w:r>
            <w:r w:rsidRPr="00335586">
              <w:rPr>
                <w:rFonts w:ascii="Times New Roman" w:hAnsi="Times New Roman" w:cs="Times New Roman"/>
                <w:noProof/>
                <w:webHidden/>
              </w:rPr>
              <w:fldChar w:fldCharType="separate"/>
            </w:r>
            <w:r w:rsidRPr="00335586">
              <w:rPr>
                <w:rFonts w:ascii="Times New Roman" w:hAnsi="Times New Roman" w:cs="Times New Roman"/>
                <w:noProof/>
                <w:webHidden/>
              </w:rPr>
              <w:t>3</w:t>
            </w:r>
            <w:r w:rsidRPr="00335586">
              <w:rPr>
                <w:rFonts w:ascii="Times New Roman" w:hAnsi="Times New Roman" w:cs="Times New Roman"/>
                <w:noProof/>
                <w:webHidden/>
              </w:rPr>
              <w:fldChar w:fldCharType="end"/>
            </w:r>
          </w:hyperlink>
        </w:p>
        <w:p w:rsidRPr="00335586" w:rsidR="00335586" w:rsidP="005B2598" w:rsidRDefault="00335586" w14:paraId="31ECA645" w14:textId="02045565">
          <w:pPr>
            <w:pStyle w:val="TOC2"/>
            <w:tabs>
              <w:tab w:val="right" w:leader="dot" w:pos="9016"/>
            </w:tabs>
            <w:spacing w:line="360" w:lineRule="auto"/>
            <w:jc w:val="both"/>
            <w:rPr>
              <w:rFonts w:ascii="Times New Roman" w:hAnsi="Times New Roman" w:cs="Times New Roman" w:eastAsiaTheme="minorEastAsia"/>
              <w:noProof/>
              <w:kern w:val="2"/>
              <w:lang w:val="en-US"/>
              <w14:ligatures w14:val="standardContextual"/>
            </w:rPr>
          </w:pPr>
          <w:hyperlink w:history="1" w:anchor="_Toc224898868">
            <w:r w:rsidRPr="00335586">
              <w:rPr>
                <w:rStyle w:val="Hyperlink"/>
                <w:rFonts w:ascii="Times New Roman" w:hAnsi="Times New Roman" w:eastAsia="Times New Roman" w:cs="Times New Roman"/>
                <w:noProof/>
              </w:rPr>
              <w:t>2. Proposed Modern Performance Appraisal System: OKRs Integrated with 360-Degree Feedback</w:t>
            </w:r>
            <w:r w:rsidRPr="00335586">
              <w:rPr>
                <w:rFonts w:ascii="Times New Roman" w:hAnsi="Times New Roman" w:cs="Times New Roman"/>
                <w:noProof/>
                <w:webHidden/>
              </w:rPr>
              <w:tab/>
            </w:r>
            <w:r w:rsidRPr="00335586">
              <w:rPr>
                <w:rFonts w:ascii="Times New Roman" w:hAnsi="Times New Roman" w:cs="Times New Roman"/>
                <w:noProof/>
                <w:webHidden/>
              </w:rPr>
              <w:fldChar w:fldCharType="begin"/>
            </w:r>
            <w:r w:rsidRPr="00335586">
              <w:rPr>
                <w:rFonts w:ascii="Times New Roman" w:hAnsi="Times New Roman" w:cs="Times New Roman"/>
                <w:noProof/>
                <w:webHidden/>
              </w:rPr>
              <w:instrText xml:space="preserve"> PAGEREF _Toc224898868 \h </w:instrText>
            </w:r>
            <w:r w:rsidRPr="00335586">
              <w:rPr>
                <w:rFonts w:ascii="Times New Roman" w:hAnsi="Times New Roman" w:cs="Times New Roman"/>
                <w:noProof/>
                <w:webHidden/>
              </w:rPr>
            </w:r>
            <w:r w:rsidRPr="00335586">
              <w:rPr>
                <w:rFonts w:ascii="Times New Roman" w:hAnsi="Times New Roman" w:cs="Times New Roman"/>
                <w:noProof/>
                <w:webHidden/>
              </w:rPr>
              <w:fldChar w:fldCharType="separate"/>
            </w:r>
            <w:r w:rsidRPr="00335586">
              <w:rPr>
                <w:rFonts w:ascii="Times New Roman" w:hAnsi="Times New Roman" w:cs="Times New Roman"/>
                <w:noProof/>
                <w:webHidden/>
              </w:rPr>
              <w:t>4</w:t>
            </w:r>
            <w:r w:rsidRPr="00335586">
              <w:rPr>
                <w:rFonts w:ascii="Times New Roman" w:hAnsi="Times New Roman" w:cs="Times New Roman"/>
                <w:noProof/>
                <w:webHidden/>
              </w:rPr>
              <w:fldChar w:fldCharType="end"/>
            </w:r>
          </w:hyperlink>
        </w:p>
        <w:p w:rsidRPr="00335586" w:rsidR="00335586" w:rsidP="005B2598" w:rsidRDefault="00335586" w14:paraId="5EB367E7" w14:textId="734FD301">
          <w:pPr>
            <w:pStyle w:val="TOC2"/>
            <w:tabs>
              <w:tab w:val="right" w:leader="dot" w:pos="9016"/>
            </w:tabs>
            <w:spacing w:line="360" w:lineRule="auto"/>
            <w:jc w:val="both"/>
            <w:rPr>
              <w:rFonts w:ascii="Times New Roman" w:hAnsi="Times New Roman" w:cs="Times New Roman" w:eastAsiaTheme="minorEastAsia"/>
              <w:noProof/>
              <w:kern w:val="2"/>
              <w:lang w:val="en-US"/>
              <w14:ligatures w14:val="standardContextual"/>
            </w:rPr>
          </w:pPr>
          <w:hyperlink w:history="1" w:anchor="_Toc224898869">
            <w:r w:rsidRPr="00335586">
              <w:rPr>
                <w:rStyle w:val="Hyperlink"/>
                <w:rFonts w:ascii="Times New Roman" w:hAnsi="Times New Roman" w:eastAsia="Times New Roman" w:cs="Times New Roman"/>
                <w:noProof/>
              </w:rPr>
              <w:t>3. Job Analysis: Proposed Job Descriptions &amp; Specifications for Six Key Roles</w:t>
            </w:r>
            <w:r w:rsidRPr="00335586">
              <w:rPr>
                <w:rFonts w:ascii="Times New Roman" w:hAnsi="Times New Roman" w:cs="Times New Roman"/>
                <w:noProof/>
                <w:webHidden/>
              </w:rPr>
              <w:tab/>
            </w:r>
            <w:r w:rsidRPr="00335586">
              <w:rPr>
                <w:rFonts w:ascii="Times New Roman" w:hAnsi="Times New Roman" w:cs="Times New Roman"/>
                <w:noProof/>
                <w:webHidden/>
              </w:rPr>
              <w:fldChar w:fldCharType="begin"/>
            </w:r>
            <w:r w:rsidRPr="00335586">
              <w:rPr>
                <w:rFonts w:ascii="Times New Roman" w:hAnsi="Times New Roman" w:cs="Times New Roman"/>
                <w:noProof/>
                <w:webHidden/>
              </w:rPr>
              <w:instrText xml:space="preserve"> PAGEREF _Toc224898869 \h </w:instrText>
            </w:r>
            <w:r w:rsidRPr="00335586">
              <w:rPr>
                <w:rFonts w:ascii="Times New Roman" w:hAnsi="Times New Roman" w:cs="Times New Roman"/>
                <w:noProof/>
                <w:webHidden/>
              </w:rPr>
            </w:r>
            <w:r w:rsidRPr="00335586">
              <w:rPr>
                <w:rFonts w:ascii="Times New Roman" w:hAnsi="Times New Roman" w:cs="Times New Roman"/>
                <w:noProof/>
                <w:webHidden/>
              </w:rPr>
              <w:fldChar w:fldCharType="separate"/>
            </w:r>
            <w:r w:rsidRPr="00335586">
              <w:rPr>
                <w:rFonts w:ascii="Times New Roman" w:hAnsi="Times New Roman" w:cs="Times New Roman"/>
                <w:noProof/>
                <w:webHidden/>
              </w:rPr>
              <w:t>5</w:t>
            </w:r>
            <w:r w:rsidRPr="00335586">
              <w:rPr>
                <w:rFonts w:ascii="Times New Roman" w:hAnsi="Times New Roman" w:cs="Times New Roman"/>
                <w:noProof/>
                <w:webHidden/>
              </w:rPr>
              <w:fldChar w:fldCharType="end"/>
            </w:r>
          </w:hyperlink>
        </w:p>
        <w:p w:rsidRPr="00335586" w:rsidR="00335586" w:rsidP="005B2598" w:rsidRDefault="00335586" w14:paraId="23A5E3A8" w14:textId="43592370">
          <w:pPr>
            <w:pStyle w:val="TOC2"/>
            <w:tabs>
              <w:tab w:val="right" w:leader="dot" w:pos="9016"/>
            </w:tabs>
            <w:spacing w:line="360" w:lineRule="auto"/>
            <w:jc w:val="both"/>
            <w:rPr>
              <w:rFonts w:ascii="Times New Roman" w:hAnsi="Times New Roman" w:cs="Times New Roman" w:eastAsiaTheme="minorEastAsia"/>
              <w:noProof/>
              <w:kern w:val="2"/>
              <w:lang w:val="en-US"/>
              <w14:ligatures w14:val="standardContextual"/>
            </w:rPr>
          </w:pPr>
          <w:hyperlink w:history="1" w:anchor="_Toc224898870">
            <w:r w:rsidRPr="00335586">
              <w:rPr>
                <w:rStyle w:val="Hyperlink"/>
                <w:rFonts w:ascii="Times New Roman" w:hAnsi="Times New Roman" w:eastAsia="Times New Roman" w:cs="Times New Roman"/>
                <w:noProof/>
              </w:rPr>
              <w:t>4. Connecting Performance Appraisal and Job Design: A Performance-Driven Culture</w:t>
            </w:r>
            <w:r w:rsidRPr="00335586">
              <w:rPr>
                <w:rFonts w:ascii="Times New Roman" w:hAnsi="Times New Roman" w:cs="Times New Roman"/>
                <w:noProof/>
                <w:webHidden/>
              </w:rPr>
              <w:tab/>
            </w:r>
            <w:r w:rsidRPr="00335586">
              <w:rPr>
                <w:rFonts w:ascii="Times New Roman" w:hAnsi="Times New Roman" w:cs="Times New Roman"/>
                <w:noProof/>
                <w:webHidden/>
              </w:rPr>
              <w:fldChar w:fldCharType="begin"/>
            </w:r>
            <w:r w:rsidRPr="00335586">
              <w:rPr>
                <w:rFonts w:ascii="Times New Roman" w:hAnsi="Times New Roman" w:cs="Times New Roman"/>
                <w:noProof/>
                <w:webHidden/>
              </w:rPr>
              <w:instrText xml:space="preserve"> PAGEREF _Toc224898870 \h </w:instrText>
            </w:r>
            <w:r w:rsidRPr="00335586">
              <w:rPr>
                <w:rFonts w:ascii="Times New Roman" w:hAnsi="Times New Roman" w:cs="Times New Roman"/>
                <w:noProof/>
                <w:webHidden/>
              </w:rPr>
            </w:r>
            <w:r w:rsidRPr="00335586">
              <w:rPr>
                <w:rFonts w:ascii="Times New Roman" w:hAnsi="Times New Roman" w:cs="Times New Roman"/>
                <w:noProof/>
                <w:webHidden/>
              </w:rPr>
              <w:fldChar w:fldCharType="separate"/>
            </w:r>
            <w:r w:rsidRPr="00335586">
              <w:rPr>
                <w:rFonts w:ascii="Times New Roman" w:hAnsi="Times New Roman" w:cs="Times New Roman"/>
                <w:noProof/>
                <w:webHidden/>
              </w:rPr>
              <w:t>6</w:t>
            </w:r>
            <w:r w:rsidRPr="00335586">
              <w:rPr>
                <w:rFonts w:ascii="Times New Roman" w:hAnsi="Times New Roman" w:cs="Times New Roman"/>
                <w:noProof/>
                <w:webHidden/>
              </w:rPr>
              <w:fldChar w:fldCharType="end"/>
            </w:r>
          </w:hyperlink>
        </w:p>
        <w:p w:rsidRPr="00335586" w:rsidR="00335586" w:rsidP="005B2598" w:rsidRDefault="00335586" w14:paraId="2E1B7C99" w14:textId="710B2CC5">
          <w:pPr>
            <w:pStyle w:val="TOC1"/>
            <w:tabs>
              <w:tab w:val="right" w:leader="dot" w:pos="9016"/>
            </w:tabs>
            <w:spacing w:line="360" w:lineRule="auto"/>
            <w:jc w:val="both"/>
            <w:rPr>
              <w:rFonts w:ascii="Times New Roman" w:hAnsi="Times New Roman" w:cs="Times New Roman" w:eastAsiaTheme="minorEastAsia"/>
              <w:noProof/>
              <w:kern w:val="2"/>
              <w:lang w:val="en-US"/>
              <w14:ligatures w14:val="standardContextual"/>
            </w:rPr>
          </w:pPr>
          <w:hyperlink w:history="1" w:anchor="_Toc224898871">
            <w:r w:rsidRPr="00335586">
              <w:rPr>
                <w:rStyle w:val="Hyperlink"/>
                <w:rFonts w:ascii="Times New Roman" w:hAnsi="Times New Roman" w:cs="Times New Roman"/>
                <w:noProof/>
              </w:rPr>
              <w:t>PART 2 – REFLECTIVE PRACTICE</w:t>
            </w:r>
            <w:r w:rsidRPr="00335586">
              <w:rPr>
                <w:rFonts w:ascii="Times New Roman" w:hAnsi="Times New Roman" w:cs="Times New Roman"/>
                <w:noProof/>
                <w:webHidden/>
              </w:rPr>
              <w:tab/>
            </w:r>
            <w:r w:rsidRPr="00335586">
              <w:rPr>
                <w:rFonts w:ascii="Times New Roman" w:hAnsi="Times New Roman" w:cs="Times New Roman"/>
                <w:noProof/>
                <w:webHidden/>
              </w:rPr>
              <w:fldChar w:fldCharType="begin"/>
            </w:r>
            <w:r w:rsidRPr="00335586">
              <w:rPr>
                <w:rFonts w:ascii="Times New Roman" w:hAnsi="Times New Roman" w:cs="Times New Roman"/>
                <w:noProof/>
                <w:webHidden/>
              </w:rPr>
              <w:instrText xml:space="preserve"> PAGEREF _Toc224898871 \h </w:instrText>
            </w:r>
            <w:r w:rsidRPr="00335586">
              <w:rPr>
                <w:rFonts w:ascii="Times New Roman" w:hAnsi="Times New Roman" w:cs="Times New Roman"/>
                <w:noProof/>
                <w:webHidden/>
              </w:rPr>
            </w:r>
            <w:r w:rsidRPr="00335586">
              <w:rPr>
                <w:rFonts w:ascii="Times New Roman" w:hAnsi="Times New Roman" w:cs="Times New Roman"/>
                <w:noProof/>
                <w:webHidden/>
              </w:rPr>
              <w:fldChar w:fldCharType="separate"/>
            </w:r>
            <w:r w:rsidRPr="00335586">
              <w:rPr>
                <w:rFonts w:ascii="Times New Roman" w:hAnsi="Times New Roman" w:cs="Times New Roman"/>
                <w:noProof/>
                <w:webHidden/>
              </w:rPr>
              <w:t>8</w:t>
            </w:r>
            <w:r w:rsidRPr="00335586">
              <w:rPr>
                <w:rFonts w:ascii="Times New Roman" w:hAnsi="Times New Roman" w:cs="Times New Roman"/>
                <w:noProof/>
                <w:webHidden/>
              </w:rPr>
              <w:fldChar w:fldCharType="end"/>
            </w:r>
          </w:hyperlink>
        </w:p>
        <w:p w:rsidRPr="00335586" w:rsidR="00335586" w:rsidP="005B2598" w:rsidRDefault="00335586" w14:paraId="6F87C7E1" w14:textId="63809DC7">
          <w:pPr>
            <w:pStyle w:val="TOC2"/>
            <w:tabs>
              <w:tab w:val="right" w:leader="dot" w:pos="9016"/>
            </w:tabs>
            <w:spacing w:line="360" w:lineRule="auto"/>
            <w:jc w:val="both"/>
            <w:rPr>
              <w:rFonts w:ascii="Times New Roman" w:hAnsi="Times New Roman" w:cs="Times New Roman" w:eastAsiaTheme="minorEastAsia"/>
              <w:noProof/>
              <w:kern w:val="2"/>
              <w:lang w:val="en-US"/>
              <w14:ligatures w14:val="standardContextual"/>
            </w:rPr>
          </w:pPr>
          <w:hyperlink w:history="1" w:anchor="_Toc224898872">
            <w:r w:rsidRPr="00335586">
              <w:rPr>
                <w:rStyle w:val="Hyperlink"/>
                <w:rFonts w:ascii="Times New Roman" w:hAnsi="Times New Roman" w:eastAsia="Times New Roman" w:cs="Times New Roman"/>
                <w:noProof/>
              </w:rPr>
              <w:t>5. Learning Journey Reflection: Applying Gibbs' Reflective Cycle</w:t>
            </w:r>
            <w:r w:rsidRPr="00335586">
              <w:rPr>
                <w:rFonts w:ascii="Times New Roman" w:hAnsi="Times New Roman" w:cs="Times New Roman"/>
                <w:noProof/>
                <w:webHidden/>
              </w:rPr>
              <w:tab/>
            </w:r>
            <w:r w:rsidRPr="00335586">
              <w:rPr>
                <w:rFonts w:ascii="Times New Roman" w:hAnsi="Times New Roman" w:cs="Times New Roman"/>
                <w:noProof/>
                <w:webHidden/>
              </w:rPr>
              <w:fldChar w:fldCharType="begin"/>
            </w:r>
            <w:r w:rsidRPr="00335586">
              <w:rPr>
                <w:rFonts w:ascii="Times New Roman" w:hAnsi="Times New Roman" w:cs="Times New Roman"/>
                <w:noProof/>
                <w:webHidden/>
              </w:rPr>
              <w:instrText xml:space="preserve"> PAGEREF _Toc224898872 \h </w:instrText>
            </w:r>
            <w:r w:rsidRPr="00335586">
              <w:rPr>
                <w:rFonts w:ascii="Times New Roman" w:hAnsi="Times New Roman" w:cs="Times New Roman"/>
                <w:noProof/>
                <w:webHidden/>
              </w:rPr>
            </w:r>
            <w:r w:rsidRPr="00335586">
              <w:rPr>
                <w:rFonts w:ascii="Times New Roman" w:hAnsi="Times New Roman" w:cs="Times New Roman"/>
                <w:noProof/>
                <w:webHidden/>
              </w:rPr>
              <w:fldChar w:fldCharType="separate"/>
            </w:r>
            <w:r w:rsidRPr="00335586">
              <w:rPr>
                <w:rFonts w:ascii="Times New Roman" w:hAnsi="Times New Roman" w:cs="Times New Roman"/>
                <w:noProof/>
                <w:webHidden/>
              </w:rPr>
              <w:t>8</w:t>
            </w:r>
            <w:r w:rsidRPr="00335586">
              <w:rPr>
                <w:rFonts w:ascii="Times New Roman" w:hAnsi="Times New Roman" w:cs="Times New Roman"/>
                <w:noProof/>
                <w:webHidden/>
              </w:rPr>
              <w:fldChar w:fldCharType="end"/>
            </w:r>
          </w:hyperlink>
        </w:p>
        <w:p w:rsidRPr="00335586" w:rsidR="00335586" w:rsidP="005B2598" w:rsidRDefault="00335586" w14:paraId="470BFBD3" w14:textId="50B62FFB">
          <w:pPr>
            <w:pStyle w:val="TOC2"/>
            <w:tabs>
              <w:tab w:val="right" w:leader="dot" w:pos="9016"/>
            </w:tabs>
            <w:spacing w:line="360" w:lineRule="auto"/>
            <w:jc w:val="both"/>
            <w:rPr>
              <w:rFonts w:ascii="Times New Roman" w:hAnsi="Times New Roman" w:cs="Times New Roman" w:eastAsiaTheme="minorEastAsia"/>
              <w:noProof/>
              <w:kern w:val="2"/>
              <w:lang w:val="en-US"/>
              <w14:ligatures w14:val="standardContextual"/>
            </w:rPr>
          </w:pPr>
          <w:hyperlink w:history="1" w:anchor="_Toc224898873">
            <w:r w:rsidRPr="00335586">
              <w:rPr>
                <w:rStyle w:val="Hyperlink"/>
                <w:rFonts w:ascii="Times New Roman" w:hAnsi="Times New Roman" w:eastAsia="Times New Roman" w:cs="Times New Roman"/>
                <w:noProof/>
              </w:rPr>
              <w:t>6. Relevance in the Age of AI: Human Distinctiveness and Augmentation</w:t>
            </w:r>
            <w:r w:rsidRPr="00335586">
              <w:rPr>
                <w:rFonts w:ascii="Times New Roman" w:hAnsi="Times New Roman" w:cs="Times New Roman"/>
                <w:noProof/>
                <w:webHidden/>
              </w:rPr>
              <w:tab/>
            </w:r>
            <w:r w:rsidRPr="00335586">
              <w:rPr>
                <w:rFonts w:ascii="Times New Roman" w:hAnsi="Times New Roman" w:cs="Times New Roman"/>
                <w:noProof/>
                <w:webHidden/>
              </w:rPr>
              <w:fldChar w:fldCharType="begin"/>
            </w:r>
            <w:r w:rsidRPr="00335586">
              <w:rPr>
                <w:rFonts w:ascii="Times New Roman" w:hAnsi="Times New Roman" w:cs="Times New Roman"/>
                <w:noProof/>
                <w:webHidden/>
              </w:rPr>
              <w:instrText xml:space="preserve"> PAGEREF _Toc224898873 \h </w:instrText>
            </w:r>
            <w:r w:rsidRPr="00335586">
              <w:rPr>
                <w:rFonts w:ascii="Times New Roman" w:hAnsi="Times New Roman" w:cs="Times New Roman"/>
                <w:noProof/>
                <w:webHidden/>
              </w:rPr>
            </w:r>
            <w:r w:rsidRPr="00335586">
              <w:rPr>
                <w:rFonts w:ascii="Times New Roman" w:hAnsi="Times New Roman" w:cs="Times New Roman"/>
                <w:noProof/>
                <w:webHidden/>
              </w:rPr>
              <w:fldChar w:fldCharType="separate"/>
            </w:r>
            <w:r w:rsidRPr="00335586">
              <w:rPr>
                <w:rFonts w:ascii="Times New Roman" w:hAnsi="Times New Roman" w:cs="Times New Roman"/>
                <w:noProof/>
                <w:webHidden/>
              </w:rPr>
              <w:t>9</w:t>
            </w:r>
            <w:r w:rsidRPr="00335586">
              <w:rPr>
                <w:rFonts w:ascii="Times New Roman" w:hAnsi="Times New Roman" w:cs="Times New Roman"/>
                <w:noProof/>
                <w:webHidden/>
              </w:rPr>
              <w:fldChar w:fldCharType="end"/>
            </w:r>
          </w:hyperlink>
        </w:p>
        <w:p w:rsidRPr="00335586" w:rsidR="00335586" w:rsidP="005B2598" w:rsidRDefault="00335586" w14:paraId="31C89583" w14:textId="576A0BA6">
          <w:pPr>
            <w:pStyle w:val="TOC1"/>
            <w:tabs>
              <w:tab w:val="right" w:leader="dot" w:pos="9016"/>
            </w:tabs>
            <w:spacing w:line="360" w:lineRule="auto"/>
            <w:jc w:val="both"/>
            <w:rPr>
              <w:rFonts w:ascii="Times New Roman" w:hAnsi="Times New Roman" w:cs="Times New Roman" w:eastAsiaTheme="minorEastAsia"/>
              <w:noProof/>
              <w:kern w:val="2"/>
              <w:lang w:val="en-US"/>
              <w14:ligatures w14:val="standardContextual"/>
            </w:rPr>
          </w:pPr>
          <w:hyperlink w:history="1" w:anchor="_Toc224898874">
            <w:r w:rsidRPr="00335586">
              <w:rPr>
                <w:rStyle w:val="Hyperlink"/>
                <w:rFonts w:ascii="Times New Roman" w:hAnsi="Times New Roman" w:cs="Times New Roman"/>
                <w:noProof/>
              </w:rPr>
              <w:t>Conclusion</w:t>
            </w:r>
            <w:r w:rsidRPr="00335586">
              <w:rPr>
                <w:rFonts w:ascii="Times New Roman" w:hAnsi="Times New Roman" w:cs="Times New Roman"/>
                <w:noProof/>
                <w:webHidden/>
              </w:rPr>
              <w:tab/>
            </w:r>
            <w:r w:rsidRPr="00335586">
              <w:rPr>
                <w:rFonts w:ascii="Times New Roman" w:hAnsi="Times New Roman" w:cs="Times New Roman"/>
                <w:noProof/>
                <w:webHidden/>
              </w:rPr>
              <w:fldChar w:fldCharType="begin"/>
            </w:r>
            <w:r w:rsidRPr="00335586">
              <w:rPr>
                <w:rFonts w:ascii="Times New Roman" w:hAnsi="Times New Roman" w:cs="Times New Roman"/>
                <w:noProof/>
                <w:webHidden/>
              </w:rPr>
              <w:instrText xml:space="preserve"> PAGEREF _Toc224898874 \h </w:instrText>
            </w:r>
            <w:r w:rsidRPr="00335586">
              <w:rPr>
                <w:rFonts w:ascii="Times New Roman" w:hAnsi="Times New Roman" w:cs="Times New Roman"/>
                <w:noProof/>
                <w:webHidden/>
              </w:rPr>
            </w:r>
            <w:r w:rsidRPr="00335586">
              <w:rPr>
                <w:rFonts w:ascii="Times New Roman" w:hAnsi="Times New Roman" w:cs="Times New Roman"/>
                <w:noProof/>
                <w:webHidden/>
              </w:rPr>
              <w:fldChar w:fldCharType="separate"/>
            </w:r>
            <w:r w:rsidRPr="00335586">
              <w:rPr>
                <w:rFonts w:ascii="Times New Roman" w:hAnsi="Times New Roman" w:cs="Times New Roman"/>
                <w:noProof/>
                <w:webHidden/>
              </w:rPr>
              <w:t>10</w:t>
            </w:r>
            <w:r w:rsidRPr="00335586">
              <w:rPr>
                <w:rFonts w:ascii="Times New Roman" w:hAnsi="Times New Roman" w:cs="Times New Roman"/>
                <w:noProof/>
                <w:webHidden/>
              </w:rPr>
              <w:fldChar w:fldCharType="end"/>
            </w:r>
          </w:hyperlink>
        </w:p>
        <w:p w:rsidRPr="00335586" w:rsidR="00335586" w:rsidP="005B2598" w:rsidRDefault="00335586" w14:paraId="771C7D7B" w14:textId="0C37B289">
          <w:pPr>
            <w:pStyle w:val="TOC1"/>
            <w:tabs>
              <w:tab w:val="right" w:leader="dot" w:pos="9016"/>
            </w:tabs>
            <w:spacing w:line="360" w:lineRule="auto"/>
            <w:jc w:val="both"/>
            <w:rPr>
              <w:rFonts w:ascii="Times New Roman" w:hAnsi="Times New Roman" w:cs="Times New Roman" w:eastAsiaTheme="minorEastAsia"/>
              <w:noProof/>
              <w:kern w:val="2"/>
              <w:lang w:val="en-US"/>
              <w14:ligatures w14:val="standardContextual"/>
            </w:rPr>
          </w:pPr>
          <w:hyperlink w:history="1" w:anchor="_Toc224898875">
            <w:r w:rsidRPr="00335586">
              <w:rPr>
                <w:rStyle w:val="Hyperlink"/>
                <w:rFonts w:ascii="Times New Roman" w:hAnsi="Times New Roman" w:cs="Times New Roman"/>
                <w:noProof/>
              </w:rPr>
              <w:t>REFERENCES</w:t>
            </w:r>
            <w:r w:rsidRPr="00335586">
              <w:rPr>
                <w:rFonts w:ascii="Times New Roman" w:hAnsi="Times New Roman" w:cs="Times New Roman"/>
                <w:noProof/>
                <w:webHidden/>
              </w:rPr>
              <w:tab/>
            </w:r>
            <w:r w:rsidRPr="00335586">
              <w:rPr>
                <w:rFonts w:ascii="Times New Roman" w:hAnsi="Times New Roman" w:cs="Times New Roman"/>
                <w:noProof/>
                <w:webHidden/>
              </w:rPr>
              <w:fldChar w:fldCharType="begin"/>
            </w:r>
            <w:r w:rsidRPr="00335586">
              <w:rPr>
                <w:rFonts w:ascii="Times New Roman" w:hAnsi="Times New Roman" w:cs="Times New Roman"/>
                <w:noProof/>
                <w:webHidden/>
              </w:rPr>
              <w:instrText xml:space="preserve"> PAGEREF _Toc224898875 \h </w:instrText>
            </w:r>
            <w:r w:rsidRPr="00335586">
              <w:rPr>
                <w:rFonts w:ascii="Times New Roman" w:hAnsi="Times New Roman" w:cs="Times New Roman"/>
                <w:noProof/>
                <w:webHidden/>
              </w:rPr>
            </w:r>
            <w:r w:rsidRPr="00335586">
              <w:rPr>
                <w:rFonts w:ascii="Times New Roman" w:hAnsi="Times New Roman" w:cs="Times New Roman"/>
                <w:noProof/>
                <w:webHidden/>
              </w:rPr>
              <w:fldChar w:fldCharType="separate"/>
            </w:r>
            <w:r w:rsidRPr="00335586">
              <w:rPr>
                <w:rFonts w:ascii="Times New Roman" w:hAnsi="Times New Roman" w:cs="Times New Roman"/>
                <w:noProof/>
                <w:webHidden/>
              </w:rPr>
              <w:t>12</w:t>
            </w:r>
            <w:r w:rsidRPr="00335586">
              <w:rPr>
                <w:rFonts w:ascii="Times New Roman" w:hAnsi="Times New Roman" w:cs="Times New Roman"/>
                <w:noProof/>
                <w:webHidden/>
              </w:rPr>
              <w:fldChar w:fldCharType="end"/>
            </w:r>
          </w:hyperlink>
        </w:p>
        <w:p w:rsidRPr="000869CA" w:rsidR="000869CA" w:rsidP="005B2598" w:rsidRDefault="000869CA" w14:paraId="3EE63874" w14:textId="1B06CF0C">
          <w:pPr>
            <w:spacing w:line="360" w:lineRule="auto"/>
            <w:jc w:val="both"/>
            <w:rPr>
              <w:rFonts w:ascii="Times New Roman" w:hAnsi="Times New Roman" w:cs="Times New Roman"/>
            </w:rPr>
          </w:pPr>
          <w:r w:rsidRPr="00335586">
            <w:rPr>
              <w:rFonts w:ascii="Times New Roman" w:hAnsi="Times New Roman" w:cs="Times New Roman"/>
              <w:b/>
              <w:bCs/>
              <w:noProof/>
            </w:rPr>
            <w:fldChar w:fldCharType="end"/>
          </w:r>
        </w:p>
      </w:sdtContent>
    </w:sdt>
    <w:p w:rsidRPr="000869CA" w:rsidR="000869CA" w:rsidP="005B2598" w:rsidRDefault="000869CA" w14:paraId="1F0F6BBA" w14:textId="77777777">
      <w:pPr>
        <w:spacing w:line="360" w:lineRule="auto"/>
        <w:rPr>
          <w:rFonts w:ascii="Times New Roman" w:hAnsi="Times New Roman" w:eastAsia="Times New Roman" w:cs="Times New Roman"/>
          <w:b/>
          <w:bCs/>
          <w:color w:val="000000"/>
        </w:rPr>
      </w:pPr>
      <w:r w:rsidRPr="000869CA">
        <w:rPr>
          <w:rFonts w:ascii="Times New Roman" w:hAnsi="Times New Roman" w:eastAsia="Times New Roman" w:cs="Times New Roman"/>
          <w:color w:val="000000"/>
        </w:rPr>
        <w:br w:type="page"/>
      </w:r>
    </w:p>
    <w:p w:rsidR="001B7C05" w:rsidP="005B2598" w:rsidRDefault="001B7C05" w14:paraId="05896141" w14:textId="358E9A85">
      <w:pPr>
        <w:pStyle w:val="Heading1"/>
      </w:pPr>
      <w:bookmarkStart w:name="_Toc224898865" w:id="0"/>
      <w:r w:rsidRPr="001B7C05">
        <w:t>Introduction</w:t>
      </w:r>
      <w:bookmarkEnd w:id="0"/>
      <w:r w:rsidR="00335586">
        <w:t xml:space="preserve"> </w:t>
      </w:r>
    </w:p>
    <w:p w:rsidRPr="001B7C05" w:rsidR="001B7C05" w:rsidP="25F33CD2" w:rsidRDefault="001B7C05" w14:paraId="435C9BBE" w14:textId="4CD45BA9">
      <w:pPr>
        <w:spacing w:line="360" w:lineRule="auto"/>
        <w:jc w:val="both"/>
        <w:rPr>
          <w:rFonts w:ascii="Times New Roman" w:hAnsi="Times New Roman" w:cs="Times New Roman"/>
          <w:lang w:val="en-US"/>
        </w:rPr>
      </w:pPr>
      <w:r w:rsidRPr="25F33CD2" w:rsidR="001B7C05">
        <w:rPr>
          <w:rFonts w:ascii="Times New Roman" w:hAnsi="Times New Roman" w:cs="Times New Roman"/>
          <w:lang w:val="en-US"/>
        </w:rPr>
        <w:t xml:space="preserve">This report is a critical analysis of performance appraisal and job design in the technology industry with reference to the enhancement of </w:t>
      </w:r>
      <w:r w:rsidRPr="25F33CD2" w:rsidR="001B7C05">
        <w:rPr>
          <w:rFonts w:ascii="Times New Roman" w:hAnsi="Times New Roman" w:cs="Times New Roman"/>
          <w:lang w:val="en-US"/>
        </w:rPr>
        <w:t>organisational</w:t>
      </w:r>
      <w:r w:rsidRPr="25F33CD2" w:rsidR="001B7C05">
        <w:rPr>
          <w:rFonts w:ascii="Times New Roman" w:hAnsi="Times New Roman" w:cs="Times New Roman"/>
          <w:lang w:val="en-US"/>
        </w:rPr>
        <w:t xml:space="preserve"> efficiency in Aether Innovations. It offers an evidence-based strategy of strategic improvement of employee engagement, performance, </w:t>
      </w:r>
      <w:r w:rsidRPr="25F33CD2" w:rsidR="001B7C05">
        <w:rPr>
          <w:rFonts w:ascii="Times New Roman" w:hAnsi="Times New Roman" w:cs="Times New Roman"/>
          <w:lang w:val="en-US"/>
        </w:rPr>
        <w:t>innovation</w:t>
      </w:r>
      <w:r w:rsidRPr="25F33CD2" w:rsidR="001B7C05">
        <w:rPr>
          <w:rFonts w:ascii="Times New Roman" w:hAnsi="Times New Roman" w:cs="Times New Roman"/>
          <w:lang w:val="en-US"/>
        </w:rPr>
        <w:t xml:space="preserve"> and long-term </w:t>
      </w:r>
      <w:r w:rsidRPr="25F33CD2" w:rsidR="001B7C05">
        <w:rPr>
          <w:rFonts w:ascii="Times New Roman" w:hAnsi="Times New Roman" w:cs="Times New Roman"/>
          <w:lang w:val="en-US"/>
        </w:rPr>
        <w:t>organisational</w:t>
      </w:r>
      <w:r w:rsidRPr="25F33CD2" w:rsidR="001B7C05">
        <w:rPr>
          <w:rFonts w:ascii="Times New Roman" w:hAnsi="Times New Roman" w:cs="Times New Roman"/>
          <w:lang w:val="en-US"/>
        </w:rPr>
        <w:t xml:space="preserve"> sustainability by combining modern frameworks, including the OKRs, 360-degree feedback, and Job Characteristics Model.</w:t>
      </w:r>
    </w:p>
    <w:p w:rsidRPr="000869CA" w:rsidR="00E9124D" w:rsidP="005B2598" w:rsidRDefault="00000000" w14:paraId="2007AFA4" w14:textId="6729A2EF">
      <w:pPr>
        <w:pStyle w:val="Heading1"/>
      </w:pPr>
      <w:bookmarkStart w:name="_Toc224898866" w:id="1"/>
      <w:r w:rsidRPr="000869CA">
        <w:t>PART 1 – OPTION 1: RE-ENGINEERING PERFORMANCE &amp; JOB DESIGN</w:t>
      </w:r>
      <w:bookmarkEnd w:id="1"/>
    </w:p>
    <w:p w:rsidRPr="000869CA" w:rsidR="00E9124D" w:rsidP="005B2598" w:rsidRDefault="00000000" w14:paraId="61E9DC26" w14:textId="77777777">
      <w:pPr>
        <w:pStyle w:val="Heading2"/>
        <w:spacing w:line="360" w:lineRule="auto"/>
        <w:jc w:val="both"/>
        <w:rPr>
          <w:rFonts w:ascii="Times New Roman" w:hAnsi="Times New Roman" w:eastAsia="Times New Roman" w:cs="Times New Roman"/>
          <w:color w:val="000000"/>
        </w:rPr>
      </w:pPr>
      <w:bookmarkStart w:name="_Toc224898867" w:id="2"/>
      <w:r w:rsidRPr="000869CA">
        <w:rPr>
          <w:rFonts w:ascii="Times New Roman" w:hAnsi="Times New Roman" w:eastAsia="Times New Roman" w:cs="Times New Roman"/>
          <w:color w:val="000000"/>
        </w:rPr>
        <w:t>1. Current Performance Appraisal &amp; Job Design Practices in the Tech Sector</w:t>
      </w:r>
      <w:bookmarkEnd w:id="2"/>
    </w:p>
    <w:p w:rsidRPr="000869CA" w:rsidR="00E9124D" w:rsidP="005B2598" w:rsidRDefault="00000000" w14:paraId="63AF9923"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The technology industry has been defined as one that has fast cycles of innovation, stiff competition and high dependency on human capital. In recent years, tech organisations began to lose interest in traditional annual performance appraisal models and realised the insufficiency of these methods in dynamic and knowledge-intensive organisations (Pearson, 2026). Lund et al., (2023) indicates that 78% of organisations in the world have created industry specific performance management systems that are customised to the industry demands, an accelerating shift in the direction of inflexible, one-fit-all systems.</w:t>
      </w:r>
    </w:p>
    <w:p w:rsidRPr="000869CA" w:rsidR="00E9124D" w:rsidP="005B2598" w:rsidRDefault="00000000" w14:paraId="6292ACCE"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In the technological firms, performance appraisal has changed significantly. Annual reviews, which were predominant, could be used by 82 per cent of companies in 2016 but it was only 54 per cent in 2019 (Smith, 2025). Instead, perpetual feedback systems and agile goal-setting models, namely, Objectives and Key Results (OKRs), have become decisively popular. Studies show that 75 percent of multinational corporations currently use systems based on OKRs (Psicosmart, 2024), which are in line with the principles of the iterative and sprint-driven development of technology products.</w:t>
      </w:r>
    </w:p>
    <w:p w:rsidRPr="000869CA" w:rsidR="00E9124D" w:rsidP="005B2598" w:rsidRDefault="00000000" w14:paraId="2FFC338D"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The technological sector does the same with job design, which is autonomy-focused and skills-based. According to the Society for Human Resource management (SHRM), the average cost of replacing a departing employee will be of 50 60 percent of his annual salary and that is why the soundness of the job design and performance frameworks is considered to be strategic (Alias et al.,, 2024). On the tech industry in particular, the average employee tenure constitutes only 23 years, which is much lower in comparison with the cross-industry average of 4.1 years (Bureau of Labour Statistics, 2024) meaning that there are underlying susceptibilities that a bad job design and insufficient performance management systems only worsen. </w:t>
      </w:r>
    </w:p>
    <w:p w:rsidRPr="000869CA" w:rsidR="00E9124D" w:rsidP="005B2598" w:rsidRDefault="00000000" w14:paraId="79528475" w14:textId="77777777">
      <w:pPr>
        <w:pStyle w:val="Heading2"/>
        <w:spacing w:line="360" w:lineRule="auto"/>
        <w:jc w:val="both"/>
        <w:rPr>
          <w:rFonts w:ascii="Times New Roman" w:hAnsi="Times New Roman" w:eastAsia="Times New Roman" w:cs="Times New Roman"/>
          <w:color w:val="000000"/>
        </w:rPr>
      </w:pPr>
      <w:bookmarkStart w:name="_Toc224898868" w:id="3"/>
      <w:r w:rsidRPr="000869CA">
        <w:rPr>
          <w:rFonts w:ascii="Times New Roman" w:hAnsi="Times New Roman" w:eastAsia="Times New Roman" w:cs="Times New Roman"/>
          <w:color w:val="000000"/>
        </w:rPr>
        <w:t>2. Proposed Modern Performance Appraisal System: OKRs Integrated with 360-Degree Feedback</w:t>
      </w:r>
      <w:bookmarkEnd w:id="3"/>
    </w:p>
    <w:p w:rsidRPr="000869CA" w:rsidR="00E9124D" w:rsidP="005B2598" w:rsidRDefault="00000000" w14:paraId="6DB06D58" w14:textId="77777777">
      <w:pPr>
        <w:spacing w:before="60" w:after="60" w:line="360" w:lineRule="auto"/>
        <w:jc w:val="both"/>
        <w:rPr>
          <w:rFonts w:ascii="Times New Roman" w:hAnsi="Times New Roman" w:eastAsia="Times New Roman" w:cs="Times New Roman"/>
        </w:rPr>
      </w:pPr>
      <w:r w:rsidRPr="000869CA">
        <w:rPr>
          <w:rFonts w:ascii="Times New Roman" w:hAnsi="Times New Roman" w:eastAsia="Times New Roman" w:cs="Times New Roman"/>
        </w:rPr>
        <w:t>This report suggests an interim performance management system to be implemented in Aether Innovations that combines the application of OKRs and 360-degree multisource feedback. This model cuts two sides of the coin having a goal-setting alignment as well as feedback on holistic development which cannot work alone without the other.</w:t>
      </w:r>
    </w:p>
    <w:p w:rsidRPr="000869CA" w:rsidR="00E9124D" w:rsidP="005B2598" w:rsidRDefault="00000000" w14:paraId="245FB817" w14:textId="77777777">
      <w:pPr>
        <w:spacing w:before="60" w:after="60" w:line="360" w:lineRule="auto"/>
        <w:jc w:val="both"/>
        <w:rPr>
          <w:rFonts w:ascii="Times New Roman" w:hAnsi="Times New Roman" w:eastAsia="Times New Roman" w:cs="Times New Roman"/>
        </w:rPr>
      </w:pPr>
      <w:r w:rsidRPr="000869CA">
        <w:rPr>
          <w:rFonts w:ascii="Times New Roman" w:hAnsi="Times New Roman" w:eastAsia="Times New Roman" w:cs="Times New Roman"/>
        </w:rPr>
        <w:t>Popularised by Greg Bettley in his article on Google, the systems of OKRs are founded on the basis of ambitious goals with 3-5 key results that are measurable at the end of the cycle (Doerr, 2018). The studies have shown that organisations that use OKRs regularly in each cycle yield an 8.5 per cent sales performance improvement, whereas only 3 per cent of organisations that not using the tool frequently see this improvement (Mooncamp, 2022). At Google, the use of OKR has led to a 32-percent engagement growth and a 29-percent performance score growth of teams (Psicosmart, 2024). The turn towards this institutional commitment to the framework is indicated by the global OKR software market which is already valued at USD 1.22 billion in 2023 and is expected to grow to USD 3.80 billion in 2032 with a CAGR of 13.47% (Global Growth Insights, 2024).</w:t>
      </w:r>
    </w:p>
    <w:p w:rsidRPr="000869CA" w:rsidR="00E9124D" w:rsidP="005B2598" w:rsidRDefault="00000000" w14:paraId="07260C39" w14:textId="77777777">
      <w:pPr>
        <w:spacing w:before="60" w:after="60" w:line="360" w:lineRule="auto"/>
        <w:jc w:val="both"/>
        <w:rPr>
          <w:rFonts w:ascii="Times New Roman" w:hAnsi="Times New Roman" w:eastAsia="Times New Roman" w:cs="Times New Roman"/>
        </w:rPr>
      </w:pPr>
      <w:r w:rsidRPr="000869CA">
        <w:rPr>
          <w:rFonts w:ascii="Times New Roman" w:hAnsi="Times New Roman" w:eastAsia="Times New Roman" w:cs="Times New Roman"/>
        </w:rPr>
        <w:t>In the case of Aether Innovations, the use of OKRs in the organisation should occur on three levels, including organisational level (established by the CEO), departmental level (established by C-suite and Heads), and individual one (established by team members and managers). An aspirational norm of 0.60-3.7 achievement aligned with Google's standard is a deterrent of the aspiration, but not a reasonable failure, (Tably, 2023). The weekly cheque-ins have to be in place to supplement the OKR cycle, since the research confirms that 85% of the employees indicate that they are more engaged when there are regular interactions between the manager and the employees (Smith, 2025).</w:t>
      </w:r>
    </w:p>
    <w:p w:rsidRPr="000869CA" w:rsidR="00E9124D" w:rsidP="005B2598" w:rsidRDefault="00000000" w14:paraId="59AF8D38" w14:textId="77777777">
      <w:pPr>
        <w:spacing w:before="60" w:after="60" w:line="360" w:lineRule="auto"/>
        <w:jc w:val="both"/>
        <w:rPr>
          <w:rFonts w:ascii="Times New Roman" w:hAnsi="Times New Roman" w:eastAsia="Times New Roman" w:cs="Times New Roman"/>
        </w:rPr>
      </w:pPr>
      <w:r w:rsidRPr="000869CA">
        <w:rPr>
          <w:rFonts w:ascii="Times New Roman" w:hAnsi="Times New Roman" w:eastAsia="Times New Roman" w:cs="Times New Roman"/>
        </w:rPr>
        <w:t>The 360-degree feedback system has been used to complement OKRs with the multi-dimensional behavioural and competency measurement. There are data that 360-degree feedback introduction increases the employee performance metrics by about 15% (Khan et al., 2024). There are also better distributive, procedural, and interactional justice perceptions in organisations with the use of 360-degree systems (Espinilla et al., 2013) to gain the psychological safety that the recoverability of the innovation capacity of Aether Innovations requires.</w:t>
      </w:r>
    </w:p>
    <w:p w:rsidRPr="000869CA" w:rsidR="00E9124D" w:rsidP="005B2598" w:rsidRDefault="00000000" w14:paraId="3EC9851F" w14:textId="77777777">
      <w:pPr>
        <w:spacing w:before="60" w:after="60" w:line="360" w:lineRule="auto"/>
        <w:jc w:val="both"/>
        <w:rPr>
          <w:rFonts w:ascii="Times New Roman" w:hAnsi="Times New Roman" w:eastAsia="Times New Roman" w:cs="Times New Roman"/>
        </w:rPr>
      </w:pPr>
      <w:r w:rsidRPr="000869CA">
        <w:rPr>
          <w:rFonts w:ascii="Times New Roman" w:hAnsi="Times New Roman" w:eastAsia="Times New Roman" w:cs="Times New Roman"/>
        </w:rPr>
        <w:t>The OKR-360 model conglomerate ought to run on a quarterly frequency. The accountability of goals would be promoted with the help of OKRs; the leadership behaviours, the quality of collaboration, and the developmental growth would be evaluated with the help of the bi-annual 360-degree reviews (PeopleFluent, 2024).</w:t>
      </w:r>
    </w:p>
    <w:p w:rsidRPr="000869CA" w:rsidR="00E9124D" w:rsidP="005B2598" w:rsidRDefault="00000000" w14:paraId="5404BFB1" w14:textId="77777777">
      <w:pPr>
        <w:pStyle w:val="Heading2"/>
        <w:spacing w:line="360" w:lineRule="auto"/>
        <w:jc w:val="both"/>
        <w:rPr>
          <w:rFonts w:ascii="Times New Roman" w:hAnsi="Times New Roman" w:eastAsia="Times New Roman" w:cs="Times New Roman"/>
          <w:color w:val="000000"/>
        </w:rPr>
      </w:pPr>
      <w:bookmarkStart w:name="_Toc224898869" w:id="4"/>
      <w:r w:rsidRPr="000869CA">
        <w:rPr>
          <w:rFonts w:ascii="Times New Roman" w:hAnsi="Times New Roman" w:eastAsia="Times New Roman" w:cs="Times New Roman"/>
          <w:color w:val="000000"/>
        </w:rPr>
        <w:t>3. Job Analysis: Proposed Job Descriptions &amp; Specifications for Six Key Roles</w:t>
      </w:r>
      <w:bookmarkEnd w:id="4"/>
    </w:p>
    <w:p w:rsidRPr="000869CA" w:rsidR="00E9124D" w:rsidP="005B2598" w:rsidRDefault="00000000" w14:paraId="553AC370"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Based on the Hackman and Oldham (1976) Job Characteristics Model (JCM), the job roles in Aether Innovations will be redesigned to achieve the highest measure of Motivating Potential Score (MPS), which is calculated as: MPS = [(Skill Variety + Task Identity + Task Significance)/3) × Autonomy × Feedback]. This equation shows that the two key drivers of intrinsic motivation are autonomy and feedback (Hackman and Oldham, 1976; Toolshero, 2025). </w:t>
      </w:r>
    </w:p>
    <w:p w:rsidRPr="000869CA" w:rsidR="00E9124D" w:rsidP="005B2598" w:rsidRDefault="00000000" w14:paraId="4A688D3B" w14:textId="77777777">
      <w:pPr>
        <w:spacing w:before="60" w:after="120" w:line="360" w:lineRule="auto"/>
        <w:jc w:val="both"/>
        <w:rPr>
          <w:rFonts w:ascii="Times New Roman" w:hAnsi="Times New Roman" w:eastAsia="Times New Roman" w:cs="Times New Roman"/>
        </w:rPr>
      </w:pPr>
      <w:r w:rsidRPr="000869CA">
        <w:rPr>
          <w:rFonts w:ascii="Times New Roman" w:hAnsi="Times New Roman" w:eastAsia="Times New Roman" w:cs="Times New Roman"/>
          <w:b/>
          <w:bCs/>
          <w:i/>
          <w:iCs/>
        </w:rPr>
        <w:t>Table 1: Proposed Job Descriptions and Specifications for Six Key Roles at Aether Innovations</w:t>
      </w:r>
    </w:p>
    <w:tbl>
      <w:tblPr>
        <w:tblStyle w:val="a"/>
        <w:tblW w:w="93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440"/>
        <w:gridCol w:w="2880"/>
        <w:gridCol w:w="2800"/>
        <w:gridCol w:w="2240"/>
      </w:tblGrid>
      <w:tr w:rsidRPr="000869CA" w:rsidR="00E9124D" w14:paraId="3B273740" w14:textId="77777777">
        <w:trPr>
          <w:tblHeader/>
        </w:trPr>
        <w:tc>
          <w:tcPr>
            <w:tcW w:w="1440" w:type="dxa"/>
            <w:tcBorders>
              <w:top w:val="single" w:color="1F4E79" w:sz="4" w:space="0"/>
              <w:left w:val="single" w:color="1F4E79" w:sz="4" w:space="0"/>
              <w:bottom w:val="single" w:color="1F4E79" w:sz="4" w:space="0"/>
              <w:right w:val="single" w:color="1F4E79" w:sz="4" w:space="0"/>
            </w:tcBorders>
            <w:shd w:val="clear" w:color="auto" w:fill="1F4E79"/>
            <w:tcMar>
              <w:top w:w="80" w:type="dxa"/>
              <w:left w:w="120" w:type="dxa"/>
              <w:bottom w:w="80" w:type="dxa"/>
              <w:right w:w="120" w:type="dxa"/>
            </w:tcMar>
            <w:vAlign w:val="center"/>
          </w:tcPr>
          <w:p w:rsidRPr="000869CA" w:rsidR="00E9124D" w:rsidP="005B2598" w:rsidRDefault="00000000" w14:paraId="27FEFFB4"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b/>
                <w:bCs/>
              </w:rPr>
              <w:t>Role</w:t>
            </w:r>
          </w:p>
        </w:tc>
        <w:tc>
          <w:tcPr>
            <w:tcW w:w="2880" w:type="dxa"/>
            <w:tcBorders>
              <w:top w:val="single" w:color="1F4E79" w:sz="4" w:space="0"/>
              <w:left w:val="single" w:color="1F4E79" w:sz="4" w:space="0"/>
              <w:bottom w:val="single" w:color="1F4E79" w:sz="4" w:space="0"/>
              <w:right w:val="single" w:color="1F4E79" w:sz="4" w:space="0"/>
            </w:tcBorders>
            <w:shd w:val="clear" w:color="auto" w:fill="1F4E79"/>
            <w:tcMar>
              <w:top w:w="80" w:type="dxa"/>
              <w:left w:w="120" w:type="dxa"/>
              <w:bottom w:w="80" w:type="dxa"/>
              <w:right w:w="120" w:type="dxa"/>
            </w:tcMar>
            <w:vAlign w:val="center"/>
          </w:tcPr>
          <w:p w:rsidRPr="000869CA" w:rsidR="00E9124D" w:rsidP="005B2598" w:rsidRDefault="00000000" w14:paraId="7CA46C1C"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b/>
                <w:bCs/>
              </w:rPr>
              <w:t>Core Responsibilities (Job Description)</w:t>
            </w:r>
          </w:p>
        </w:tc>
        <w:tc>
          <w:tcPr>
            <w:tcW w:w="2800" w:type="dxa"/>
            <w:tcBorders>
              <w:top w:val="single" w:color="1F4E79" w:sz="4" w:space="0"/>
              <w:left w:val="single" w:color="1F4E79" w:sz="4" w:space="0"/>
              <w:bottom w:val="single" w:color="1F4E79" w:sz="4" w:space="0"/>
              <w:right w:val="single" w:color="1F4E79" w:sz="4" w:space="0"/>
            </w:tcBorders>
            <w:shd w:val="clear" w:color="auto" w:fill="1F4E79"/>
            <w:tcMar>
              <w:top w:w="80" w:type="dxa"/>
              <w:left w:w="120" w:type="dxa"/>
              <w:bottom w:w="80" w:type="dxa"/>
              <w:right w:w="120" w:type="dxa"/>
            </w:tcMar>
            <w:vAlign w:val="center"/>
          </w:tcPr>
          <w:p w:rsidRPr="000869CA" w:rsidR="00E9124D" w:rsidP="005B2598" w:rsidRDefault="00000000" w14:paraId="4AD47890"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b/>
                <w:bCs/>
              </w:rPr>
              <w:t>Key Competencies &amp; Qualifications (Job Specification)</w:t>
            </w:r>
          </w:p>
        </w:tc>
        <w:tc>
          <w:tcPr>
            <w:tcW w:w="2240" w:type="dxa"/>
            <w:tcBorders>
              <w:top w:val="single" w:color="1F4E79" w:sz="4" w:space="0"/>
              <w:left w:val="single" w:color="1F4E79" w:sz="4" w:space="0"/>
              <w:bottom w:val="single" w:color="1F4E79" w:sz="4" w:space="0"/>
              <w:right w:val="single" w:color="1F4E79" w:sz="4" w:space="0"/>
            </w:tcBorders>
            <w:shd w:val="clear" w:color="auto" w:fill="1F4E79"/>
            <w:tcMar>
              <w:top w:w="80" w:type="dxa"/>
              <w:left w:w="120" w:type="dxa"/>
              <w:bottom w:w="80" w:type="dxa"/>
              <w:right w:w="120" w:type="dxa"/>
            </w:tcMar>
            <w:vAlign w:val="center"/>
          </w:tcPr>
          <w:p w:rsidRPr="000869CA" w:rsidR="00E9124D" w:rsidP="005B2598" w:rsidRDefault="00000000" w14:paraId="54221908"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b/>
                <w:bCs/>
              </w:rPr>
              <w:t>JCM Design Focus</w:t>
            </w:r>
          </w:p>
        </w:tc>
      </w:tr>
      <w:tr w:rsidRPr="000869CA" w:rsidR="00E9124D" w14:paraId="76D578F9" w14:textId="77777777">
        <w:tc>
          <w:tcPr>
            <w:tcW w:w="144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6A7F68F1"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CEO</w:t>
            </w:r>
          </w:p>
        </w:tc>
        <w:tc>
          <w:tcPr>
            <w:tcW w:w="288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34E9C576"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Set organisations direction, implementation of strategy, engagement with stakeholders</w:t>
            </w:r>
          </w:p>
        </w:tc>
        <w:tc>
          <w:tcPr>
            <w:tcW w:w="280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07490687"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MBA/PhD Business or Technology; 15+ yrs of top leadership roles</w:t>
            </w:r>
          </w:p>
        </w:tc>
        <w:tc>
          <w:tcPr>
            <w:tcW w:w="224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178C2789"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Significance of the High Task; Autonomy Higher </w:t>
            </w:r>
          </w:p>
        </w:tc>
      </w:tr>
      <w:tr w:rsidRPr="000869CA" w:rsidR="00E9124D" w14:paraId="37F7A1D5" w14:textId="77777777">
        <w:tc>
          <w:tcPr>
            <w:tcW w:w="144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768EF039"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CFO</w:t>
            </w:r>
          </w:p>
        </w:tc>
        <w:tc>
          <w:tcPr>
            <w:tcW w:w="288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64A2C001"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Manage financial plan, risk, capital, and be consistent </w:t>
            </w:r>
          </w:p>
        </w:tc>
        <w:tc>
          <w:tcPr>
            <w:tcW w:w="280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52ACC599"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CA/CPA/MBA Finance; 12 plus years of financial leadership experience</w:t>
            </w:r>
          </w:p>
        </w:tc>
        <w:tc>
          <w:tcPr>
            <w:tcW w:w="224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49255340"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End to end financial reporting intercollegiality</w:t>
            </w:r>
          </w:p>
        </w:tc>
      </w:tr>
      <w:tr w:rsidRPr="000869CA" w:rsidR="00E9124D" w14:paraId="7BDA5FF3" w14:textId="77777777">
        <w:tc>
          <w:tcPr>
            <w:tcW w:w="144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32082B37"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CTO</w:t>
            </w:r>
          </w:p>
        </w:tc>
        <w:tc>
          <w:tcPr>
            <w:tcW w:w="288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7E6EB7B7"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Information technology infrastructure; </w:t>
            </w:r>
          </w:p>
        </w:tc>
        <w:tc>
          <w:tcPr>
            <w:tcW w:w="280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788AE668"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MSc/PhD/Computer Science/Engineering</w:t>
            </w:r>
          </w:p>
        </w:tc>
        <w:tc>
          <w:tcPr>
            <w:tcW w:w="224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03B61899"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Skill Variety High; Tech stack Autonomy</w:t>
            </w:r>
          </w:p>
        </w:tc>
      </w:tr>
      <w:tr w:rsidRPr="000869CA" w:rsidR="00E9124D" w14:paraId="427217B1" w14:textId="77777777">
        <w:tc>
          <w:tcPr>
            <w:tcW w:w="144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039FDA3A"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CIO*</w:t>
            </w:r>
          </w:p>
        </w:tc>
        <w:tc>
          <w:tcPr>
            <w:tcW w:w="288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26839ABE"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Become an innovation powerhouse; champion intrapreneurship program</w:t>
            </w:r>
          </w:p>
        </w:tc>
        <w:tc>
          <w:tcPr>
            <w:tcW w:w="280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21D4434B"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MSc Innovation/Business; 10+ yrs; design thinking</w:t>
            </w:r>
          </w:p>
        </w:tc>
        <w:tc>
          <w:tcPr>
            <w:tcW w:w="224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672646AC"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Significance of the task is high </w:t>
            </w:r>
          </w:p>
        </w:tc>
      </w:tr>
      <w:tr w:rsidRPr="000869CA" w:rsidR="00E9124D" w14:paraId="4CD0D726" w14:textId="77777777">
        <w:tc>
          <w:tcPr>
            <w:tcW w:w="144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2E03A7A9"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HR Director</w:t>
            </w:r>
          </w:p>
        </w:tc>
        <w:tc>
          <w:tcPr>
            <w:tcW w:w="288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5D43C760"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HR strategy development and implementation</w:t>
            </w:r>
          </w:p>
        </w:tc>
        <w:tc>
          <w:tcPr>
            <w:tcW w:w="280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0C448492"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Level 7/ New Stage (MA) HRM; 10 or more years; evidence-based HR</w:t>
            </w:r>
          </w:p>
        </w:tc>
        <w:tc>
          <w:tcPr>
            <w:tcW w:w="224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3B9E8E96"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Skill Variability (strategic + operational)</w:t>
            </w:r>
          </w:p>
        </w:tc>
      </w:tr>
      <w:tr w:rsidRPr="000869CA" w:rsidR="00E9124D" w14:paraId="5ED0E1F1" w14:textId="77777777">
        <w:tc>
          <w:tcPr>
            <w:tcW w:w="144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02DAB1AA"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Head of R&amp;D</w:t>
            </w:r>
          </w:p>
        </w:tc>
        <w:tc>
          <w:tcPr>
            <w:tcW w:w="288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1ADE669B"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Develop Lead product; have R &amp; D pipelines; </w:t>
            </w:r>
          </w:p>
        </w:tc>
        <w:tc>
          <w:tcPr>
            <w:tcW w:w="280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6113035A"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PhD in relevant discipline; 10+ yrs applied researc</w:t>
            </w:r>
          </w:p>
        </w:tc>
        <w:tc>
          <w:tcPr>
            <w:tcW w:w="224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317489A2"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High dealing with Skill Variety and Autonomy</w:t>
            </w:r>
          </w:p>
        </w:tc>
      </w:tr>
    </w:tbl>
    <w:p w:rsidRPr="00231098" w:rsidR="00231098" w:rsidP="005B2598" w:rsidRDefault="00231098" w14:paraId="428A351D" w14:textId="08B0DC2C">
      <w:pPr>
        <w:spacing w:before="80" w:after="80" w:line="360" w:lineRule="auto"/>
        <w:jc w:val="center"/>
        <w:rPr>
          <w:rFonts w:ascii="Times New Roman" w:hAnsi="Times New Roman" w:eastAsia="Times New Roman" w:cs="Times New Roman"/>
          <w:b/>
          <w:bCs/>
        </w:rPr>
      </w:pPr>
      <w:r w:rsidRPr="00231098">
        <w:rPr>
          <w:rFonts w:ascii="Times New Roman" w:hAnsi="Times New Roman" w:eastAsia="Times New Roman" w:cs="Times New Roman"/>
          <w:b/>
          <w:bCs/>
        </w:rPr>
        <w:t xml:space="preserve">(Source: </w:t>
      </w:r>
      <w:r w:rsidRPr="00231098" w:rsidR="00A71DB2">
        <w:rPr>
          <w:rFonts w:ascii="Times New Roman" w:hAnsi="Times New Roman" w:eastAsia="Times New Roman" w:cs="Times New Roman"/>
          <w:b/>
          <w:bCs/>
        </w:rPr>
        <w:t>self-created</w:t>
      </w:r>
      <w:r w:rsidRPr="00231098">
        <w:rPr>
          <w:rFonts w:ascii="Times New Roman" w:hAnsi="Times New Roman" w:eastAsia="Times New Roman" w:cs="Times New Roman"/>
          <w:b/>
          <w:bCs/>
        </w:rPr>
        <w:t>)</w:t>
      </w:r>
    </w:p>
    <w:p w:rsidRPr="000869CA" w:rsidR="00E9124D" w:rsidP="005B2598" w:rsidRDefault="00000000" w14:paraId="0E78CF71" w14:textId="6A365C92">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The job of the CIO will focus on the importance of the tasks by making direct contributions to the innovation recovery at Aether Innovations (Humaans, 2025). This is achievable by balancing out the disengagement in each role that leads to Aether Innovations having a turnover rate, which is estimated to range between 50% and 200% of the yearly salary of the leaving employee (Culture Amp, 2024).</w:t>
      </w:r>
    </w:p>
    <w:p w:rsidRPr="000869CA" w:rsidR="00E9124D" w:rsidP="005B2598" w:rsidRDefault="00000000" w14:paraId="4BBAE350" w14:textId="77777777">
      <w:pPr>
        <w:pStyle w:val="Heading2"/>
        <w:spacing w:line="360" w:lineRule="auto"/>
        <w:jc w:val="both"/>
        <w:rPr>
          <w:rFonts w:ascii="Times New Roman" w:hAnsi="Times New Roman" w:eastAsia="Times New Roman" w:cs="Times New Roman"/>
          <w:color w:val="000000"/>
        </w:rPr>
      </w:pPr>
      <w:bookmarkStart w:name="_Toc224898870" w:id="5"/>
      <w:r w:rsidRPr="000869CA">
        <w:rPr>
          <w:rFonts w:ascii="Times New Roman" w:hAnsi="Times New Roman" w:eastAsia="Times New Roman" w:cs="Times New Roman"/>
          <w:color w:val="000000"/>
        </w:rPr>
        <w:t>4. Connecting Performance Appraisal and Job Design: A Performance-Driven Culture</w:t>
      </w:r>
      <w:bookmarkEnd w:id="5"/>
    </w:p>
    <w:p w:rsidRPr="000869CA" w:rsidR="00E9124D" w:rsidP="005B2598" w:rsidRDefault="00000000" w14:paraId="5BAF55EB"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The combination of the OKR-360 appraisal system and the roles which are being redesigned by the JCM is not only additive but also synergistic. Job design is used to define what people do and how significant they feel about their work, performance appraisal is used to define how their input is clearly identified, evolved and strategically guided. </w:t>
      </w:r>
    </w:p>
    <w:p w:rsidRPr="000869CA" w:rsidR="00E9124D" w:rsidP="005B2598" w:rsidRDefault="00000000" w14:paraId="707FFAC0" w14:textId="77777777">
      <w:pPr>
        <w:spacing w:before="60" w:after="120" w:line="360" w:lineRule="auto"/>
        <w:jc w:val="both"/>
        <w:rPr>
          <w:rFonts w:ascii="Times New Roman" w:hAnsi="Times New Roman" w:eastAsia="Times New Roman" w:cs="Times New Roman"/>
        </w:rPr>
      </w:pPr>
      <w:r w:rsidRPr="000869CA">
        <w:rPr>
          <w:rFonts w:ascii="Times New Roman" w:hAnsi="Times New Roman" w:eastAsia="Times New Roman" w:cs="Times New Roman"/>
          <w:b/>
          <w:bCs/>
          <w:i/>
          <w:iCs/>
        </w:rPr>
        <w:t>Table 2: Integration Framework – JCM Job Design Dimensions Mapped to OKR-360 Performance Cycle</w:t>
      </w:r>
    </w:p>
    <w:tbl>
      <w:tblPr>
        <w:tblStyle w:val="a0"/>
        <w:tblW w:w="83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800"/>
        <w:gridCol w:w="3600"/>
        <w:gridCol w:w="2960"/>
      </w:tblGrid>
      <w:tr w:rsidRPr="000869CA" w:rsidR="00E9124D" w14:paraId="589F8ECB" w14:textId="77777777">
        <w:trPr>
          <w:tblHeader/>
        </w:trPr>
        <w:tc>
          <w:tcPr>
            <w:tcW w:w="1800" w:type="dxa"/>
            <w:tcBorders>
              <w:top w:val="single" w:color="1F4E79" w:sz="4" w:space="0"/>
              <w:left w:val="single" w:color="1F4E79" w:sz="4" w:space="0"/>
              <w:bottom w:val="single" w:color="1F4E79" w:sz="4" w:space="0"/>
              <w:right w:val="single" w:color="1F4E79" w:sz="4" w:space="0"/>
            </w:tcBorders>
            <w:shd w:val="clear" w:color="auto" w:fill="1F4E79"/>
            <w:tcMar>
              <w:top w:w="80" w:type="dxa"/>
              <w:left w:w="120" w:type="dxa"/>
              <w:bottom w:w="80" w:type="dxa"/>
              <w:right w:w="120" w:type="dxa"/>
            </w:tcMar>
            <w:vAlign w:val="center"/>
          </w:tcPr>
          <w:p w:rsidRPr="000869CA" w:rsidR="00E9124D" w:rsidP="005B2598" w:rsidRDefault="00000000" w14:paraId="78C3848B"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b/>
                <w:bCs/>
              </w:rPr>
              <w:t>JCM Dimension</w:t>
            </w:r>
          </w:p>
        </w:tc>
        <w:tc>
          <w:tcPr>
            <w:tcW w:w="3600" w:type="dxa"/>
            <w:tcBorders>
              <w:top w:val="single" w:color="1F4E79" w:sz="4" w:space="0"/>
              <w:left w:val="single" w:color="1F4E79" w:sz="4" w:space="0"/>
              <w:bottom w:val="single" w:color="1F4E79" w:sz="4" w:space="0"/>
              <w:right w:val="single" w:color="1F4E79" w:sz="4" w:space="0"/>
            </w:tcBorders>
            <w:shd w:val="clear" w:color="auto" w:fill="1F4E79"/>
            <w:tcMar>
              <w:top w:w="80" w:type="dxa"/>
              <w:left w:w="120" w:type="dxa"/>
              <w:bottom w:w="80" w:type="dxa"/>
              <w:right w:w="120" w:type="dxa"/>
            </w:tcMar>
            <w:vAlign w:val="center"/>
          </w:tcPr>
          <w:p w:rsidRPr="000869CA" w:rsidR="00E9124D" w:rsidP="005B2598" w:rsidRDefault="00000000" w14:paraId="7FC0BECE"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b/>
                <w:bCs/>
              </w:rPr>
              <w:t>Integration Point in OKR-360 System</w:t>
            </w:r>
          </w:p>
        </w:tc>
        <w:tc>
          <w:tcPr>
            <w:tcW w:w="2960" w:type="dxa"/>
            <w:tcBorders>
              <w:top w:val="single" w:color="1F4E79" w:sz="4" w:space="0"/>
              <w:left w:val="single" w:color="1F4E79" w:sz="4" w:space="0"/>
              <w:bottom w:val="single" w:color="1F4E79" w:sz="4" w:space="0"/>
              <w:right w:val="single" w:color="1F4E79" w:sz="4" w:space="0"/>
            </w:tcBorders>
            <w:shd w:val="clear" w:color="auto" w:fill="1F4E79"/>
            <w:tcMar>
              <w:top w:w="80" w:type="dxa"/>
              <w:left w:w="120" w:type="dxa"/>
              <w:bottom w:w="80" w:type="dxa"/>
              <w:right w:w="120" w:type="dxa"/>
            </w:tcMar>
            <w:vAlign w:val="center"/>
          </w:tcPr>
          <w:p w:rsidRPr="000869CA" w:rsidR="00E9124D" w:rsidP="005B2598" w:rsidRDefault="00000000" w14:paraId="2064DDD9"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b/>
                <w:bCs/>
              </w:rPr>
              <w:t>Expected Outcome at Aether Innovations</w:t>
            </w:r>
          </w:p>
        </w:tc>
      </w:tr>
      <w:tr w:rsidRPr="000869CA" w:rsidR="00E9124D" w14:paraId="0A0DF77D" w14:textId="77777777">
        <w:tc>
          <w:tcPr>
            <w:tcW w:w="180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7C35EE17"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Skill Variety</w:t>
            </w:r>
          </w:p>
        </w:tc>
        <w:tc>
          <w:tcPr>
            <w:tcW w:w="360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3BFBDB39"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OKRs that involve interfunctional outputs (e.g., working together with the CTO and the Head of the R&amp;D)</w:t>
            </w:r>
          </w:p>
        </w:tc>
        <w:tc>
          <w:tcPr>
            <w:tcW w:w="296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4815DEB7"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Less monotony in the roles; increased involvement by 40 per cent (Pop.work, 2023)</w:t>
            </w:r>
          </w:p>
        </w:tc>
      </w:tr>
      <w:tr w:rsidRPr="000869CA" w:rsidR="00E9124D" w14:paraId="2EA495A0" w14:textId="77777777">
        <w:tc>
          <w:tcPr>
            <w:tcW w:w="180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54DC2431"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Task Identity</w:t>
            </w:r>
          </w:p>
        </w:tc>
        <w:tc>
          <w:tcPr>
            <w:tcW w:w="360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1C6544F8" w14:textId="77777777">
            <w:pPr>
              <w:spacing w:line="360" w:lineRule="auto"/>
              <w:jc w:val="both"/>
              <w:rPr>
                <w:rFonts w:ascii="Times New Roman" w:hAnsi="Times New Roman" w:eastAsia="Times New Roman" w:cs="Times New Roman"/>
              </w:rPr>
            </w:pPr>
            <w:sdt>
              <w:sdtPr>
                <w:rPr>
                  <w:rFonts w:ascii="Times New Roman" w:hAnsi="Times New Roman" w:cs="Times New Roman"/>
                </w:rPr>
                <w:tag w:val="goog_rdk_0"/>
                <w:id w:val="-1442288718"/>
              </w:sdtPr>
              <w:sdtContent>
                <w:r w:rsidRPr="000869CA">
                  <w:rPr>
                    <w:rFonts w:ascii="Times New Roman" w:hAnsi="Times New Roman" w:eastAsia="Cardo" w:cs="Times New Roman"/>
                  </w:rPr>
                  <w:t>Full-cycle ownership (start→ measurable outcome) is determined by the OKR key results.</w:t>
                </w:r>
              </w:sdtContent>
            </w:sdt>
          </w:p>
        </w:tc>
        <w:tc>
          <w:tcPr>
            <w:tcW w:w="296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74139769"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Better transparency; the turnovering can be reduced by 31 percent (Smith, 2025).</w:t>
            </w:r>
          </w:p>
        </w:tc>
      </w:tr>
      <w:tr w:rsidRPr="000869CA" w:rsidR="00E9124D" w14:paraId="44CB139D" w14:textId="77777777">
        <w:tc>
          <w:tcPr>
            <w:tcW w:w="180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7B0CE5FA"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Task Significance</w:t>
            </w:r>
          </w:p>
        </w:tc>
        <w:tc>
          <w:tcPr>
            <w:tcW w:w="360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38DF9345"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360-feedback is a clear statement of stakeholder impact of roles.</w:t>
            </w:r>
          </w:p>
        </w:tc>
        <w:tc>
          <w:tcPr>
            <w:tcW w:w="296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742183D2"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Increased sense of purpose; increased score of customer satisfaction.</w:t>
            </w:r>
          </w:p>
        </w:tc>
      </w:tr>
      <w:tr w:rsidRPr="000869CA" w:rsidR="00E9124D" w14:paraId="6F3E8C56" w14:textId="77777777">
        <w:tc>
          <w:tcPr>
            <w:tcW w:w="180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3DBC3F7C"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Autonomy</w:t>
            </w:r>
          </w:p>
        </w:tc>
        <w:tc>
          <w:tcPr>
            <w:tcW w:w="360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79DC3C87"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Self-setting process of quarterly OKR; key results are self-defined by the employees.</w:t>
            </w:r>
          </w:p>
        </w:tc>
        <w:tc>
          <w:tcPr>
            <w:tcW w:w="2960" w:type="dxa"/>
            <w:tcBorders>
              <w:top w:val="single" w:color="CCCCCC" w:sz="4" w:space="0"/>
              <w:left w:val="single" w:color="CCCCCC" w:sz="4" w:space="0"/>
              <w:bottom w:val="single" w:color="CCCCCC" w:sz="4" w:space="0"/>
              <w:right w:val="single" w:color="CCCCCC" w:sz="4" w:space="0"/>
            </w:tcBorders>
            <w:shd w:val="clear" w:color="auto" w:fill="FFFFFF"/>
            <w:tcMar>
              <w:top w:w="60" w:type="dxa"/>
              <w:left w:w="120" w:type="dxa"/>
              <w:bottom w:w="60" w:type="dxa"/>
              <w:right w:w="120" w:type="dxa"/>
            </w:tcMar>
          </w:tcPr>
          <w:p w:rsidRPr="000869CA" w:rsidR="00E9124D" w:rsidP="005B2598" w:rsidRDefault="00000000" w14:paraId="110B07FF"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Uplift;29% step up on performance (Psicosmart, 2024)</w:t>
            </w:r>
          </w:p>
        </w:tc>
      </w:tr>
      <w:tr w:rsidRPr="000869CA" w:rsidR="00E9124D" w14:paraId="045562C4" w14:textId="77777777">
        <w:tc>
          <w:tcPr>
            <w:tcW w:w="180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4D9AC31E"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Feedback</w:t>
            </w:r>
          </w:p>
        </w:tc>
        <w:tc>
          <w:tcPr>
            <w:tcW w:w="360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453C23C0"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Weekly check-ins, bi-annual 360, based on AI powered performance dashboards.</w:t>
            </w:r>
          </w:p>
        </w:tc>
        <w:tc>
          <w:tcPr>
            <w:tcW w:w="2960" w:type="dxa"/>
            <w:tcBorders>
              <w:top w:val="single" w:color="CCCCCC" w:sz="4" w:space="0"/>
              <w:left w:val="single" w:color="CCCCCC" w:sz="4" w:space="0"/>
              <w:bottom w:val="single" w:color="CCCCCC" w:sz="4" w:space="0"/>
              <w:right w:val="single" w:color="CCCCCC" w:sz="4" w:space="0"/>
            </w:tcBorders>
            <w:shd w:val="clear" w:color="auto" w:fill="EBF3FB"/>
            <w:tcMar>
              <w:top w:w="60" w:type="dxa"/>
              <w:left w:w="120" w:type="dxa"/>
              <w:bottom w:w="60" w:type="dxa"/>
              <w:right w:w="120" w:type="dxa"/>
            </w:tcMar>
          </w:tcPr>
          <w:p w:rsidRPr="000869CA" w:rsidR="00E9124D" w:rsidP="005B2598" w:rsidRDefault="00000000" w14:paraId="2F344C07" w14:textId="77777777">
            <w:pPr>
              <w:spacing w:line="360" w:lineRule="auto"/>
              <w:jc w:val="both"/>
              <w:rPr>
                <w:rFonts w:ascii="Times New Roman" w:hAnsi="Times New Roman" w:eastAsia="Times New Roman" w:cs="Times New Roman"/>
              </w:rPr>
            </w:pPr>
            <w:r w:rsidRPr="000869CA">
              <w:rPr>
                <w:rFonts w:ascii="Times New Roman" w:hAnsi="Times New Roman" w:eastAsia="Times New Roman" w:cs="Times New Roman"/>
              </w:rPr>
              <w:t>85% engagement improvement (Smith, 2025); real-time learning</w:t>
            </w:r>
          </w:p>
        </w:tc>
      </w:tr>
    </w:tbl>
    <w:p w:rsidRPr="00231098" w:rsidR="00E9124D" w:rsidP="005B2598" w:rsidRDefault="00231098" w14:paraId="5ABAB1D9" w14:textId="1C75034D">
      <w:pPr>
        <w:spacing w:before="80" w:after="80" w:line="360" w:lineRule="auto"/>
        <w:jc w:val="center"/>
        <w:rPr>
          <w:rFonts w:ascii="Times New Roman" w:hAnsi="Times New Roman" w:eastAsia="Times New Roman" w:cs="Times New Roman"/>
          <w:b/>
          <w:bCs/>
        </w:rPr>
      </w:pPr>
      <w:r w:rsidRPr="00231098">
        <w:rPr>
          <w:rFonts w:ascii="Times New Roman" w:hAnsi="Times New Roman" w:eastAsia="Times New Roman" w:cs="Times New Roman"/>
          <w:b/>
          <w:bCs/>
        </w:rPr>
        <w:t xml:space="preserve">(Source: </w:t>
      </w:r>
      <w:r w:rsidRPr="00231098" w:rsidR="00A71DB2">
        <w:rPr>
          <w:rFonts w:ascii="Times New Roman" w:hAnsi="Times New Roman" w:eastAsia="Times New Roman" w:cs="Times New Roman"/>
          <w:b/>
          <w:bCs/>
        </w:rPr>
        <w:t>self-created</w:t>
      </w:r>
      <w:r w:rsidRPr="00231098">
        <w:rPr>
          <w:rFonts w:ascii="Times New Roman" w:hAnsi="Times New Roman" w:eastAsia="Times New Roman" w:cs="Times New Roman"/>
          <w:b/>
          <w:bCs/>
        </w:rPr>
        <w:t>)</w:t>
      </w:r>
    </w:p>
    <w:p w:rsidRPr="000869CA" w:rsidR="00E9124D" w:rsidP="005B2598" w:rsidRDefault="00000000" w14:paraId="4745B7F6"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More importantly, it is important not to undervalue the cultural aspect of this integration. According to a 2024 report by Gallop, unhealthy workplace culture and engagement are found to contribute 37% of employee turnover, much higher than pay and benefits (11), which is among the reasons for turnover (Gallup, 2024). The findings presented in a study by Mooncamp (2022) justify the fact that most thriving organisations that adopt OKRs have 28% more intense communication, consisting of the frequency of check-in and the amount of feedback.</w:t>
      </w:r>
    </w:p>
    <w:p w:rsidRPr="000869CA" w:rsidR="00E9124D" w:rsidP="005B2598" w:rsidRDefault="00000000" w14:paraId="58AF21F2"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This cultural change is based on continuous feedback processes rather than episodic appraisals. Firms that use continuous feedback see their employee engagement rate increase by 40 percent and overall company performance increase by 26 percent than companies that use periodic reviews (Pop.work, 2023). </w:t>
      </w:r>
    </w:p>
    <w:p w:rsidRPr="000869CA" w:rsidR="00E9124D" w:rsidP="005B2598" w:rsidRDefault="00000000" w14:paraId="51B628FD"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Moreover, the skills-based design, when positions are created based on groups of competencies instead of occupation heights, makes sure that the Aether Innovations will find it easy to react agility to technological changes. According to the 2023 Work in America Survey conducted by the APA, 91% of all employees identify work in companies that provide advancement and learning as being somewhat or very important (APA, 2023). </w:t>
      </w:r>
    </w:p>
    <w:p w:rsidRPr="000869CA" w:rsidR="00E9124D" w:rsidP="005B2598" w:rsidRDefault="00000000" w14:paraId="544F5736"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The evidence-based and aspirational OKR goal of the HR Director to decrease staff turnover by 15 percent in two cycles is realistic. According to Mercer (2024) statistics, there is a turnover of 8.2% in the tech sector of the United States, and 25% of companies reported having turnover rates of nearly 12%. Extensive retention practises - based on the performance culture and role enrichment - are linked to 87 percentage points retention rates and reduced recruitment costs by 67 percent (Alias et al., 2024). </w:t>
      </w:r>
    </w:p>
    <w:p w:rsidRPr="000869CA" w:rsidR="00E9124D" w:rsidP="005B2598" w:rsidRDefault="00000000" w14:paraId="02D1A2A4"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To sum up, the solution provided by Option 1 gives Aether Innovations a consistent theoretically-based approach. The OKR-360 performance management system brings with it transparency, agility and rigour in development. The six major roles reformulated by JCM using their new job description profiles enhance motivation with systematic enrichment.</w:t>
      </w:r>
    </w:p>
    <w:p w:rsidRPr="000869CA" w:rsidR="00E9124D" w:rsidP="005B2598" w:rsidRDefault="00000000" w14:paraId="3F590FE5"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Collectively, such systems bring a performance based culture whereby strategic objectives are cascaded successfully, personal effort is fully valued and the organisation attains the human capital capacity to regain innovation and minimise turnover as well as reestablish customer satisfaction.</w:t>
      </w:r>
    </w:p>
    <w:p w:rsidRPr="000869CA" w:rsidR="00E9124D" w:rsidP="005B2598" w:rsidRDefault="00000000" w14:paraId="56C3A560" w14:textId="77777777">
      <w:pPr>
        <w:pStyle w:val="Heading1"/>
        <w:spacing w:before="80" w:after="80"/>
      </w:pPr>
      <w:bookmarkStart w:name="_heading=h.m2g3i89hxbj5" w:colFirst="0" w:colLast="0" w:id="6"/>
      <w:bookmarkStart w:name="_Toc224898871" w:id="7"/>
      <w:bookmarkEnd w:id="6"/>
      <w:r w:rsidRPr="000869CA">
        <w:t>PART 2 – REFLECTIVE PRACTICE</w:t>
      </w:r>
      <w:bookmarkEnd w:id="7"/>
    </w:p>
    <w:p w:rsidRPr="000869CA" w:rsidR="00E9124D" w:rsidP="005B2598" w:rsidRDefault="00000000" w14:paraId="2AAC34E9" w14:textId="77777777">
      <w:pPr>
        <w:pStyle w:val="Heading2"/>
        <w:spacing w:line="360" w:lineRule="auto"/>
        <w:jc w:val="both"/>
        <w:rPr>
          <w:rFonts w:ascii="Times New Roman" w:hAnsi="Times New Roman" w:eastAsia="Times New Roman" w:cs="Times New Roman"/>
          <w:color w:val="000000"/>
        </w:rPr>
      </w:pPr>
      <w:bookmarkStart w:name="_Toc224898872" w:id="8"/>
      <w:r w:rsidRPr="000869CA">
        <w:rPr>
          <w:rFonts w:ascii="Times New Roman" w:hAnsi="Times New Roman" w:eastAsia="Times New Roman" w:cs="Times New Roman"/>
          <w:color w:val="000000"/>
        </w:rPr>
        <w:t>5. Learning Journey Reflection: Applying Gibbs' Reflective Cycle</w:t>
      </w:r>
      <w:bookmarkEnd w:id="8"/>
    </w:p>
    <w:p w:rsidRPr="000869CA" w:rsidR="00E9124D" w:rsidP="005B2598" w:rsidRDefault="00000000" w14:paraId="2B768ABD"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The reflection below utilises the Reflective Cycle of Gibbs (1988) the model is based on six stages: description, feelings, evaluation, analysis, conclusions, and action planning to critically analyse the learning experience in the Human Capital Management module and its consequences on personal and professional growth.</w:t>
      </w:r>
    </w:p>
    <w:p w:rsidRPr="000869CA" w:rsidR="00E9124D" w:rsidP="005B2598" w:rsidRDefault="00000000" w14:paraId="7DB5420F"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Description. The module presented a plethora of theories and frameworks of HRM, including the performance management system, job design models, talent ecosystems, and people analytics. The recourse to Hackman and Oldham (1976) JCM, Doerr (2018) OKR model, and recent studies in the HRM area allowed developing critical and evidence-based views on people strategy. This report on re-engineering performance and job design of a hypothetical technology company allowed the usefulness of these theoretical tools to be put into practise.</w:t>
      </w:r>
    </w:p>
    <w:p w:rsidRPr="000869CA" w:rsidR="00E9124D" w:rsidP="005B2598" w:rsidRDefault="00000000" w14:paraId="2DB42BA4"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Feelings. The learning experience was cerebral and also defied preconceptions regarding performance management. On the one hand, when it came to performance improvement, it was assumed that the best intervention would be structural ones, namely, improved systems and clearer KPIs. Interventions with Gallup (2024) and Smith (2025) data revealed that the culture, engagement, and psychological safety were the highest considerations compared to the use of solely mechanical performance tools. T</w:t>
      </w:r>
    </w:p>
    <w:p w:rsidRPr="000869CA" w:rsidR="00E9124D" w:rsidP="005B2598" w:rsidRDefault="00000000" w14:paraId="73FB0585"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Evaluation: The module came in handy to develop systematic HRM knowledge. Nevertheless, such extensive and cumbersome accumulation of theories first imparted analytical discontinuity as the challenge in integrating Herzberg (1966) motivation-hygiene theory with the dynamics of OKR though very difficult in application - or in efforts to reconcile the principles of autonomy as manufactured by Hackman and Oldham (1976) with the realities of organisational stratification. </w:t>
      </w:r>
    </w:p>
    <w:p w:rsidRPr="000869CA" w:rsidR="00E9124D" w:rsidP="005B2598" w:rsidRDefault="00000000" w14:paraId="000FC272"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Analysis: The module has brought about the idea that Learning and Development (L&amp;D) should be an ongoing and dynamic concept that is placed against a certain setting. The APA (2023) statistics that 91% of employees value growth opportunity personally: the desire to become a student of this MBA is an act of self-development growth per se - which agrees with the definition that Hackman and Oldham (1976) attribute to high growth need strength. </w:t>
      </w:r>
    </w:p>
    <w:p w:rsidRPr="000869CA" w:rsidR="00E9124D" w:rsidP="005B2598" w:rsidRDefault="00000000" w14:paraId="77A33E17"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With Dweck (2006) definition of culture of innovation and growth mindset, the practitioner must perceive the challenge, continue persevering after failure and accept constructive feedback as educational information but not as appraisal. In personal L&amp;D, it means dedicating one to self-guided learning in the domains of the recent relevance of HRM: people analytics, AI-enhanced HR solutions, and cross-cultural HRM within globalised technological contexts.</w:t>
      </w:r>
    </w:p>
    <w:p w:rsidRPr="000869CA" w:rsidR="00E9124D" w:rsidP="005B2598" w:rsidRDefault="00000000" w14:paraId="4C91FEC7"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Action Planning: n order to nurture the culture of innovation and growth thinking in a tangible way, three personal development goals are identified: (1) Achieve CIPD Level 7 accreditation within the upcoming 18 months to enhance professional qualification in the area of HRM; (2) Read peer-reviewed journals on HRM (e.g., Human Resource Management Journal, Journal of Applied Psychology) every 3 months to keep their knowledge up to date; and (3) Train into HR analytics solutions (Workday or SAP SuccessFactors) in an attempt These undertakings are copies of the competency-based, lifelong learning structure entrenched in the role description that will be put forward to the HR Director of Aether Innovations - a deliberate adaptation between the prescriptive and the reflexive.</w:t>
      </w:r>
    </w:p>
    <w:p w:rsidRPr="000869CA" w:rsidR="00E9124D" w:rsidP="005B2598" w:rsidRDefault="00000000" w14:paraId="17E7FAAD" w14:textId="77777777">
      <w:pPr>
        <w:pStyle w:val="Heading2"/>
        <w:spacing w:line="360" w:lineRule="auto"/>
        <w:jc w:val="both"/>
        <w:rPr>
          <w:rFonts w:ascii="Times New Roman" w:hAnsi="Times New Roman" w:eastAsia="Times New Roman" w:cs="Times New Roman"/>
          <w:color w:val="000000"/>
        </w:rPr>
      </w:pPr>
      <w:bookmarkStart w:name="_Toc224898873" w:id="9"/>
      <w:r w:rsidRPr="000869CA">
        <w:rPr>
          <w:rFonts w:ascii="Times New Roman" w:hAnsi="Times New Roman" w:eastAsia="Times New Roman" w:cs="Times New Roman"/>
          <w:color w:val="000000"/>
        </w:rPr>
        <w:t>6. Relevance in the Age of AI: Human Distinctiveness and Augmentation</w:t>
      </w:r>
      <w:bookmarkEnd w:id="9"/>
    </w:p>
    <w:p w:rsidRPr="000869CA" w:rsidR="00E9124D" w:rsidP="005B2598" w:rsidRDefault="00000000" w14:paraId="39888548"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AI is changing the environment of the workplace in the professional field more rapidly than ever before. According to Lund et al., (2021), 30% of the world working hours might be roboticized by 2030, knowledge-intensive industries, in particular, the HR, will be impacted. To HRM professionals, AI poses a threat of displacement and an opportunity of augmentation. It does not matter whether AI will revolutionise HR, but how professionals can make sure they are not a burden.</w:t>
      </w:r>
    </w:p>
    <w:p w:rsidRPr="000869CA" w:rsidR="00E9124D" w:rsidP="005B2598" w:rsidRDefault="00000000" w14:paraId="456DEB1B"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Pattern recognition domain AI metrics AIs are very good at such pattern-recognition tasks: screening resumes, predicting risk of attrition, generating performance dashboards, and automating payroll analytics. These are tasks, which AI executes quicker and using larger pitfalls and consistency than any single professional. In this regard, it is tactical naivety trying to compete with AI in the routine data-processing activities. Value on the part of the practitioner needs to be redefined to areas that AI would be unable to decisively serve.</w:t>
      </w:r>
    </w:p>
    <w:p w:rsidRPr="000869CA" w:rsidR="00E9124D" w:rsidP="005B2598" w:rsidRDefault="00000000" w14:paraId="24E13D62"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The intelligence that is unique to humans is in relational intelligence, ethical judgement, and contextual empathy, as well as, creative strategy. Creating the culture of OKR at Aether Innovations that would actually transform human behaviour cannot be achieved through the algorithmic intervention only; this would involve the presence of leaders, confidence building, convincing messages, and demeanour to the organisational politics. Likewise, the 360-degree feedback dialogues that apply development-wise must be humanised: the ability to read the emotional signals that are ambiguous, the capacity to cope with the interpersonal relationships, and inspire people in the time of their own weaknesses.</w:t>
      </w:r>
    </w:p>
    <w:p w:rsidR="00E9124D" w:rsidP="005B2598" w:rsidRDefault="00000000" w14:paraId="6FFC9285" w14:textId="77777777">
      <w:pPr>
        <w:spacing w:before="80" w:after="80" w:line="360" w:lineRule="auto"/>
        <w:jc w:val="both"/>
        <w:rPr>
          <w:rFonts w:ascii="Times New Roman" w:hAnsi="Times New Roman" w:eastAsia="Times New Roman" w:cs="Times New Roman"/>
        </w:rPr>
      </w:pPr>
      <w:r w:rsidRPr="000869CA">
        <w:rPr>
          <w:rFonts w:ascii="Times New Roman" w:hAnsi="Times New Roman" w:eastAsia="Times New Roman" w:cs="Times New Roman"/>
        </w:rPr>
        <w:t>The above-described professional development plan includes CIPD accreditation, evidence-based research literacy, and HR analytics proficiency; therefore, this plan will qualify the practitioner as a force-multiplying component instead of a replacement of AI. This process of coming to master AI-enhanced HR devices ensures that the practitioner is able to critically apply AI results, place algorithmic suggestions in human and organisational contexts, and make strategic decisions beyond those AI can generate. It is also proved by the fact that organisations that apply AI technology in performance management are twice as likely to be better in this field (PeopleFluent, 2024) yet, human practitioners are those who will work the AI knowledge into the organisational culture change. In conclusion, to stay relevant in the future of AI enhancement, it is necessary to develop what is unfakeable by AI: wisdom, judgement and genuine human leadership.</w:t>
      </w:r>
    </w:p>
    <w:p w:rsidR="001B7C05" w:rsidP="005B2598" w:rsidRDefault="001B7C05" w14:paraId="2494B88D" w14:textId="0D9EC915">
      <w:pPr>
        <w:pStyle w:val="Heading1"/>
      </w:pPr>
      <w:bookmarkStart w:name="_Toc224898874" w:id="10"/>
      <w:r>
        <w:t>Conclusion</w:t>
      </w:r>
      <w:bookmarkEnd w:id="10"/>
      <w:r>
        <w:t xml:space="preserve"> </w:t>
      </w:r>
      <w:r w:rsidR="005B2598">
        <w:t xml:space="preserve"> </w:t>
      </w:r>
    </w:p>
    <w:p w:rsidRPr="001B7C05" w:rsidR="001B7C05" w:rsidP="005B2598" w:rsidRDefault="001B7C05" w14:paraId="477215D4" w14:textId="61D4B99D">
      <w:pPr>
        <w:spacing w:line="360" w:lineRule="auto"/>
        <w:jc w:val="both"/>
        <w:rPr>
          <w:rFonts w:ascii="Times New Roman" w:hAnsi="Times New Roman" w:cs="Times New Roman"/>
        </w:rPr>
      </w:pPr>
      <w:r w:rsidRPr="001B7C05">
        <w:rPr>
          <w:rFonts w:ascii="Times New Roman" w:hAnsi="Times New Roman" w:cs="Times New Roman"/>
        </w:rPr>
        <w:t>Finally, integrating performance appraisal systems with enhanced job design develops an organisation of performance-oriented culture. In the case of Aether Innovations, this strategy will have a viable avenue through which the company can cut down on its turnover and enhance its innovation capability and realisation of sustainable competitive advantage in the technological market.</w:t>
      </w:r>
    </w:p>
    <w:p w:rsidRPr="000869CA" w:rsidR="00E9124D" w:rsidP="005B2598" w:rsidRDefault="00000000" w14:paraId="478DE1D1" w14:textId="77777777">
      <w:pPr>
        <w:spacing w:line="360" w:lineRule="auto"/>
        <w:jc w:val="both"/>
        <w:rPr>
          <w:rFonts w:ascii="Times New Roman" w:hAnsi="Times New Roman" w:eastAsia="Times New Roman" w:cs="Times New Roman"/>
        </w:rPr>
      </w:pPr>
      <w:r w:rsidRPr="000869CA">
        <w:rPr>
          <w:rFonts w:ascii="Times New Roman" w:hAnsi="Times New Roman" w:cs="Times New Roman"/>
        </w:rPr>
        <w:br w:type="page"/>
      </w:r>
    </w:p>
    <w:p w:rsidRPr="000869CA" w:rsidR="00E9124D" w:rsidP="005B2598" w:rsidRDefault="00000000" w14:paraId="291CDF2D" w14:textId="38E19CFE">
      <w:pPr>
        <w:pStyle w:val="Heading1"/>
      </w:pPr>
      <w:bookmarkStart w:name="_Toc224898875" w:id="11"/>
      <w:r w:rsidRPr="000869CA">
        <w:t>REFERENCES</w:t>
      </w:r>
      <w:bookmarkEnd w:id="11"/>
      <w:r w:rsidR="001B7C05">
        <w:t xml:space="preserve"> </w:t>
      </w:r>
    </w:p>
    <w:p w:rsidRPr="000869CA" w:rsidR="000869CA" w:rsidP="005B2598" w:rsidRDefault="000869CA" w14:paraId="0DF298ED" w14:textId="77777777">
      <w:pPr>
        <w:spacing w:before="80" w:line="360" w:lineRule="auto"/>
        <w:jc w:val="both"/>
        <w:rPr>
          <w:rFonts w:ascii="Times New Roman" w:hAnsi="Times New Roman" w:eastAsia="Times New Roman" w:cs="Times New Roman"/>
          <w:color w:val="222222"/>
          <w:highlight w:val="white"/>
        </w:rPr>
      </w:pPr>
      <w:r w:rsidRPr="000869CA">
        <w:rPr>
          <w:rFonts w:ascii="Times New Roman" w:hAnsi="Times New Roman" w:eastAsia="Times New Roman" w:cs="Times New Roman"/>
          <w:color w:val="222222"/>
          <w:highlight w:val="white"/>
        </w:rPr>
        <w:t xml:space="preserve">Alias, N.E., Noor, N. and Hassan, R., 2014. Examining the mediating effect of employee engagement on the relationship between talent management practices and employee retention in the Information and Technology (IT) organizations in Malaysia. </w:t>
      </w:r>
      <w:r w:rsidRPr="000869CA">
        <w:rPr>
          <w:rFonts w:ascii="Times New Roman" w:hAnsi="Times New Roman" w:eastAsia="Times New Roman" w:cs="Times New Roman"/>
          <w:i/>
          <w:iCs/>
          <w:color w:val="222222"/>
          <w:highlight w:val="white"/>
        </w:rPr>
        <w:t>Journal of Human Resources Management and Labor Studies</w:t>
      </w:r>
      <w:r w:rsidRPr="000869CA">
        <w:rPr>
          <w:rFonts w:ascii="Times New Roman" w:hAnsi="Times New Roman" w:eastAsia="Times New Roman" w:cs="Times New Roman"/>
          <w:color w:val="222222"/>
          <w:highlight w:val="white"/>
        </w:rPr>
        <w:t xml:space="preserve">, </w:t>
      </w:r>
      <w:r w:rsidRPr="000869CA">
        <w:rPr>
          <w:rFonts w:ascii="Times New Roman" w:hAnsi="Times New Roman" w:eastAsia="Times New Roman" w:cs="Times New Roman"/>
          <w:i/>
          <w:iCs/>
          <w:color w:val="222222"/>
          <w:highlight w:val="white"/>
        </w:rPr>
        <w:t>2</w:t>
      </w:r>
      <w:r w:rsidRPr="000869CA">
        <w:rPr>
          <w:rFonts w:ascii="Times New Roman" w:hAnsi="Times New Roman" w:eastAsia="Times New Roman" w:cs="Times New Roman"/>
          <w:color w:val="222222"/>
          <w:highlight w:val="white"/>
        </w:rPr>
        <w:t>(2), pp.227-242.</w:t>
      </w:r>
      <w:hyperlink r:id="rId9">
        <w:r w:rsidRPr="000869CA">
          <w:rPr>
            <w:rFonts w:ascii="Times New Roman" w:hAnsi="Times New Roman" w:eastAsia="Times New Roman" w:cs="Times New Roman"/>
            <w:color w:val="1155CC"/>
            <w:highlight w:val="white"/>
            <w:u w:val="single"/>
          </w:rPr>
          <w:t>http://jhrmls.thebrpi.org/journals/jhrmls/Vol_2_No_2_June_2014/14.pdf</w:t>
        </w:r>
      </w:hyperlink>
    </w:p>
    <w:p w:rsidRPr="000869CA" w:rsidR="000869CA" w:rsidP="005B2598" w:rsidRDefault="000869CA" w14:paraId="2EE162D6"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American Psychological Association  (2023) </w:t>
      </w:r>
      <w:r w:rsidRPr="000869CA">
        <w:rPr>
          <w:rFonts w:ascii="Times New Roman" w:hAnsi="Times New Roman" w:eastAsia="Times New Roman" w:cs="Times New Roman"/>
          <w:i/>
          <w:iCs/>
        </w:rPr>
        <w:t>Work in AmericaTM Survey</w:t>
      </w:r>
      <w:r w:rsidRPr="000869CA">
        <w:rPr>
          <w:rFonts w:ascii="Times New Roman" w:hAnsi="Times New Roman" w:eastAsia="Times New Roman" w:cs="Times New Roman"/>
        </w:rPr>
        <w:t xml:space="preserve">. [online] https://www.apa.org. Available at: </w:t>
      </w:r>
      <w:hyperlink r:id="rId10">
        <w:r w:rsidRPr="000869CA">
          <w:rPr>
            <w:rFonts w:ascii="Times New Roman" w:hAnsi="Times New Roman" w:eastAsia="Times New Roman" w:cs="Times New Roman"/>
            <w:color w:val="1155CC"/>
            <w:u w:val="single"/>
          </w:rPr>
          <w:t>https://www.apa.org/pubs/reports/work-in-america/2023-workplace-health-well-being</w:t>
        </w:r>
      </w:hyperlink>
      <w:r w:rsidRPr="000869CA">
        <w:rPr>
          <w:rFonts w:ascii="Times New Roman" w:hAnsi="Times New Roman" w:eastAsia="Times New Roman" w:cs="Times New Roman"/>
        </w:rPr>
        <w:t xml:space="preserve"> [Accessed 20 Mar. 2026].</w:t>
      </w:r>
    </w:p>
    <w:p w:rsidRPr="000869CA" w:rsidR="000869CA" w:rsidP="005B2598" w:rsidRDefault="000869CA" w14:paraId="17998210"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Bureau of Labor Statistics (BLS) (2024) . </w:t>
      </w:r>
      <w:r w:rsidRPr="000869CA">
        <w:rPr>
          <w:rFonts w:ascii="Times New Roman" w:hAnsi="Times New Roman" w:eastAsia="Times New Roman" w:cs="Times New Roman"/>
          <w:i/>
          <w:iCs/>
        </w:rPr>
        <w:t>Employee Tenure Summary - 2023 A01 Results</w:t>
      </w:r>
      <w:r w:rsidRPr="000869CA">
        <w:rPr>
          <w:rFonts w:ascii="Times New Roman" w:hAnsi="Times New Roman" w:eastAsia="Times New Roman" w:cs="Times New Roman"/>
        </w:rPr>
        <w:t xml:space="preserve">. [online] Available at: </w:t>
      </w:r>
      <w:hyperlink r:id="rId11">
        <w:r w:rsidRPr="000869CA">
          <w:rPr>
            <w:rFonts w:ascii="Times New Roman" w:hAnsi="Times New Roman" w:eastAsia="Times New Roman" w:cs="Times New Roman"/>
            <w:color w:val="1155CC"/>
            <w:u w:val="single"/>
          </w:rPr>
          <w:t>https://www.bls.gov/news.release/tenure.nr0.htm</w:t>
        </w:r>
      </w:hyperlink>
      <w:r w:rsidRPr="000869CA">
        <w:rPr>
          <w:rFonts w:ascii="Times New Roman" w:hAnsi="Times New Roman" w:eastAsia="Times New Roman" w:cs="Times New Roman"/>
        </w:rPr>
        <w:t xml:space="preserve"> [Accessed 20 Mar. 2026].</w:t>
      </w:r>
    </w:p>
    <w:p w:rsidRPr="000869CA" w:rsidR="000869CA" w:rsidP="005B2598" w:rsidRDefault="000869CA" w14:paraId="771F5CE0"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Culture Amp (2024)</w:t>
      </w:r>
      <w:r w:rsidRPr="000869CA">
        <w:rPr>
          <w:rFonts w:ascii="Times New Roman" w:hAnsi="Times New Roman" w:eastAsia="Times New Roman" w:cs="Times New Roman"/>
          <w:i/>
          <w:iCs/>
        </w:rPr>
        <w:t>Understanding and calculating the cost of employee turnover | Culture Amp</w:t>
      </w:r>
      <w:r w:rsidRPr="000869CA">
        <w:rPr>
          <w:rFonts w:ascii="Times New Roman" w:hAnsi="Times New Roman" w:eastAsia="Times New Roman" w:cs="Times New Roman"/>
        </w:rPr>
        <w:t xml:space="preserve">. [online] Culture Amp. Available at: </w:t>
      </w:r>
      <w:hyperlink r:id="rId12">
        <w:r w:rsidRPr="000869CA">
          <w:rPr>
            <w:rFonts w:ascii="Times New Roman" w:hAnsi="Times New Roman" w:eastAsia="Times New Roman" w:cs="Times New Roman"/>
            <w:color w:val="1155CC"/>
            <w:u w:val="single"/>
          </w:rPr>
          <w:t>https://www.cultureamp.com/blog/cost-of-employee-turnover</w:t>
        </w:r>
      </w:hyperlink>
      <w:r w:rsidRPr="000869CA">
        <w:rPr>
          <w:rFonts w:ascii="Times New Roman" w:hAnsi="Times New Roman" w:eastAsia="Times New Roman" w:cs="Times New Roman"/>
        </w:rPr>
        <w:t xml:space="preserve">  [Accessed 20 Mar. 2026].</w:t>
      </w:r>
    </w:p>
    <w:p w:rsidRPr="000869CA" w:rsidR="000869CA" w:rsidP="005B2598" w:rsidRDefault="000869CA" w14:paraId="093AFF01"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Doerr, J. (2018) </w:t>
      </w:r>
      <w:r w:rsidRPr="000869CA">
        <w:rPr>
          <w:rFonts w:ascii="Times New Roman" w:hAnsi="Times New Roman" w:eastAsia="Times New Roman" w:cs="Times New Roman"/>
          <w:i/>
          <w:iCs/>
        </w:rPr>
        <w:t>The Book</w:t>
      </w:r>
      <w:r w:rsidRPr="000869CA">
        <w:rPr>
          <w:rFonts w:ascii="Times New Roman" w:hAnsi="Times New Roman" w:eastAsia="Times New Roman" w:cs="Times New Roman"/>
        </w:rPr>
        <w:t xml:space="preserve">. [online] Available at: </w:t>
      </w:r>
      <w:hyperlink r:id="rId13">
        <w:r w:rsidRPr="000869CA">
          <w:rPr>
            <w:rFonts w:ascii="Times New Roman" w:hAnsi="Times New Roman" w:eastAsia="Times New Roman" w:cs="Times New Roman"/>
            <w:color w:val="1155CC"/>
            <w:u w:val="single"/>
          </w:rPr>
          <w:t>https://www.whatmatters.com/the-book</w:t>
        </w:r>
      </w:hyperlink>
      <w:r w:rsidRPr="000869CA">
        <w:rPr>
          <w:rFonts w:ascii="Times New Roman" w:hAnsi="Times New Roman" w:eastAsia="Times New Roman" w:cs="Times New Roman"/>
        </w:rPr>
        <w:t xml:space="preserve"> [Accessed 20 Mar. 2026].</w:t>
      </w:r>
    </w:p>
    <w:p w:rsidRPr="000869CA" w:rsidR="000869CA" w:rsidP="005B2598" w:rsidRDefault="000869CA" w14:paraId="37558622"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Dweck, C.S. (2006) Mindset: The New Psychology of Success. New York: Random House.</w:t>
      </w:r>
      <w:hyperlink r:id="rId14">
        <w:r w:rsidRPr="000869CA">
          <w:rPr>
            <w:rFonts w:ascii="Times New Roman" w:hAnsi="Times New Roman" w:eastAsia="Times New Roman" w:cs="Times New Roman"/>
            <w:color w:val="1155CC"/>
            <w:u w:val="single"/>
          </w:rPr>
          <w:t>https://psycnet.apa.org/record/2006-08575-000</w:t>
        </w:r>
      </w:hyperlink>
    </w:p>
    <w:p w:rsidRPr="000869CA" w:rsidR="000869CA" w:rsidP="005B2598" w:rsidRDefault="000869CA" w14:paraId="670785BD"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Espinilla, M., </w:t>
      </w:r>
      <w:r w:rsidRPr="000869CA">
        <w:rPr>
          <w:rFonts w:ascii="Times New Roman" w:hAnsi="Times New Roman" w:eastAsia="Times New Roman" w:cs="Times New Roman"/>
          <w:color w:val="222222"/>
          <w:highlight w:val="white"/>
        </w:rPr>
        <w:t xml:space="preserve">Gyongyosi, L. and Imre, S., 2013. Algorithmic superactivation of asymptotic quantum capacity of zero-capacity quantum channels. </w:t>
      </w:r>
      <w:r w:rsidRPr="000869CA">
        <w:rPr>
          <w:rFonts w:ascii="Times New Roman" w:hAnsi="Times New Roman" w:eastAsia="Times New Roman" w:cs="Times New Roman"/>
          <w:i/>
          <w:iCs/>
          <w:color w:val="222222"/>
          <w:highlight w:val="white"/>
        </w:rPr>
        <w:t>Information Sciences</w:t>
      </w:r>
      <w:r w:rsidRPr="000869CA">
        <w:rPr>
          <w:rFonts w:ascii="Times New Roman" w:hAnsi="Times New Roman" w:eastAsia="Times New Roman" w:cs="Times New Roman"/>
          <w:color w:val="222222"/>
          <w:highlight w:val="white"/>
        </w:rPr>
        <w:t xml:space="preserve">, </w:t>
      </w:r>
      <w:r w:rsidRPr="000869CA">
        <w:rPr>
          <w:rFonts w:ascii="Times New Roman" w:hAnsi="Times New Roman" w:eastAsia="Times New Roman" w:cs="Times New Roman"/>
          <w:i/>
          <w:iCs/>
          <w:color w:val="222222"/>
          <w:highlight w:val="white"/>
        </w:rPr>
        <w:t>222</w:t>
      </w:r>
      <w:r w:rsidRPr="000869CA">
        <w:rPr>
          <w:rFonts w:ascii="Times New Roman" w:hAnsi="Times New Roman" w:eastAsia="Times New Roman" w:cs="Times New Roman"/>
          <w:color w:val="222222"/>
          <w:highlight w:val="white"/>
        </w:rPr>
        <w:t>, pp.737-753.</w:t>
      </w:r>
      <w:hyperlink r:id="rId15">
        <w:r w:rsidRPr="000869CA">
          <w:rPr>
            <w:rFonts w:ascii="Times New Roman" w:hAnsi="Times New Roman" w:eastAsia="Times New Roman" w:cs="Times New Roman"/>
            <w:color w:val="1155CC"/>
            <w:highlight w:val="white"/>
            <w:u w:val="single"/>
          </w:rPr>
          <w:t>https://www.sciencedirect.com/science/article/pii/S0020025512005610</w:t>
        </w:r>
      </w:hyperlink>
      <w:r w:rsidRPr="000869CA">
        <w:rPr>
          <w:rFonts w:ascii="Times New Roman" w:hAnsi="Times New Roman" w:eastAsia="Times New Roman" w:cs="Times New Roman"/>
          <w:color w:val="222222"/>
          <w:highlight w:val="white"/>
        </w:rPr>
        <w:t xml:space="preserve"> </w:t>
      </w:r>
    </w:p>
    <w:p w:rsidRPr="000869CA" w:rsidR="000869CA" w:rsidP="005B2598" w:rsidRDefault="000869CA" w14:paraId="26A29720"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Gallup (2024) State of the Global Workplace 2024 Report. Washington, DC: Gallup Inc. Available at: </w:t>
      </w:r>
      <w:hyperlink r:id="rId16">
        <w:r w:rsidRPr="000869CA">
          <w:rPr>
            <w:rFonts w:ascii="Times New Roman" w:hAnsi="Times New Roman" w:eastAsia="Times New Roman" w:cs="Times New Roman"/>
            <w:color w:val="1155CC"/>
            <w:u w:val="single"/>
          </w:rPr>
          <w:t>https://www.gallup.com/workplace/349484/state-of-the-global-workplace.aspx</w:t>
        </w:r>
      </w:hyperlink>
      <w:r w:rsidRPr="000869CA">
        <w:rPr>
          <w:rFonts w:ascii="Times New Roman" w:hAnsi="Times New Roman" w:eastAsia="Times New Roman" w:cs="Times New Roman"/>
        </w:rPr>
        <w:t xml:space="preserve">  [Accessed 20 Mar. 2026].</w:t>
      </w:r>
    </w:p>
    <w:p w:rsidRPr="000869CA" w:rsidR="000869CA" w:rsidP="005B2598" w:rsidRDefault="000869CA" w14:paraId="468C7CF1"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Gibbs, G. (1988) Learning by Doing: A Guide to Teaching and Learning Methods. Oxford: Further Education Unit, Oxford Polytechnic. Available at: </w:t>
      </w:r>
      <w:hyperlink r:id="rId17">
        <w:r w:rsidRPr="000869CA">
          <w:rPr>
            <w:rFonts w:ascii="Times New Roman" w:hAnsi="Times New Roman" w:eastAsia="Times New Roman" w:cs="Times New Roman"/>
            <w:color w:val="1155CC"/>
            <w:u w:val="single"/>
          </w:rPr>
          <w:t>https://thoughtsmostlyaboutlearning.files.wordpress.com/2015/12/learning-by-doing-graham-gibbs.pdf</w:t>
        </w:r>
      </w:hyperlink>
      <w:r w:rsidRPr="000869CA">
        <w:rPr>
          <w:rFonts w:ascii="Times New Roman" w:hAnsi="Times New Roman" w:eastAsia="Times New Roman" w:cs="Times New Roman"/>
        </w:rPr>
        <w:t xml:space="preserve"> [Accessed 20 Mar. 2026].</w:t>
      </w:r>
    </w:p>
    <w:p w:rsidRPr="000869CA" w:rsidR="000869CA" w:rsidP="005B2598" w:rsidRDefault="000869CA" w14:paraId="16A20CFC"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Global Growth Insights (2024) </w:t>
      </w:r>
      <w:r w:rsidRPr="000869CA">
        <w:rPr>
          <w:rFonts w:ascii="Times New Roman" w:hAnsi="Times New Roman" w:eastAsia="Times New Roman" w:cs="Times New Roman"/>
          <w:i/>
          <w:iCs/>
        </w:rPr>
        <w:t>OKR Software Market Size &amp; Trends 2035</w:t>
      </w:r>
      <w:r w:rsidRPr="000869CA">
        <w:rPr>
          <w:rFonts w:ascii="Times New Roman" w:hAnsi="Times New Roman" w:eastAsia="Times New Roman" w:cs="Times New Roman"/>
        </w:rPr>
        <w:t xml:space="preserve">. [online] Available at: </w:t>
      </w:r>
      <w:hyperlink r:id="rId18">
        <w:r w:rsidRPr="000869CA">
          <w:rPr>
            <w:rFonts w:ascii="Times New Roman" w:hAnsi="Times New Roman" w:eastAsia="Times New Roman" w:cs="Times New Roman"/>
            <w:color w:val="1155CC"/>
            <w:u w:val="single"/>
          </w:rPr>
          <w:t>https://www.globalgrowthinsights.com/market-reports/objectives-and-key-results-okr-software-market-100409</w:t>
        </w:r>
      </w:hyperlink>
      <w:r w:rsidRPr="000869CA">
        <w:rPr>
          <w:rFonts w:ascii="Times New Roman" w:hAnsi="Times New Roman" w:eastAsia="Times New Roman" w:cs="Times New Roman"/>
        </w:rPr>
        <w:t xml:space="preserve"> [Accessed 20 Mar. 2026].</w:t>
      </w:r>
    </w:p>
    <w:p w:rsidRPr="000869CA" w:rsidR="000869CA" w:rsidP="005B2598" w:rsidRDefault="000869CA" w14:paraId="61D8D472"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Hackman, J.R. and Oldham, G.R. (1976) 'Motivation through the design of work: Test of a theory', Organizational Behavior and Human Performance, 16(2), pp. 250–279. Available at: </w:t>
      </w:r>
      <w:hyperlink r:id="rId19">
        <w:r w:rsidRPr="000869CA">
          <w:rPr>
            <w:rFonts w:ascii="Times New Roman" w:hAnsi="Times New Roman" w:eastAsia="Times New Roman" w:cs="Times New Roman"/>
            <w:color w:val="1155CC"/>
            <w:u w:val="single"/>
          </w:rPr>
          <w:t>https://www.sciencedirect.com/science/article/pii/0030507376900167</w:t>
        </w:r>
      </w:hyperlink>
      <w:r w:rsidRPr="000869CA">
        <w:rPr>
          <w:rFonts w:ascii="Times New Roman" w:hAnsi="Times New Roman" w:eastAsia="Times New Roman" w:cs="Times New Roman"/>
        </w:rPr>
        <w:t xml:space="preserve"> </w:t>
      </w:r>
    </w:p>
    <w:p w:rsidRPr="000869CA" w:rsidR="000869CA" w:rsidP="005B2598" w:rsidRDefault="000869CA" w14:paraId="565AFC65"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Herzberg, F. (1966) Work and the Nature of Man. Cleveland, OH: World Publishinghttps://</w:t>
      </w:r>
      <w:hyperlink r:id="rId20">
        <w:r w:rsidRPr="000869CA">
          <w:rPr>
            <w:rFonts w:ascii="Times New Roman" w:hAnsi="Times New Roman" w:eastAsia="Times New Roman" w:cs="Times New Roman"/>
            <w:color w:val="1155CC"/>
            <w:u w:val="single"/>
          </w:rPr>
          <w:t>psycnet.apa.org/record/1966-35012-000</w:t>
        </w:r>
      </w:hyperlink>
      <w:r w:rsidRPr="000869CA">
        <w:rPr>
          <w:rFonts w:ascii="Times New Roman" w:hAnsi="Times New Roman" w:eastAsia="Times New Roman" w:cs="Times New Roman"/>
        </w:rPr>
        <w:t xml:space="preserve"> .</w:t>
      </w:r>
    </w:p>
    <w:p w:rsidRPr="000869CA" w:rsidR="000869CA" w:rsidP="005B2598" w:rsidRDefault="000869CA" w14:paraId="7B918681"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Khan, R. et al. (2024) 'A study on impact of 360-degree performance appraisal and its effect on job performance: A conceptual framework', Nanotechnology Perceptions, 20(S15), pp. 90–102. Available at: </w:t>
      </w:r>
      <w:hyperlink r:id="rId21">
        <w:r w:rsidRPr="000869CA">
          <w:rPr>
            <w:rFonts w:ascii="Times New Roman" w:hAnsi="Times New Roman" w:eastAsia="Times New Roman" w:cs="Times New Roman"/>
            <w:color w:val="1155CC"/>
            <w:u w:val="single"/>
          </w:rPr>
          <w:t>https://jier.org/index.php/journal/article/view/1220</w:t>
        </w:r>
      </w:hyperlink>
      <w:r w:rsidRPr="000869CA">
        <w:rPr>
          <w:rFonts w:ascii="Times New Roman" w:hAnsi="Times New Roman" w:eastAsia="Times New Roman" w:cs="Times New Roman"/>
        </w:rPr>
        <w:t xml:space="preserve"> </w:t>
      </w:r>
    </w:p>
    <w:p w:rsidRPr="000869CA" w:rsidR="000869CA" w:rsidP="005B2598" w:rsidRDefault="000869CA" w14:paraId="18E1FE93"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Lund, S., Anu Madgavkar, Manyika, J., Smit, S., Kweilin Ellingrud and Robinson, O. (2021). </w:t>
      </w:r>
      <w:r w:rsidRPr="000869CA">
        <w:rPr>
          <w:rFonts w:ascii="Times New Roman" w:hAnsi="Times New Roman" w:eastAsia="Times New Roman" w:cs="Times New Roman"/>
          <w:i/>
          <w:iCs/>
        </w:rPr>
        <w:t>The future of work after COVID-19</w:t>
      </w:r>
      <w:r w:rsidRPr="000869CA">
        <w:rPr>
          <w:rFonts w:ascii="Times New Roman" w:hAnsi="Times New Roman" w:eastAsia="Times New Roman" w:cs="Times New Roman"/>
        </w:rPr>
        <w:t xml:space="preserve">. [online] McKinsey &amp; Company. Available at: </w:t>
      </w:r>
      <w:hyperlink r:id="rId22">
        <w:r w:rsidRPr="000869CA">
          <w:rPr>
            <w:rFonts w:ascii="Times New Roman" w:hAnsi="Times New Roman" w:eastAsia="Times New Roman" w:cs="Times New Roman"/>
            <w:color w:val="1155CC"/>
            <w:u w:val="single"/>
          </w:rPr>
          <w:t>https://www.mckinsey.com/featured-insights/future-of-work/the-future-of-work-after-covid-19</w:t>
        </w:r>
      </w:hyperlink>
      <w:r w:rsidRPr="000869CA">
        <w:rPr>
          <w:rFonts w:ascii="Times New Roman" w:hAnsi="Times New Roman" w:eastAsia="Times New Roman" w:cs="Times New Roman"/>
        </w:rPr>
        <w:t xml:space="preserve">  [Accessed 20 Mar. 2026].</w:t>
      </w:r>
    </w:p>
    <w:p w:rsidRPr="000869CA" w:rsidR="000869CA" w:rsidP="005B2598" w:rsidRDefault="000869CA" w14:paraId="30EFFCAF" w14:textId="77777777">
      <w:pPr>
        <w:spacing w:before="24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‌Mercer (2024) How to Retain Tech Talent: Turnover Insights and Strategies. Available at: </w:t>
      </w:r>
      <w:hyperlink r:id="rId23">
        <w:r w:rsidRPr="000869CA">
          <w:rPr>
            <w:rFonts w:ascii="Times New Roman" w:hAnsi="Times New Roman" w:eastAsia="Times New Roman" w:cs="Times New Roman"/>
            <w:color w:val="1155CC"/>
            <w:u w:val="single"/>
          </w:rPr>
          <w:t>https://www.mercer.com/en-us/insights/talent-and-transformation/attracting-and-retaining-talent/how-to-retain-tech-talent/</w:t>
        </w:r>
      </w:hyperlink>
      <w:r w:rsidRPr="000869CA">
        <w:rPr>
          <w:rFonts w:ascii="Times New Roman" w:hAnsi="Times New Roman" w:eastAsia="Times New Roman" w:cs="Times New Roman"/>
        </w:rPr>
        <w:t xml:space="preserve">  [Accessed 20 Mar. 2026].</w:t>
      </w:r>
    </w:p>
    <w:p w:rsidRPr="000869CA" w:rsidR="000869CA" w:rsidP="005B2598" w:rsidRDefault="000869CA" w14:paraId="01BD90A8"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Mooncamp (2022) OKR Impact Report 2022: Statistics and Findings. Available at: </w:t>
      </w:r>
      <w:hyperlink r:id="rId24">
        <w:r w:rsidRPr="000869CA">
          <w:rPr>
            <w:rFonts w:ascii="Times New Roman" w:hAnsi="Times New Roman" w:eastAsia="Times New Roman" w:cs="Times New Roman"/>
            <w:color w:val="1155CC"/>
            <w:u w:val="single"/>
          </w:rPr>
          <w:t>https://mooncamp.com/blog/okr-statistics</w:t>
        </w:r>
      </w:hyperlink>
      <w:r w:rsidRPr="000869CA">
        <w:rPr>
          <w:rFonts w:ascii="Times New Roman" w:hAnsi="Times New Roman" w:eastAsia="Times New Roman" w:cs="Times New Roman"/>
        </w:rPr>
        <w:t xml:space="preserve">  [Accessed 20 Mar. 2026].</w:t>
      </w:r>
    </w:p>
    <w:p w:rsidRPr="000869CA" w:rsidR="000869CA" w:rsidP="005B2598" w:rsidRDefault="000869CA" w14:paraId="606330A8"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Pearson.com. (2026). </w:t>
      </w:r>
      <w:r w:rsidRPr="000869CA">
        <w:rPr>
          <w:rFonts w:ascii="Times New Roman" w:hAnsi="Times New Roman" w:eastAsia="Times New Roman" w:cs="Times New Roman"/>
          <w:i/>
          <w:iCs/>
        </w:rPr>
        <w:t>Search results: performance management | Pearson US</w:t>
      </w:r>
      <w:r w:rsidRPr="000869CA">
        <w:rPr>
          <w:rFonts w:ascii="Times New Roman" w:hAnsi="Times New Roman" w:eastAsia="Times New Roman" w:cs="Times New Roman"/>
        </w:rPr>
        <w:t xml:space="preserve">. [online] Available at: </w:t>
      </w:r>
      <w:hyperlink r:id="rId25">
        <w:r w:rsidRPr="000869CA">
          <w:rPr>
            <w:rFonts w:ascii="Times New Roman" w:hAnsi="Times New Roman" w:eastAsia="Times New Roman" w:cs="Times New Roman"/>
            <w:color w:val="1155CC"/>
            <w:u w:val="single"/>
          </w:rPr>
          <w:t>https://www.pearson.com/en-us/search/All-results?aq=performance+management</w:t>
        </w:r>
      </w:hyperlink>
      <w:r w:rsidRPr="000869CA">
        <w:rPr>
          <w:rFonts w:ascii="Times New Roman" w:hAnsi="Times New Roman" w:eastAsia="Times New Roman" w:cs="Times New Roman"/>
        </w:rPr>
        <w:t xml:space="preserve"> [Accessed 20 Mar. 2026].</w:t>
      </w:r>
    </w:p>
    <w:p w:rsidRPr="000869CA" w:rsidR="000869CA" w:rsidP="005B2598" w:rsidRDefault="000869CA" w14:paraId="584E7CA4"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PeopleFluent (2024) AI in Performance Management: Trends and Impact. Available at: </w:t>
      </w:r>
      <w:hyperlink r:id="rId26">
        <w:r w:rsidRPr="000869CA">
          <w:rPr>
            <w:rFonts w:ascii="Times New Roman" w:hAnsi="Times New Roman" w:eastAsia="Times New Roman" w:cs="Times New Roman"/>
            <w:color w:val="1155CC"/>
            <w:u w:val="single"/>
          </w:rPr>
          <w:t>https://www.peoplefluent.com</w:t>
        </w:r>
      </w:hyperlink>
      <w:r w:rsidRPr="000869CA">
        <w:rPr>
          <w:rFonts w:ascii="Times New Roman" w:hAnsi="Times New Roman" w:eastAsia="Times New Roman" w:cs="Times New Roman"/>
        </w:rPr>
        <w:t xml:space="preserve">  [Accessed 20 Mar. 2026].</w:t>
      </w:r>
    </w:p>
    <w:p w:rsidRPr="000869CA" w:rsidR="000869CA" w:rsidP="005B2598" w:rsidRDefault="000869CA" w14:paraId="561087BA"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Pop.work (2023) Continuous Feedback and Employee Engagement Statistics. Available at: </w:t>
      </w:r>
      <w:hyperlink r:id="rId27">
        <w:r w:rsidRPr="000869CA">
          <w:rPr>
            <w:rFonts w:ascii="Times New Roman" w:hAnsi="Times New Roman" w:eastAsia="Times New Roman" w:cs="Times New Roman"/>
            <w:color w:val="1155CC"/>
            <w:u w:val="single"/>
          </w:rPr>
          <w:t>https://www.tandfonline.com/doi/full/10.1080/01608061.2023.2238029</w:t>
        </w:r>
      </w:hyperlink>
      <w:r w:rsidRPr="000869CA">
        <w:rPr>
          <w:rFonts w:ascii="Times New Roman" w:hAnsi="Times New Roman" w:eastAsia="Times New Roman" w:cs="Times New Roman"/>
        </w:rPr>
        <w:t xml:space="preserve">  [Accessed 20 Mar. 2026].</w:t>
      </w:r>
    </w:p>
    <w:p w:rsidRPr="000869CA" w:rsidR="000869CA" w:rsidP="005B2598" w:rsidRDefault="000869CA" w14:paraId="5333D6D7"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Psicosmart (2024) OKR Adoption Trends in Multinational Companies. Available at: </w:t>
      </w:r>
      <w:hyperlink r:id="rId28">
        <w:r w:rsidRPr="000869CA">
          <w:rPr>
            <w:rFonts w:ascii="Times New Roman" w:hAnsi="Times New Roman" w:eastAsia="Times New Roman" w:cs="Times New Roman"/>
            <w:color w:val="1155CC"/>
            <w:u w:val="single"/>
          </w:rPr>
          <w:t>https://www.psicosmart.net</w:t>
        </w:r>
      </w:hyperlink>
      <w:r w:rsidRPr="000869CA">
        <w:rPr>
          <w:rFonts w:ascii="Times New Roman" w:hAnsi="Times New Roman" w:eastAsia="Times New Roman" w:cs="Times New Roman"/>
        </w:rPr>
        <w:t xml:space="preserve">  [Accessed 20 Mar. 2026].</w:t>
      </w:r>
    </w:p>
    <w:p w:rsidRPr="000869CA" w:rsidR="000869CA" w:rsidP="005B2598" w:rsidRDefault="000869CA" w14:paraId="06C5E202" w14:textId="77777777">
      <w:pPr>
        <w:spacing w:before="80" w:line="360" w:lineRule="auto"/>
        <w:jc w:val="both"/>
        <w:rPr>
          <w:rFonts w:ascii="Times New Roman" w:hAnsi="Times New Roman" w:eastAsia="Times New Roman" w:cs="Times New Roman"/>
        </w:rPr>
      </w:pPr>
      <w:r w:rsidRPr="000869CA">
        <w:rPr>
          <w:rFonts w:ascii="Times New Roman" w:hAnsi="Times New Roman" w:eastAsia="Times New Roman" w:cs="Times New Roman"/>
        </w:rPr>
        <w:t xml:space="preserve">Smith, G. (2025). </w:t>
      </w:r>
      <w:r w:rsidRPr="000869CA">
        <w:rPr>
          <w:rFonts w:ascii="Times New Roman" w:hAnsi="Times New Roman" w:eastAsia="Times New Roman" w:cs="Times New Roman"/>
          <w:i/>
          <w:iCs/>
        </w:rPr>
        <w:t>Performance Management Statistics: What 2025 Holds for HR Leaders</w:t>
      </w:r>
      <w:r w:rsidRPr="000869CA">
        <w:rPr>
          <w:rFonts w:ascii="Times New Roman" w:hAnsi="Times New Roman" w:eastAsia="Times New Roman" w:cs="Times New Roman"/>
        </w:rPr>
        <w:t xml:space="preserve">. [online] Thrivesparrow.com. Available at: </w:t>
      </w:r>
      <w:hyperlink r:id="rId29">
        <w:r w:rsidRPr="000869CA">
          <w:rPr>
            <w:rFonts w:ascii="Times New Roman" w:hAnsi="Times New Roman" w:eastAsia="Times New Roman" w:cs="Times New Roman"/>
            <w:color w:val="1155CC"/>
            <w:u w:val="single"/>
          </w:rPr>
          <w:t>https://www.thrivesparrow.com/blog/performance-management-statistics</w:t>
        </w:r>
      </w:hyperlink>
      <w:r w:rsidRPr="000869CA">
        <w:rPr>
          <w:rFonts w:ascii="Times New Roman" w:hAnsi="Times New Roman" w:eastAsia="Times New Roman" w:cs="Times New Roman"/>
        </w:rPr>
        <w:t xml:space="preserve"> [Accessed 20 Mar. 2026].</w:t>
      </w:r>
    </w:p>
    <w:p w:rsidRPr="000869CA" w:rsidR="00E9124D" w:rsidP="005B2598" w:rsidRDefault="00E9124D" w14:paraId="07E8A82C" w14:textId="77777777">
      <w:pPr>
        <w:spacing w:before="60" w:after="60" w:line="360" w:lineRule="auto"/>
        <w:jc w:val="both"/>
        <w:rPr>
          <w:rFonts w:ascii="Times New Roman" w:hAnsi="Times New Roman" w:eastAsia="Times New Roman" w:cs="Times New Roman"/>
        </w:rPr>
      </w:pPr>
    </w:p>
    <w:sectPr w:rsidRPr="000869CA" w:rsidR="00E9124D" w:rsidSect="000869CA">
      <w:footerReference w:type="default" r:id="rId31"/>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270B1" w:rsidRDefault="00E270B1" w14:paraId="0E536BB3" w14:textId="77777777">
      <w:r>
        <w:separator/>
      </w:r>
    </w:p>
  </w:endnote>
  <w:endnote w:type="continuationSeparator" w:id="0">
    <w:p w:rsidR="00E270B1" w:rsidRDefault="00E270B1" w14:paraId="7F4E498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w:fontKey="{D706ABC8-BCC9-45F3-A546-0CC0C9D1CACF}" r:id="rId1"/>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embedRegular w:fontKey="{8CE01281-6103-4589-98DC-E1A04BE6BBA3}" r:id="rId2"/>
  </w:font>
  <w:font w:name="Cardo">
    <w:charset w:val="00"/>
    <w:family w:val="auto"/>
    <w:pitch w:val="default"/>
    <w:embedRegular w:fontKey="{8AF3CCE7-976A-4411-84A2-DAA6C241EA9C}" r:id="rId3"/>
  </w:font>
  <w:font w:name="Calibri">
    <w:panose1 w:val="020F0502020204030204"/>
    <w:charset w:val="00"/>
    <w:family w:val="swiss"/>
    <w:pitch w:val="variable"/>
    <w:sig w:usb0="E4002EFF" w:usb1="C200247B" w:usb2="00000009" w:usb3="00000000" w:csb0="000001FF" w:csb1="00000000"/>
    <w:embedRegular w:fontKey="{B5DB387F-F38A-4D9F-95AB-1E18B0E88E65}" r:id="rId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2987072"/>
      <w:docPartObj>
        <w:docPartGallery w:val="Page Numbers (Bottom of Page)"/>
        <w:docPartUnique/>
      </w:docPartObj>
    </w:sdtPr>
    <w:sdtEndPr>
      <w:rPr>
        <w:noProof/>
        <w:sz w:val="20"/>
        <w:szCs w:val="20"/>
      </w:rPr>
    </w:sdtEndPr>
    <w:sdtContent>
      <w:p w:rsidRPr="000869CA" w:rsidR="000869CA" w:rsidRDefault="000869CA" w14:paraId="53A6BAB8" w14:textId="0662B6DE">
        <w:pPr>
          <w:pStyle w:val="Footer"/>
          <w:jc w:val="right"/>
          <w:rPr>
            <w:sz w:val="20"/>
            <w:szCs w:val="20"/>
          </w:rPr>
        </w:pPr>
        <w:r w:rsidRPr="000869CA">
          <w:rPr>
            <w:sz w:val="20"/>
            <w:szCs w:val="20"/>
          </w:rPr>
          <w:fldChar w:fldCharType="begin"/>
        </w:r>
        <w:r w:rsidRPr="000869CA">
          <w:rPr>
            <w:sz w:val="20"/>
            <w:szCs w:val="20"/>
          </w:rPr>
          <w:instrText xml:space="preserve"> PAGE   \* MERGEFORMAT </w:instrText>
        </w:r>
        <w:r w:rsidRPr="000869CA">
          <w:rPr>
            <w:sz w:val="20"/>
            <w:szCs w:val="20"/>
          </w:rPr>
          <w:fldChar w:fldCharType="separate"/>
        </w:r>
        <w:r w:rsidRPr="000869CA">
          <w:rPr>
            <w:noProof/>
            <w:sz w:val="20"/>
            <w:szCs w:val="20"/>
          </w:rPr>
          <w:t>2</w:t>
        </w:r>
        <w:r w:rsidRPr="000869CA">
          <w:rPr>
            <w:noProof/>
            <w:sz w:val="20"/>
            <w:szCs w:val="20"/>
          </w:rPr>
          <w:fldChar w:fldCharType="end"/>
        </w:r>
      </w:p>
    </w:sdtContent>
  </w:sdt>
  <w:p w:rsidR="00E9124D" w:rsidRDefault="00E9124D" w14:paraId="1CE6ABC0" w14:textId="76451796">
    <w:pPr>
      <w:pBdr>
        <w:top w:val="single" w:color="1F4E79" w:sz="6" w:space="1"/>
      </w:pBdr>
      <w:spacing w:before="8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270B1" w:rsidRDefault="00E270B1" w14:paraId="77EB972A" w14:textId="77777777">
      <w:r>
        <w:separator/>
      </w:r>
    </w:p>
  </w:footnote>
  <w:footnote w:type="continuationSeparator" w:id="0">
    <w:p w:rsidR="00E270B1" w:rsidRDefault="00E270B1" w14:paraId="0EEDC0A6" w14:textId="777777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124D"/>
    <w:rsid w:val="00000000"/>
    <w:rsid w:val="000869CA"/>
    <w:rsid w:val="00177437"/>
    <w:rsid w:val="001B7C05"/>
    <w:rsid w:val="00231098"/>
    <w:rsid w:val="002F4CFB"/>
    <w:rsid w:val="0033073A"/>
    <w:rsid w:val="00335586"/>
    <w:rsid w:val="00522674"/>
    <w:rsid w:val="005B2598"/>
    <w:rsid w:val="00610D8C"/>
    <w:rsid w:val="006D6E11"/>
    <w:rsid w:val="007E14D4"/>
    <w:rsid w:val="00895E35"/>
    <w:rsid w:val="00896B9F"/>
    <w:rsid w:val="00A71DB2"/>
    <w:rsid w:val="00E270B1"/>
    <w:rsid w:val="00E9124D"/>
    <w:rsid w:val="00E93CDA"/>
    <w:rsid w:val="00F53DF5"/>
    <w:rsid w:val="00FA5377"/>
    <w:rsid w:val="0720BD34"/>
    <w:rsid w:val="25F33CD2"/>
    <w:rsid w:val="6AE6DFDC"/>
    <w:rsid w:val="709DEC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23488"/>
  <w15:docId w15:val="{5A503376-C83C-46D2-A156-359FCB9A6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4"/>
        <w:szCs w:val="24"/>
        <w:lang w:val="e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autoRedefine/>
    <w:uiPriority w:val="9"/>
    <w:qFormat/>
    <w:rsid w:val="001B7C05"/>
    <w:pPr>
      <w:pBdr>
        <w:top w:val="nil"/>
        <w:left w:val="nil"/>
        <w:bottom w:val="nil"/>
        <w:right w:val="nil"/>
        <w:between w:val="nil"/>
      </w:pBdr>
      <w:spacing w:before="280" w:after="120" w:line="360" w:lineRule="auto"/>
      <w:jc w:val="both"/>
      <w:outlineLvl w:val="0"/>
    </w:pPr>
    <w:rPr>
      <w:rFonts w:ascii="Times New Roman" w:hAnsi="Times New Roman" w:eastAsia="Times New Roman" w:cs="Times New Roman"/>
      <w:b/>
      <w:bCs/>
      <w:color w:val="000000"/>
    </w:rPr>
  </w:style>
  <w:style w:type="paragraph" w:styleId="Heading2">
    <w:name w:val="heading 2"/>
    <w:basedOn w:val="Normal"/>
    <w:next w:val="Normal"/>
    <w:uiPriority w:val="9"/>
    <w:unhideWhenUsed/>
    <w:qFormat/>
    <w:pPr>
      <w:pBdr>
        <w:top w:val="nil"/>
        <w:left w:val="nil"/>
        <w:bottom w:val="nil"/>
        <w:right w:val="nil"/>
        <w:between w:val="nil"/>
      </w:pBdr>
      <w:spacing w:before="200" w:after="80"/>
      <w:outlineLvl w:val="1"/>
    </w:pPr>
    <w:rPr>
      <w:b/>
      <w:bCs/>
      <w:color w:val="2E75B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table" w:styleId="a" w:customStyle="1">
    <w:basedOn w:val="TableNormal"/>
    <w:tblPr>
      <w:tblStyleRowBandSize w:val="1"/>
      <w:tblStyleColBandSize w:val="1"/>
      <w:tblCellMar>
        <w:left w:w="10" w:type="dxa"/>
        <w:right w:w="10" w:type="dxa"/>
      </w:tblCellMar>
    </w:tblPr>
  </w:style>
  <w:style w:type="table" w:styleId="a0" w:customStyle="1">
    <w:basedOn w:val="TableNormal"/>
    <w:tblPr>
      <w:tblStyleRowBandSize w:val="1"/>
      <w:tblStyleColBandSize w:val="1"/>
      <w:tblCellMar>
        <w:left w:w="10" w:type="dxa"/>
        <w:right w:w="10" w:type="dxa"/>
      </w:tblCellMar>
    </w:tblPr>
  </w:style>
  <w:style w:type="paragraph" w:styleId="Header">
    <w:name w:val="header"/>
    <w:basedOn w:val="Normal"/>
    <w:link w:val="HeaderChar"/>
    <w:uiPriority w:val="99"/>
    <w:unhideWhenUsed/>
    <w:rsid w:val="000869CA"/>
    <w:pPr>
      <w:tabs>
        <w:tab w:val="center" w:pos="4680"/>
        <w:tab w:val="right" w:pos="9360"/>
      </w:tabs>
    </w:pPr>
  </w:style>
  <w:style w:type="character" w:styleId="HeaderChar" w:customStyle="1">
    <w:name w:val="Header Char"/>
    <w:basedOn w:val="DefaultParagraphFont"/>
    <w:link w:val="Header"/>
    <w:uiPriority w:val="99"/>
    <w:rsid w:val="000869CA"/>
  </w:style>
  <w:style w:type="paragraph" w:styleId="Footer">
    <w:name w:val="footer"/>
    <w:basedOn w:val="Normal"/>
    <w:link w:val="FooterChar"/>
    <w:uiPriority w:val="99"/>
    <w:unhideWhenUsed/>
    <w:rsid w:val="000869CA"/>
    <w:pPr>
      <w:tabs>
        <w:tab w:val="center" w:pos="4680"/>
        <w:tab w:val="right" w:pos="9360"/>
      </w:tabs>
    </w:pPr>
  </w:style>
  <w:style w:type="character" w:styleId="FooterChar" w:customStyle="1">
    <w:name w:val="Footer Char"/>
    <w:basedOn w:val="DefaultParagraphFont"/>
    <w:link w:val="Footer"/>
    <w:uiPriority w:val="99"/>
    <w:rsid w:val="000869CA"/>
  </w:style>
  <w:style w:type="paragraph" w:styleId="TableParagraph" w:customStyle="1">
    <w:name w:val="Table Paragraph"/>
    <w:basedOn w:val="Normal"/>
    <w:uiPriority w:val="1"/>
    <w:qFormat/>
    <w:rsid w:val="000869CA"/>
    <w:pPr>
      <w:widowControl w:val="0"/>
      <w:autoSpaceDE w:val="0"/>
      <w:autoSpaceDN w:val="0"/>
    </w:pPr>
    <w:rPr>
      <w:rFonts w:ascii="Arial MT" w:hAnsi="Arial MT" w:eastAsia="Arial MT" w:cs="Arial MT"/>
      <w:sz w:val="22"/>
      <w:szCs w:val="22"/>
      <w:lang w:val="en-US"/>
    </w:rPr>
  </w:style>
  <w:style w:type="paragraph" w:styleId="TOCHeading">
    <w:name w:val="TOC Heading"/>
    <w:basedOn w:val="Heading1"/>
    <w:next w:val="Normal"/>
    <w:uiPriority w:val="39"/>
    <w:unhideWhenUsed/>
    <w:qFormat/>
    <w:rsid w:val="000869CA"/>
    <w:pPr>
      <w:keepNext/>
      <w:keepLines/>
      <w:pBdr>
        <w:top w:val="none" w:color="auto" w:sz="0" w:space="0"/>
        <w:left w:val="none" w:color="auto" w:sz="0" w:space="0"/>
        <w:bottom w:val="none" w:color="auto" w:sz="0" w:space="0"/>
        <w:right w:val="none" w:color="auto" w:sz="0" w:space="0"/>
        <w:between w:val="none" w:color="auto" w:sz="0" w:space="0"/>
      </w:pBdr>
      <w:spacing w:before="240" w:after="0" w:line="259" w:lineRule="auto"/>
      <w:outlineLvl w:val="9"/>
    </w:pPr>
    <w:rPr>
      <w:rFonts w:asciiTheme="majorHAnsi" w:hAnsiTheme="majorHAnsi" w:eastAsiaTheme="majorEastAsia"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0869CA"/>
    <w:pPr>
      <w:spacing w:after="100"/>
    </w:pPr>
  </w:style>
  <w:style w:type="paragraph" w:styleId="TOC2">
    <w:name w:val="toc 2"/>
    <w:basedOn w:val="Normal"/>
    <w:next w:val="Normal"/>
    <w:autoRedefine/>
    <w:uiPriority w:val="39"/>
    <w:unhideWhenUsed/>
    <w:rsid w:val="000869C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whatmatters.com/the-book" TargetMode="External" Id="rId13" /><Relationship Type="http://schemas.openxmlformats.org/officeDocument/2006/relationships/hyperlink" Target="https://www.globalgrowthinsights.com/market-reports/objectives-and-key-results-okr-software-market-100409" TargetMode="External" Id="rId18" /><Relationship Type="http://schemas.openxmlformats.org/officeDocument/2006/relationships/hyperlink" Target="https://www.peoplefluent.com" TargetMode="External" Id="rId26" /><Relationship Type="http://schemas.openxmlformats.org/officeDocument/2006/relationships/styles" Target="styles.xml" Id="rId3" /><Relationship Type="http://schemas.openxmlformats.org/officeDocument/2006/relationships/hyperlink" Target="https://jier.org/index.php/journal/article/view/1220" TargetMode="External" Id="rId21" /><Relationship Type="http://schemas.openxmlformats.org/officeDocument/2006/relationships/endnotes" Target="endnotes.xml" Id="rId7" /><Relationship Type="http://schemas.openxmlformats.org/officeDocument/2006/relationships/hyperlink" Target="https://www.cultureamp.com/blog/cost-of-employee-turnover" TargetMode="External" Id="rId12" /><Relationship Type="http://schemas.openxmlformats.org/officeDocument/2006/relationships/hyperlink" Target="https://thoughtsmostlyaboutlearning.files.wordpress.com/2015/12/learning-by-doing-graham-gibbs.pdf" TargetMode="External" Id="rId17" /><Relationship Type="http://schemas.openxmlformats.org/officeDocument/2006/relationships/hyperlink" Target="https://www.pearson.com/en-us/search/All-results?aq=performance+management" TargetMode="External" Id="rId25" /><Relationship Type="http://schemas.openxmlformats.org/officeDocument/2006/relationships/theme" Target="theme/theme1.xml" Id="rId33" /><Relationship Type="http://schemas.openxmlformats.org/officeDocument/2006/relationships/customXml" Target="../customXml/item2.xml" Id="rId2" /><Relationship Type="http://schemas.openxmlformats.org/officeDocument/2006/relationships/hyperlink" Target="https://www.gallup.com/workplace/349484/state-of-the-global-workplace.aspx" TargetMode="External" Id="rId16" /><Relationship Type="http://schemas.openxmlformats.org/officeDocument/2006/relationships/hyperlink" Target="http://psycnet.apa.org/record/1966-35012-000" TargetMode="External" Id="rId20" /><Relationship Type="http://schemas.openxmlformats.org/officeDocument/2006/relationships/hyperlink" Target="https://www.thrivesparrow.com/blog/performance-management-statistics"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bls.gov/news.release/tenure.nr0.htm" TargetMode="External" Id="rId11" /><Relationship Type="http://schemas.openxmlformats.org/officeDocument/2006/relationships/hyperlink" Target="https://mooncamp.com/blog/okr-statistics" TargetMode="External" Id="rId24" /><Relationship Type="http://schemas.openxmlformats.org/officeDocument/2006/relationships/fontTable" Target="fontTable.xml" Id="rId32" /><Relationship Type="http://schemas.openxmlformats.org/officeDocument/2006/relationships/webSettings" Target="webSettings.xml" Id="rId5" /><Relationship Type="http://schemas.openxmlformats.org/officeDocument/2006/relationships/hyperlink" Target="https://www.sciencedirect.com/science/article/pii/S0020025512005610" TargetMode="External" Id="rId15" /><Relationship Type="http://schemas.openxmlformats.org/officeDocument/2006/relationships/hyperlink" Target="https://www.mercer.com/en-us/insights/talent-and-transformation/attracting-and-retaining-talent/how-to-retain-tech-talent/" TargetMode="External" Id="rId23" /><Relationship Type="http://schemas.openxmlformats.org/officeDocument/2006/relationships/hyperlink" Target="https://www.psicosmart.net" TargetMode="External" Id="rId28" /><Relationship Type="http://schemas.openxmlformats.org/officeDocument/2006/relationships/hyperlink" Target="https://www.apa.org/pubs/reports/work-in-america/2023-workplace-health-well-being" TargetMode="External" Id="rId10" /><Relationship Type="http://schemas.openxmlformats.org/officeDocument/2006/relationships/hyperlink" Target="https://www.sciencedirect.com/science/article/pii/0030507376900167" TargetMode="External" Id="rId19" /><Relationship Type="http://schemas.openxmlformats.org/officeDocument/2006/relationships/footer" Target="footer1.xml" Id="rId31" /><Relationship Type="http://schemas.openxmlformats.org/officeDocument/2006/relationships/settings" Target="settings.xml" Id="rId4" /><Relationship Type="http://schemas.openxmlformats.org/officeDocument/2006/relationships/hyperlink" Target="http://jhrmls.thebrpi.org/journals/jhrmls/Vol_2_No_2_June_2014/14.pdf" TargetMode="External" Id="rId9" /><Relationship Type="http://schemas.openxmlformats.org/officeDocument/2006/relationships/hyperlink" Target="https://psycnet.apa.org/record/2006-08575-000" TargetMode="External" Id="rId14" /><Relationship Type="http://schemas.openxmlformats.org/officeDocument/2006/relationships/hyperlink" Target="https://www.mckinsey.com/featured-insights/future-of-work/the-future-of-work-after-covid-19" TargetMode="External" Id="rId22" /><Relationship Type="http://schemas.openxmlformats.org/officeDocument/2006/relationships/hyperlink" Target="https://www.tandfonline.com/doi/full/10.1080/01608061.2023.2238029" TargetMode="External" Id="rId27" /><Relationship Type="http://schemas.openxmlformats.org/officeDocument/2006/relationships/image" Target="media/image1.png" Id="rId8"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8th3aL7Xb9tx4P9e2rJiYs6pMQ==">CgMxLjAaIwoBMBIeChwIB0IYCg9UaW1lcyBOZXcgUm9tYW4SBUNhcmRvMg5oLm0yZzNpODloeGJqNTgAciExRmRVVk82MzNrU0wweXhIaDF6dmRhNFJhWUhhWDBGZm4=</go:docsCustomData>
</go:gDocsCustomXmlDataStorage>
</file>

<file path=customXml/itemProps1.xml><?xml version="1.0" encoding="utf-8"?>
<ds:datastoreItem xmlns:ds="http://schemas.openxmlformats.org/officeDocument/2006/customXml" ds:itemID="{1BE80062-9CBD-45E4-B5DA-62716B60F31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Un-named</dc:creator>
  <lastModifiedBy>Hevin Godhani</lastModifiedBy>
  <revision>11</revision>
  <dcterms:created xsi:type="dcterms:W3CDTF">2026-03-20T05:49:00.0000000Z</dcterms:created>
  <dcterms:modified xsi:type="dcterms:W3CDTF">2026-03-20T12:40:00.5331680Z</dcterms:modified>
</coreProperties>
</file>