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33703970"/>
        <w:docPartObj>
          <w:docPartGallery w:val="Cover Pages"/>
          <w:docPartUnique/>
        </w:docPartObj>
      </w:sdtPr>
      <w:sdtEndPr>
        <w:rPr>
          <w:rFonts w:eastAsiaTheme="minorEastAsia"/>
          <w:color w:val="156082" w:themeColor="accent1"/>
          <w:kern w:val="0"/>
          <w:sz w:val="22"/>
          <w:szCs w:val="22"/>
          <w:lang w:val="en-US" w:eastAsia="zh-CN"/>
          <w14:ligatures w14:val="none"/>
        </w:rPr>
      </w:sdtEndPr>
      <w:sdtContent>
        <w:p w14:paraId="4976A54B" w14:textId="4147F7FB" w:rsidR="00255216" w:rsidRPr="00B05EC7" w:rsidRDefault="00255216" w:rsidP="00C56A9B">
          <w:pPr>
            <w:spacing w:line="360" w:lineRule="auto"/>
            <w:jc w:val="both"/>
            <w:rPr>
              <w:rFonts w:ascii="Arial" w:hAnsi="Arial" w:cs="Arial"/>
            </w:rPr>
          </w:pPr>
          <w:r w:rsidRPr="00B05EC7">
            <w:rPr>
              <w:rFonts w:ascii="Arial" w:hAnsi="Arial" w:cs="Arial"/>
              <w:noProof/>
            </w:rPr>
            <mc:AlternateContent>
              <mc:Choice Requires="wpg">
                <w:drawing>
                  <wp:anchor distT="0" distB="0" distL="114300" distR="114300" simplePos="0" relativeHeight="251661312" behindDoc="0" locked="0" layoutInCell="1" allowOverlap="1" wp14:anchorId="67B00277" wp14:editId="33B13C47">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13BA366" w14:textId="3CA756D0" w:rsidR="00255216" w:rsidRDefault="00255216">
                                      <w:pPr>
                                        <w:pStyle w:val="Frspaiere"/>
                                        <w:spacing w:after="240"/>
                                        <w:jc w:val="right"/>
                                        <w:rPr>
                                          <w:color w:val="0E2841" w:themeColor="text2"/>
                                          <w:spacing w:val="10"/>
                                          <w:sz w:val="36"/>
                                          <w:szCs w:val="36"/>
                                        </w:rPr>
                                      </w:pPr>
                                      <w:r>
                                        <w:rPr>
                                          <w:color w:val="0E2841" w:themeColor="text2"/>
                                          <w:spacing w:val="10"/>
                                          <w:sz w:val="36"/>
                                          <w:szCs w:val="36"/>
                                        </w:rPr>
                                        <w:t>Catalin Tabaras (2</w:t>
                                      </w:r>
                                      <w:r w:rsidR="00936219">
                                        <w:rPr>
                                          <w:color w:val="0E2841" w:themeColor="text2"/>
                                          <w:spacing w:val="10"/>
                                          <w:sz w:val="36"/>
                                          <w:szCs w:val="36"/>
                                        </w:rPr>
                                        <w:t>247295</w:t>
                                      </w:r>
                                      <w:r>
                                        <w:rPr>
                                          <w:color w:val="0E2841" w:themeColor="text2"/>
                                          <w:spacing w:val="10"/>
                                          <w:sz w:val="36"/>
                                          <w:szCs w:val="36"/>
                                        </w:rPr>
                                        <w:t>)</w:t>
                                      </w:r>
                                    </w:p>
                                  </w:sdtContent>
                                </w:sdt>
                                <w:p w14:paraId="77F86189" w14:textId="112EFED0" w:rsidR="00255216" w:rsidRDefault="00EE3700">
                                  <w:pPr>
                                    <w:pStyle w:val="Frspaiere"/>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55216" w:rsidRPr="00255216">
                                        <w:rPr>
                                          <w:color w:val="0E2841" w:themeColor="text2"/>
                                          <w:spacing w:val="10"/>
                                          <w:sz w:val="28"/>
                                          <w:szCs w:val="28"/>
                                        </w:rPr>
                                        <w:t>International Business Communications (LCBB6001</w:t>
                                      </w:r>
                                      <w:r w:rsidR="00255216">
                                        <w:rPr>
                                          <w:color w:val="0E2841" w:themeColor="text2"/>
                                          <w:spacing w:val="10"/>
                                          <w:sz w:val="28"/>
                                          <w:szCs w:val="28"/>
                                        </w:rPr>
                                        <w: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B00277" id="Group 121" o:spid="_x0000_s1026" alt="Titlu: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13BA366" w14:textId="3CA756D0" w:rsidR="00255216" w:rsidRDefault="00255216">
                                <w:pPr>
                                  <w:pStyle w:val="Frspaiere"/>
                                  <w:spacing w:after="240"/>
                                  <w:jc w:val="right"/>
                                  <w:rPr>
                                    <w:color w:val="0E2841" w:themeColor="text2"/>
                                    <w:spacing w:val="10"/>
                                    <w:sz w:val="36"/>
                                    <w:szCs w:val="36"/>
                                  </w:rPr>
                                </w:pPr>
                                <w:r>
                                  <w:rPr>
                                    <w:color w:val="0E2841" w:themeColor="text2"/>
                                    <w:spacing w:val="10"/>
                                    <w:sz w:val="36"/>
                                    <w:szCs w:val="36"/>
                                  </w:rPr>
                                  <w:t>Catalin Tabaras (2</w:t>
                                </w:r>
                                <w:r w:rsidR="00936219">
                                  <w:rPr>
                                    <w:color w:val="0E2841" w:themeColor="text2"/>
                                    <w:spacing w:val="10"/>
                                    <w:sz w:val="36"/>
                                    <w:szCs w:val="36"/>
                                  </w:rPr>
                                  <w:t>247295</w:t>
                                </w:r>
                                <w:r>
                                  <w:rPr>
                                    <w:color w:val="0E2841" w:themeColor="text2"/>
                                    <w:spacing w:val="10"/>
                                    <w:sz w:val="36"/>
                                    <w:szCs w:val="36"/>
                                  </w:rPr>
                                  <w:t>)</w:t>
                                </w:r>
                              </w:p>
                            </w:sdtContent>
                          </w:sdt>
                          <w:p w14:paraId="77F86189" w14:textId="112EFED0" w:rsidR="00255216" w:rsidRDefault="00000000">
                            <w:pPr>
                              <w:pStyle w:val="Frspaiere"/>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55216" w:rsidRPr="00255216">
                                  <w:rPr>
                                    <w:color w:val="0E2841" w:themeColor="text2"/>
                                    <w:spacing w:val="10"/>
                                    <w:sz w:val="28"/>
                                    <w:szCs w:val="28"/>
                                  </w:rPr>
                                  <w:t>International Business Communications (LCBB6001</w:t>
                                </w:r>
                                <w:r w:rsidR="00255216">
                                  <w:rPr>
                                    <w:color w:val="0E2841" w:themeColor="text2"/>
                                    <w:spacing w:val="10"/>
                                    <w:sz w:val="28"/>
                                    <w:szCs w:val="28"/>
                                  </w:rPr>
                                  <w:t>)</w:t>
                                </w:r>
                              </w:sdtContent>
                            </w:sdt>
                          </w:p>
                        </w:txbxContent>
                      </v:textbox>
                    </v:shape>
                    <w10:wrap anchorx="page" anchory="page"/>
                  </v:group>
                </w:pict>
              </mc:Fallback>
            </mc:AlternateContent>
          </w:r>
          <w:r w:rsidRPr="00B05EC7">
            <w:rPr>
              <w:rFonts w:ascii="Arial" w:hAnsi="Arial" w:cs="Arial"/>
              <w:noProof/>
            </w:rPr>
            <mc:AlternateContent>
              <mc:Choice Requires="wpg">
                <w:drawing>
                  <wp:anchor distT="0" distB="0" distL="114300" distR="114300" simplePos="0" relativeHeight="251660288" behindDoc="0" locked="0" layoutInCell="1" allowOverlap="1" wp14:anchorId="5CCC1E59" wp14:editId="1DB514D3">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C2AAAD" w14:textId="74257BF1" w:rsidR="00255216" w:rsidRDefault="00255216">
                                      <w:pPr>
                                        <w:pStyle w:val="Frspaiere"/>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Assignment 1</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D1A6385" w14:textId="0DE1645A" w:rsidR="00255216" w:rsidRDefault="00255216">
                                      <w:pPr>
                                        <w:pStyle w:val="Frspaiere"/>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Essay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CC1E59" id="Group 125"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EC2AAAD" w14:textId="74257BF1" w:rsidR="00255216" w:rsidRDefault="00255216">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Assignment 1</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D1A6385" w14:textId="0DE1645A" w:rsidR="00255216" w:rsidRDefault="00255216">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Essay</w:t>
                                </w:r>
                              </w:p>
                            </w:sdtContent>
                          </w:sdt>
                        </w:txbxContent>
                      </v:textbox>
                    </v:shape>
                    <w10:wrap anchorx="page" anchory="page"/>
                  </v:group>
                </w:pict>
              </mc:Fallback>
            </mc:AlternateContent>
          </w:r>
          <w:r w:rsidRPr="00B05EC7">
            <w:rPr>
              <w:rFonts w:ascii="Arial" w:hAnsi="Arial" w:cs="Arial"/>
              <w:noProof/>
            </w:rPr>
            <mc:AlternateContent>
              <mc:Choice Requires="wps">
                <w:drawing>
                  <wp:anchor distT="0" distB="0" distL="114300" distR="114300" simplePos="0" relativeHeight="251659264" behindDoc="1" locked="0" layoutInCell="1" allowOverlap="1" wp14:anchorId="46ECA9FC" wp14:editId="0041FF65">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9C41251"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11142236" w14:textId="7EEF66CE" w:rsidR="00255216" w:rsidRPr="00B05EC7" w:rsidRDefault="00255216" w:rsidP="00C56A9B">
          <w:pPr>
            <w:spacing w:line="360" w:lineRule="auto"/>
            <w:jc w:val="both"/>
            <w:rPr>
              <w:rFonts w:ascii="Arial" w:eastAsiaTheme="minorEastAsia" w:hAnsi="Arial" w:cs="Arial"/>
              <w:color w:val="156082" w:themeColor="accent1"/>
              <w:kern w:val="0"/>
              <w:sz w:val="22"/>
              <w:szCs w:val="22"/>
              <w:lang w:val="en-US" w:eastAsia="zh-CN"/>
              <w14:ligatures w14:val="none"/>
            </w:rPr>
          </w:pPr>
          <w:r w:rsidRPr="00B05EC7">
            <w:rPr>
              <w:rFonts w:ascii="Arial" w:eastAsiaTheme="minorEastAsia" w:hAnsi="Arial" w:cs="Arial"/>
              <w:color w:val="156082" w:themeColor="accent1"/>
              <w:kern w:val="0"/>
              <w:sz w:val="22"/>
              <w:szCs w:val="22"/>
              <w:lang w:val="en-US" w:eastAsia="zh-CN"/>
              <w14:ligatures w14:val="none"/>
            </w:rPr>
            <w:br w:type="page"/>
          </w:r>
        </w:p>
      </w:sdtContent>
    </w:sdt>
    <w:sdt>
      <w:sdtPr>
        <w:rPr>
          <w:rFonts w:ascii="Arial" w:eastAsiaTheme="minorHAnsi" w:hAnsi="Arial" w:cs="Arial"/>
          <w:b w:val="0"/>
          <w:bCs w:val="0"/>
          <w:color w:val="auto"/>
          <w:kern w:val="2"/>
          <w:sz w:val="24"/>
          <w:szCs w:val="24"/>
          <w:lang w:val="en-GB"/>
          <w14:ligatures w14:val="standardContextual"/>
        </w:rPr>
        <w:id w:val="-599726892"/>
        <w:docPartObj>
          <w:docPartGallery w:val="Table of Contents"/>
          <w:docPartUnique/>
        </w:docPartObj>
      </w:sdtPr>
      <w:sdtEndPr>
        <w:rPr>
          <w:noProof/>
        </w:rPr>
      </w:sdtEndPr>
      <w:sdtContent>
        <w:p w14:paraId="0C012A9D" w14:textId="1A09341A" w:rsidR="00255216" w:rsidRPr="00B05EC7" w:rsidRDefault="00255216" w:rsidP="00C56A9B">
          <w:pPr>
            <w:pStyle w:val="Titlucuprins"/>
            <w:spacing w:line="360" w:lineRule="auto"/>
            <w:jc w:val="both"/>
            <w:rPr>
              <w:rFonts w:ascii="Arial" w:hAnsi="Arial" w:cs="Arial"/>
            </w:rPr>
          </w:pPr>
          <w:r w:rsidRPr="00B05EC7">
            <w:rPr>
              <w:rFonts w:ascii="Arial" w:hAnsi="Arial" w:cs="Arial"/>
            </w:rPr>
            <w:t>Table of Contents</w:t>
          </w:r>
        </w:p>
        <w:p w14:paraId="71995B10" w14:textId="5FC36140" w:rsidR="00C56A9B" w:rsidRPr="00B05EC7" w:rsidRDefault="00255216">
          <w:pPr>
            <w:pStyle w:val="Cuprins1"/>
            <w:tabs>
              <w:tab w:val="right" w:leader="dot" w:pos="9016"/>
            </w:tabs>
            <w:rPr>
              <w:rFonts w:ascii="Arial" w:eastAsiaTheme="minorEastAsia" w:hAnsi="Arial" w:cs="Arial"/>
              <w:b w:val="0"/>
              <w:bCs w:val="0"/>
              <w:i w:val="0"/>
              <w:iCs w:val="0"/>
              <w:noProof/>
              <w:lang w:eastAsia="en-GB"/>
            </w:rPr>
          </w:pPr>
          <w:r w:rsidRPr="00B05EC7">
            <w:rPr>
              <w:rFonts w:ascii="Arial" w:hAnsi="Arial" w:cs="Arial"/>
              <w:b w:val="0"/>
              <w:bCs w:val="0"/>
            </w:rPr>
            <w:fldChar w:fldCharType="begin"/>
          </w:r>
          <w:r w:rsidRPr="00B05EC7">
            <w:rPr>
              <w:rFonts w:ascii="Arial" w:hAnsi="Arial" w:cs="Arial"/>
            </w:rPr>
            <w:instrText xml:space="preserve"> TOC \o "1-3" \h \z \u </w:instrText>
          </w:r>
          <w:r w:rsidRPr="00B05EC7">
            <w:rPr>
              <w:rFonts w:ascii="Arial" w:hAnsi="Arial" w:cs="Arial"/>
              <w:b w:val="0"/>
              <w:bCs w:val="0"/>
            </w:rPr>
            <w:fldChar w:fldCharType="separate"/>
          </w:r>
          <w:hyperlink w:anchor="_Toc204725762" w:history="1">
            <w:r w:rsidR="00C56A9B" w:rsidRPr="00B05EC7">
              <w:rPr>
                <w:rStyle w:val="Hyperlink"/>
                <w:rFonts w:ascii="Arial" w:hAnsi="Arial" w:cs="Arial"/>
                <w:noProof/>
              </w:rPr>
              <w:t>Introduction</w:t>
            </w:r>
            <w:r w:rsidR="00C56A9B" w:rsidRPr="00B05EC7">
              <w:rPr>
                <w:rFonts w:ascii="Arial" w:hAnsi="Arial" w:cs="Arial"/>
                <w:noProof/>
                <w:webHidden/>
              </w:rPr>
              <w:tab/>
            </w:r>
            <w:r w:rsidR="00C56A9B" w:rsidRPr="00B05EC7">
              <w:rPr>
                <w:rFonts w:ascii="Arial" w:hAnsi="Arial" w:cs="Arial"/>
                <w:noProof/>
                <w:webHidden/>
              </w:rPr>
              <w:fldChar w:fldCharType="begin"/>
            </w:r>
            <w:r w:rsidR="00C56A9B" w:rsidRPr="00B05EC7">
              <w:rPr>
                <w:rFonts w:ascii="Arial" w:hAnsi="Arial" w:cs="Arial"/>
                <w:noProof/>
                <w:webHidden/>
              </w:rPr>
              <w:instrText xml:space="preserve"> PAGEREF _Toc204725762 \h </w:instrText>
            </w:r>
            <w:r w:rsidR="00C56A9B" w:rsidRPr="00B05EC7">
              <w:rPr>
                <w:rFonts w:ascii="Arial" w:hAnsi="Arial" w:cs="Arial"/>
                <w:noProof/>
                <w:webHidden/>
              </w:rPr>
            </w:r>
            <w:r w:rsidR="00C56A9B" w:rsidRPr="00B05EC7">
              <w:rPr>
                <w:rFonts w:ascii="Arial" w:hAnsi="Arial" w:cs="Arial"/>
                <w:noProof/>
                <w:webHidden/>
              </w:rPr>
              <w:fldChar w:fldCharType="separate"/>
            </w:r>
            <w:r w:rsidR="00E47223" w:rsidRPr="00B05EC7">
              <w:rPr>
                <w:rFonts w:ascii="Arial" w:hAnsi="Arial" w:cs="Arial"/>
                <w:noProof/>
                <w:webHidden/>
              </w:rPr>
              <w:t>2</w:t>
            </w:r>
            <w:r w:rsidR="00C56A9B" w:rsidRPr="00B05EC7">
              <w:rPr>
                <w:rFonts w:ascii="Arial" w:hAnsi="Arial" w:cs="Arial"/>
                <w:noProof/>
                <w:webHidden/>
              </w:rPr>
              <w:fldChar w:fldCharType="end"/>
            </w:r>
          </w:hyperlink>
        </w:p>
        <w:p w14:paraId="23475BB1" w14:textId="01535CB5" w:rsidR="00C56A9B" w:rsidRPr="00B05EC7" w:rsidRDefault="00C56A9B">
          <w:pPr>
            <w:pStyle w:val="Cuprins1"/>
            <w:tabs>
              <w:tab w:val="right" w:leader="dot" w:pos="9016"/>
            </w:tabs>
            <w:rPr>
              <w:rFonts w:ascii="Arial" w:eastAsiaTheme="minorEastAsia" w:hAnsi="Arial" w:cs="Arial"/>
              <w:b w:val="0"/>
              <w:bCs w:val="0"/>
              <w:i w:val="0"/>
              <w:iCs w:val="0"/>
              <w:noProof/>
              <w:lang w:eastAsia="en-GB"/>
            </w:rPr>
          </w:pPr>
          <w:hyperlink w:anchor="_Toc204725763" w:history="1">
            <w:r w:rsidRPr="00B05EC7">
              <w:rPr>
                <w:rStyle w:val="Hyperlink"/>
                <w:rFonts w:ascii="Arial" w:hAnsi="Arial" w:cs="Arial"/>
                <w:noProof/>
              </w:rPr>
              <w:t>Discussion</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_Toc204725763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2</w:t>
            </w:r>
            <w:r w:rsidRPr="00B05EC7">
              <w:rPr>
                <w:rFonts w:ascii="Arial" w:hAnsi="Arial" w:cs="Arial"/>
                <w:noProof/>
                <w:webHidden/>
              </w:rPr>
              <w:fldChar w:fldCharType="end"/>
            </w:r>
          </w:hyperlink>
        </w:p>
        <w:p w14:paraId="039557EB" w14:textId="1D273620" w:rsidR="00C56A9B" w:rsidRPr="00B05EC7" w:rsidRDefault="00C56A9B">
          <w:pPr>
            <w:pStyle w:val="Cuprins1"/>
            <w:tabs>
              <w:tab w:val="right" w:leader="dot" w:pos="9016"/>
            </w:tabs>
            <w:rPr>
              <w:rFonts w:ascii="Arial" w:eastAsiaTheme="minorEastAsia" w:hAnsi="Arial" w:cs="Arial"/>
              <w:b w:val="0"/>
              <w:bCs w:val="0"/>
              <w:i w:val="0"/>
              <w:iCs w:val="0"/>
              <w:noProof/>
              <w:lang w:eastAsia="en-GB"/>
            </w:rPr>
          </w:pPr>
          <w:hyperlink w:anchor="_Toc204725764" w:history="1">
            <w:r w:rsidRPr="00B05EC7">
              <w:rPr>
                <w:rStyle w:val="Hyperlink"/>
                <w:rFonts w:ascii="Arial" w:hAnsi="Arial" w:cs="Arial"/>
                <w:noProof/>
              </w:rPr>
              <w:t>Business and cultural background</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_Toc204725764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2</w:t>
            </w:r>
            <w:r w:rsidRPr="00B05EC7">
              <w:rPr>
                <w:rFonts w:ascii="Arial" w:hAnsi="Arial" w:cs="Arial"/>
                <w:noProof/>
                <w:webHidden/>
              </w:rPr>
              <w:fldChar w:fldCharType="end"/>
            </w:r>
          </w:hyperlink>
        </w:p>
        <w:p w14:paraId="135A71D8" w14:textId="2A157E4F" w:rsidR="00C56A9B" w:rsidRPr="00B05EC7" w:rsidRDefault="00C56A9B">
          <w:pPr>
            <w:pStyle w:val="Cuprins2"/>
            <w:tabs>
              <w:tab w:val="right" w:leader="dot" w:pos="9016"/>
            </w:tabs>
            <w:rPr>
              <w:rFonts w:ascii="Arial" w:eastAsiaTheme="minorEastAsia" w:hAnsi="Arial" w:cs="Arial"/>
              <w:b w:val="0"/>
              <w:bCs w:val="0"/>
              <w:noProof/>
              <w:sz w:val="24"/>
              <w:szCs w:val="24"/>
              <w:lang w:eastAsia="en-GB"/>
            </w:rPr>
          </w:pPr>
          <w:hyperlink w:anchor="_Toc204725765" w:history="1">
            <w:r w:rsidRPr="00B05EC7">
              <w:rPr>
                <w:rStyle w:val="Hyperlink"/>
                <w:rFonts w:ascii="Arial" w:hAnsi="Arial" w:cs="Arial"/>
                <w:noProof/>
              </w:rPr>
              <w:t>Importance of Intercultural Communication</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_Toc204725765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3</w:t>
            </w:r>
            <w:r w:rsidRPr="00B05EC7">
              <w:rPr>
                <w:rFonts w:ascii="Arial" w:hAnsi="Arial" w:cs="Arial"/>
                <w:noProof/>
                <w:webHidden/>
              </w:rPr>
              <w:fldChar w:fldCharType="end"/>
            </w:r>
          </w:hyperlink>
        </w:p>
        <w:p w14:paraId="0FCE2A0A" w14:textId="05287FF3" w:rsidR="00C56A9B" w:rsidRPr="00B05EC7" w:rsidRDefault="00C56A9B">
          <w:pPr>
            <w:pStyle w:val="Cuprins2"/>
            <w:tabs>
              <w:tab w:val="right" w:leader="dot" w:pos="9016"/>
            </w:tabs>
            <w:rPr>
              <w:rFonts w:ascii="Arial" w:eastAsiaTheme="minorEastAsia" w:hAnsi="Arial" w:cs="Arial"/>
              <w:b w:val="0"/>
              <w:bCs w:val="0"/>
              <w:noProof/>
              <w:sz w:val="24"/>
              <w:szCs w:val="24"/>
              <w:lang w:eastAsia="en-GB"/>
            </w:rPr>
          </w:pPr>
          <w:hyperlink w:anchor="_Toc204725766" w:history="1">
            <w:r w:rsidRPr="00B05EC7">
              <w:rPr>
                <w:rStyle w:val="Hyperlink"/>
                <w:rFonts w:ascii="Arial" w:hAnsi="Arial" w:cs="Arial"/>
                <w:noProof/>
              </w:rPr>
              <w:t>Theoretical Framework - Hofstede’s Cultural Dimensions</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_Toc204725766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4</w:t>
            </w:r>
            <w:r w:rsidRPr="00B05EC7">
              <w:rPr>
                <w:rFonts w:ascii="Arial" w:hAnsi="Arial" w:cs="Arial"/>
                <w:noProof/>
                <w:webHidden/>
              </w:rPr>
              <w:fldChar w:fldCharType="end"/>
            </w:r>
          </w:hyperlink>
        </w:p>
        <w:p w14:paraId="732F6871" w14:textId="7BDDA6C3" w:rsidR="00C56A9B" w:rsidRPr="00B05EC7" w:rsidRDefault="00C56A9B">
          <w:pPr>
            <w:pStyle w:val="Cuprins2"/>
            <w:tabs>
              <w:tab w:val="right" w:leader="dot" w:pos="9016"/>
            </w:tabs>
            <w:rPr>
              <w:rFonts w:ascii="Arial" w:eastAsiaTheme="minorEastAsia" w:hAnsi="Arial" w:cs="Arial"/>
              <w:b w:val="0"/>
              <w:bCs w:val="0"/>
              <w:noProof/>
              <w:sz w:val="24"/>
              <w:szCs w:val="24"/>
              <w:lang w:eastAsia="en-GB"/>
            </w:rPr>
          </w:pPr>
          <w:hyperlink w:anchor="_Toc204725767" w:history="1">
            <w:r w:rsidRPr="00B05EC7">
              <w:rPr>
                <w:rStyle w:val="Hyperlink"/>
                <w:rFonts w:ascii="Arial" w:hAnsi="Arial" w:cs="Arial"/>
                <w:noProof/>
              </w:rPr>
              <w:t>Communication styles</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_Toc204725767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6</w:t>
            </w:r>
            <w:r w:rsidRPr="00B05EC7">
              <w:rPr>
                <w:rFonts w:ascii="Arial" w:hAnsi="Arial" w:cs="Arial"/>
                <w:noProof/>
                <w:webHidden/>
              </w:rPr>
              <w:fldChar w:fldCharType="end"/>
            </w:r>
          </w:hyperlink>
        </w:p>
        <w:p w14:paraId="7CC6BAB2" w14:textId="7BAD0B89" w:rsidR="00C56A9B" w:rsidRPr="00B05EC7" w:rsidRDefault="00C56A9B">
          <w:pPr>
            <w:pStyle w:val="Cuprins2"/>
            <w:tabs>
              <w:tab w:val="right" w:leader="dot" w:pos="9016"/>
            </w:tabs>
            <w:rPr>
              <w:rFonts w:ascii="Arial" w:eastAsiaTheme="minorEastAsia" w:hAnsi="Arial" w:cs="Arial"/>
              <w:b w:val="0"/>
              <w:bCs w:val="0"/>
              <w:noProof/>
              <w:sz w:val="24"/>
              <w:szCs w:val="24"/>
              <w:lang w:eastAsia="en-GB"/>
            </w:rPr>
          </w:pPr>
          <w:hyperlink w:anchor="_Toc204725768" w:history="1">
            <w:r w:rsidRPr="00B05EC7">
              <w:rPr>
                <w:rStyle w:val="Hyperlink"/>
                <w:rFonts w:ascii="Arial" w:hAnsi="Arial" w:cs="Arial"/>
                <w:noProof/>
              </w:rPr>
              <w:t>Potential Misunderstandings and Miscommunications - Case studies</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_Toc204725768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8</w:t>
            </w:r>
            <w:r w:rsidRPr="00B05EC7">
              <w:rPr>
                <w:rFonts w:ascii="Arial" w:hAnsi="Arial" w:cs="Arial"/>
                <w:noProof/>
                <w:webHidden/>
              </w:rPr>
              <w:fldChar w:fldCharType="end"/>
            </w:r>
          </w:hyperlink>
        </w:p>
        <w:p w14:paraId="6EF54469" w14:textId="7E619E74" w:rsidR="00C56A9B" w:rsidRPr="00B05EC7" w:rsidRDefault="00C56A9B">
          <w:pPr>
            <w:pStyle w:val="Cuprins1"/>
            <w:tabs>
              <w:tab w:val="right" w:leader="dot" w:pos="9016"/>
            </w:tabs>
            <w:rPr>
              <w:rFonts w:ascii="Arial" w:eastAsiaTheme="minorEastAsia" w:hAnsi="Arial" w:cs="Arial"/>
              <w:b w:val="0"/>
              <w:bCs w:val="0"/>
              <w:i w:val="0"/>
              <w:iCs w:val="0"/>
              <w:noProof/>
              <w:lang w:eastAsia="en-GB"/>
            </w:rPr>
          </w:pPr>
          <w:hyperlink w:anchor="_Toc204725769" w:history="1">
            <w:r w:rsidRPr="00B05EC7">
              <w:rPr>
                <w:rStyle w:val="Hyperlink"/>
                <w:rFonts w:ascii="Arial" w:hAnsi="Arial" w:cs="Arial"/>
                <w:noProof/>
              </w:rPr>
              <w:t>Conclusion</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_Toc204725769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10</w:t>
            </w:r>
            <w:r w:rsidRPr="00B05EC7">
              <w:rPr>
                <w:rFonts w:ascii="Arial" w:hAnsi="Arial" w:cs="Arial"/>
                <w:noProof/>
                <w:webHidden/>
              </w:rPr>
              <w:fldChar w:fldCharType="end"/>
            </w:r>
          </w:hyperlink>
        </w:p>
        <w:p w14:paraId="524E52D3" w14:textId="2528D315" w:rsidR="00C56A9B" w:rsidRPr="00B05EC7" w:rsidRDefault="00C56A9B">
          <w:pPr>
            <w:pStyle w:val="Cuprins1"/>
            <w:tabs>
              <w:tab w:val="right" w:leader="dot" w:pos="9016"/>
            </w:tabs>
            <w:rPr>
              <w:rFonts w:ascii="Arial" w:eastAsiaTheme="minorEastAsia" w:hAnsi="Arial" w:cs="Arial"/>
              <w:b w:val="0"/>
              <w:bCs w:val="0"/>
              <w:i w:val="0"/>
              <w:iCs w:val="0"/>
              <w:noProof/>
              <w:lang w:eastAsia="en-GB"/>
            </w:rPr>
          </w:pPr>
          <w:hyperlink w:anchor="_Toc204725770" w:history="1">
            <w:r w:rsidRPr="00B05EC7">
              <w:rPr>
                <w:rStyle w:val="Hyperlink"/>
                <w:rFonts w:ascii="Arial" w:hAnsi="Arial" w:cs="Arial"/>
                <w:noProof/>
              </w:rPr>
              <w:t>References</w:t>
            </w:r>
            <w:r w:rsidRPr="00B05EC7">
              <w:rPr>
                <w:rFonts w:ascii="Arial" w:hAnsi="Arial" w:cs="Arial"/>
                <w:noProof/>
                <w:webHidden/>
              </w:rPr>
              <w:tab/>
            </w:r>
            <w:r w:rsidRPr="00B05EC7">
              <w:rPr>
                <w:rFonts w:ascii="Arial" w:hAnsi="Arial" w:cs="Arial"/>
                <w:noProof/>
                <w:webHidden/>
              </w:rPr>
              <w:fldChar w:fldCharType="begin"/>
            </w:r>
            <w:r w:rsidRPr="00B05EC7">
              <w:rPr>
                <w:rFonts w:ascii="Arial" w:hAnsi="Arial" w:cs="Arial"/>
                <w:noProof/>
                <w:webHidden/>
              </w:rPr>
              <w:instrText xml:space="preserve"> PAGEREF _Toc204725770 \h </w:instrText>
            </w:r>
            <w:r w:rsidRPr="00B05EC7">
              <w:rPr>
                <w:rFonts w:ascii="Arial" w:hAnsi="Arial" w:cs="Arial"/>
                <w:noProof/>
                <w:webHidden/>
              </w:rPr>
            </w:r>
            <w:r w:rsidRPr="00B05EC7">
              <w:rPr>
                <w:rFonts w:ascii="Arial" w:hAnsi="Arial" w:cs="Arial"/>
                <w:noProof/>
                <w:webHidden/>
              </w:rPr>
              <w:fldChar w:fldCharType="separate"/>
            </w:r>
            <w:r w:rsidR="00E47223" w:rsidRPr="00B05EC7">
              <w:rPr>
                <w:rFonts w:ascii="Arial" w:hAnsi="Arial" w:cs="Arial"/>
                <w:noProof/>
                <w:webHidden/>
              </w:rPr>
              <w:t>11</w:t>
            </w:r>
            <w:r w:rsidRPr="00B05EC7">
              <w:rPr>
                <w:rFonts w:ascii="Arial" w:hAnsi="Arial" w:cs="Arial"/>
                <w:noProof/>
                <w:webHidden/>
              </w:rPr>
              <w:fldChar w:fldCharType="end"/>
            </w:r>
          </w:hyperlink>
        </w:p>
        <w:p w14:paraId="23CC82BB" w14:textId="21CC4B09" w:rsidR="00255216" w:rsidRPr="00B05EC7" w:rsidRDefault="00255216" w:rsidP="00C56A9B">
          <w:pPr>
            <w:spacing w:line="360" w:lineRule="auto"/>
            <w:jc w:val="both"/>
            <w:rPr>
              <w:rFonts w:ascii="Arial" w:hAnsi="Arial" w:cs="Arial"/>
            </w:rPr>
          </w:pPr>
          <w:r w:rsidRPr="00B05EC7">
            <w:rPr>
              <w:rFonts w:ascii="Arial" w:hAnsi="Arial" w:cs="Arial"/>
              <w:b/>
              <w:bCs/>
              <w:noProof/>
            </w:rPr>
            <w:fldChar w:fldCharType="end"/>
          </w:r>
        </w:p>
      </w:sdtContent>
    </w:sdt>
    <w:p w14:paraId="3E07EDD4" w14:textId="4D9D0CBE" w:rsidR="00255216" w:rsidRPr="00B05EC7" w:rsidRDefault="00255216" w:rsidP="00C56A9B">
      <w:pPr>
        <w:spacing w:line="360" w:lineRule="auto"/>
        <w:jc w:val="both"/>
        <w:rPr>
          <w:rFonts w:ascii="Arial" w:hAnsi="Arial" w:cs="Arial"/>
        </w:rPr>
      </w:pPr>
      <w:r w:rsidRPr="00B05EC7">
        <w:rPr>
          <w:rFonts w:ascii="Arial" w:hAnsi="Arial" w:cs="Arial"/>
        </w:rPr>
        <w:br w:type="page"/>
      </w:r>
    </w:p>
    <w:p w14:paraId="1CFEAAF8" w14:textId="21E3D3A8" w:rsidR="00C825A6" w:rsidRPr="00B05EC7" w:rsidRDefault="00255216" w:rsidP="00B05EC7">
      <w:pPr>
        <w:pStyle w:val="Titlu1"/>
        <w:spacing w:line="360" w:lineRule="auto"/>
        <w:ind w:firstLine="720"/>
        <w:jc w:val="both"/>
        <w:rPr>
          <w:rFonts w:ascii="Arial" w:hAnsi="Arial" w:cs="Arial"/>
        </w:rPr>
      </w:pPr>
      <w:bookmarkStart w:id="0" w:name="_Toc204725762"/>
      <w:r w:rsidRPr="00B05EC7">
        <w:rPr>
          <w:rFonts w:ascii="Arial" w:hAnsi="Arial" w:cs="Arial"/>
        </w:rPr>
        <w:t>Introduction</w:t>
      </w:r>
      <w:bookmarkEnd w:id="0"/>
    </w:p>
    <w:p w14:paraId="563FB011" w14:textId="7E9DEF04" w:rsidR="00255216" w:rsidRPr="00B05EC7" w:rsidRDefault="00FD1C8F" w:rsidP="00C56A9B">
      <w:pPr>
        <w:spacing w:before="240" w:line="360" w:lineRule="auto"/>
        <w:jc w:val="both"/>
        <w:rPr>
          <w:rFonts w:ascii="Arial" w:hAnsi="Arial" w:cs="Arial"/>
        </w:rPr>
      </w:pPr>
      <w:r w:rsidRPr="00B05EC7">
        <w:rPr>
          <w:rFonts w:ascii="Arial" w:hAnsi="Arial" w:cs="Arial"/>
        </w:rPr>
        <w:t>In the globalized world of business, where interactions among various cultures are frequent, understanding cultural differences plays a crucial role in enabling clear communication and building strong professional relationships (</w:t>
      </w:r>
      <w:r w:rsidRPr="00B05EC7">
        <w:rPr>
          <w:rFonts w:ascii="Arial" w:hAnsi="Arial" w:cs="Arial"/>
          <w:kern w:val="0"/>
        </w:rPr>
        <w:t xml:space="preserve">Beckers &amp; </w:t>
      </w:r>
      <w:proofErr w:type="spellStart"/>
      <w:r w:rsidRPr="00B05EC7">
        <w:rPr>
          <w:rFonts w:ascii="Arial" w:hAnsi="Arial" w:cs="Arial"/>
          <w:kern w:val="0"/>
        </w:rPr>
        <w:t>Bsat</w:t>
      </w:r>
      <w:proofErr w:type="spellEnd"/>
      <w:r w:rsidRPr="00B05EC7">
        <w:rPr>
          <w:rFonts w:ascii="Arial" w:hAnsi="Arial" w:cs="Arial"/>
          <w:kern w:val="0"/>
        </w:rPr>
        <w:t>, 2014)</w:t>
      </w:r>
      <w:r w:rsidRPr="00B05EC7">
        <w:rPr>
          <w:rFonts w:ascii="Arial" w:hAnsi="Arial" w:cs="Arial"/>
        </w:rPr>
        <w:t xml:space="preserve">. </w:t>
      </w:r>
      <w:proofErr w:type="spellStart"/>
      <w:r w:rsidRPr="00B05EC7">
        <w:rPr>
          <w:rFonts w:ascii="Arial" w:hAnsi="Arial" w:cs="Arial"/>
        </w:rPr>
        <w:t>Lagare</w:t>
      </w:r>
      <w:proofErr w:type="spellEnd"/>
      <w:r w:rsidRPr="00B05EC7">
        <w:rPr>
          <w:rFonts w:ascii="Arial" w:hAnsi="Arial" w:cs="Arial"/>
        </w:rPr>
        <w:t xml:space="preserve"> (2025) explains that Intercultural communication explores personal interactions shaped by culture, while international communication focuses on macro-level dynamics influenced by politics and national systems. Together, they foster understanding and collaboration across cultural and national boundaries. A partnership between Lloyds Banking Group PLC and Mizuho Financial Group represents a prime example of UK-Japan business collaboration that requires sophisticated understanding of cultural and international communication dynamics. This essay evaluates the fundamental differences in communication styles between UK and Japanese teams, analyses potential sources of misunderstanding, and applies Hofstede's cultural dimensions theory to provide strategic insights for successful cross-cultural business integration.</w:t>
      </w:r>
    </w:p>
    <w:p w14:paraId="39BB8F73" w14:textId="7A5E979F" w:rsidR="00C56A9B" w:rsidRPr="00B05EC7" w:rsidRDefault="00C56A9B" w:rsidP="00B05EC7">
      <w:pPr>
        <w:pStyle w:val="Titlu1"/>
        <w:spacing w:line="360" w:lineRule="auto"/>
        <w:ind w:firstLine="720"/>
        <w:jc w:val="both"/>
        <w:rPr>
          <w:rFonts w:ascii="Arial" w:hAnsi="Arial" w:cs="Arial"/>
        </w:rPr>
      </w:pPr>
      <w:bookmarkStart w:id="1" w:name="_Toc204725763"/>
      <w:r w:rsidRPr="00B05EC7">
        <w:rPr>
          <w:rFonts w:ascii="Arial" w:hAnsi="Arial" w:cs="Arial"/>
        </w:rPr>
        <w:t>Discussion</w:t>
      </w:r>
      <w:bookmarkEnd w:id="1"/>
    </w:p>
    <w:p w14:paraId="1ACF47D4" w14:textId="53E5C3F2" w:rsidR="00C56A9B" w:rsidRPr="00B05EC7" w:rsidRDefault="00C56A9B" w:rsidP="00B05EC7">
      <w:pPr>
        <w:pStyle w:val="Titlu2"/>
        <w:rPr>
          <w:rFonts w:ascii="Arial" w:hAnsi="Arial" w:cs="Arial"/>
        </w:rPr>
      </w:pPr>
      <w:bookmarkStart w:id="2" w:name="_Toc204725764"/>
      <w:r w:rsidRPr="00B05EC7">
        <w:rPr>
          <w:rFonts w:ascii="Arial" w:hAnsi="Arial" w:cs="Arial"/>
        </w:rPr>
        <w:t>Business and cultural background</w:t>
      </w:r>
      <w:bookmarkEnd w:id="2"/>
    </w:p>
    <w:p w14:paraId="263189C7" w14:textId="68811135" w:rsidR="00C56A9B" w:rsidRPr="00B05EC7" w:rsidRDefault="00C56A9B" w:rsidP="00C56A9B">
      <w:pPr>
        <w:spacing w:before="240" w:line="360" w:lineRule="auto"/>
        <w:jc w:val="both"/>
        <w:rPr>
          <w:rFonts w:ascii="Arial" w:hAnsi="Arial" w:cs="Arial"/>
        </w:rPr>
      </w:pPr>
      <w:r w:rsidRPr="00B05EC7">
        <w:rPr>
          <w:rFonts w:ascii="Arial" w:hAnsi="Arial" w:cs="Arial"/>
        </w:rPr>
        <w:t>Lloyds Banking Group Plc, headquartered in London, England, is a UK-based financial services provider specializing in retail and commercial products, offering services such as current accounts, savings, mortgages, loans, credit cards, motor finance, insurance, pensions, and investment management through well-known brands like Lloyds Bank, Halifax, Scottish Widows, and Bank of Scotland, which serve a broad customer base including individuals, small businesses, and corporate clients across the UK and select international markets via branches, ATMs, and digital channels (</w:t>
      </w:r>
      <w:proofErr w:type="spellStart"/>
      <w:r w:rsidRPr="00B05EC7">
        <w:rPr>
          <w:rFonts w:ascii="Arial" w:hAnsi="Arial" w:cs="Arial"/>
        </w:rPr>
        <w:t>Marketline</w:t>
      </w:r>
      <w:proofErr w:type="spellEnd"/>
      <w:r w:rsidRPr="00B05EC7">
        <w:rPr>
          <w:rFonts w:ascii="Arial" w:hAnsi="Arial" w:cs="Arial"/>
        </w:rPr>
        <w:t xml:space="preserve"> Advantage, 2025a). The company’s structure follows the traditional British model of business organization, characterized by distinct divisions and a focus on personalized customer relationships. Its 300-year history (</w:t>
      </w:r>
      <w:r w:rsidRPr="00B05EC7">
        <w:rPr>
          <w:rFonts w:ascii="Arial" w:hAnsi="Arial" w:cs="Arial"/>
          <w:kern w:val="0"/>
          <w:sz w:val="26"/>
          <w:szCs w:val="26"/>
        </w:rPr>
        <w:t>Lloyds Banking Group (n.d.</w:t>
      </w:r>
      <w:r w:rsidRPr="00B05EC7">
        <w:rPr>
          <w:rFonts w:ascii="Arial" w:hAnsi="Arial" w:cs="Arial"/>
        </w:rPr>
        <w:t>) highlights Britain’s preference for maintaining institutional stability and gradual progress instead of abrupt change (Vaughan, 2021).</w:t>
      </w:r>
    </w:p>
    <w:p w14:paraId="40EE9C29" w14:textId="57F4FF5F" w:rsidR="00C56A9B" w:rsidRPr="00B05EC7" w:rsidRDefault="00C56A9B" w:rsidP="00C56A9B">
      <w:pPr>
        <w:spacing w:line="360" w:lineRule="auto"/>
        <w:jc w:val="both"/>
        <w:rPr>
          <w:rFonts w:ascii="Arial" w:hAnsi="Arial" w:cs="Arial"/>
        </w:rPr>
      </w:pPr>
      <w:r w:rsidRPr="00B05EC7">
        <w:rPr>
          <w:rFonts w:ascii="Arial" w:hAnsi="Arial" w:cs="Arial"/>
        </w:rPr>
        <w:t xml:space="preserve">According to </w:t>
      </w:r>
      <w:proofErr w:type="spellStart"/>
      <w:r w:rsidRPr="00B05EC7">
        <w:rPr>
          <w:rFonts w:ascii="Arial" w:hAnsi="Arial" w:cs="Arial"/>
        </w:rPr>
        <w:t>Marketline</w:t>
      </w:r>
      <w:proofErr w:type="spellEnd"/>
      <w:r w:rsidRPr="00B05EC7">
        <w:rPr>
          <w:rFonts w:ascii="Arial" w:hAnsi="Arial" w:cs="Arial"/>
        </w:rPr>
        <w:t xml:space="preserve"> Advantage (2025b) </w:t>
      </w:r>
      <w:proofErr w:type="spellStart"/>
      <w:r w:rsidRPr="00B05EC7">
        <w:rPr>
          <w:rFonts w:ascii="Arial" w:hAnsi="Arial" w:cs="Arial"/>
        </w:rPr>
        <w:t>Mizuho</w:t>
      </w:r>
      <w:proofErr w:type="spellEnd"/>
      <w:r w:rsidRPr="00B05EC7">
        <w:rPr>
          <w:rFonts w:ascii="Arial" w:hAnsi="Arial" w:cs="Arial"/>
        </w:rPr>
        <w:t xml:space="preserve"> Financial Group Inc (MHFG) is a Japan-based financial conglomerate offering a wide range of financial products and services domestically and internationally. Its activities include deposits, lending, asset management, real estate, securitization, structured finance, and securities services (</w:t>
      </w:r>
      <w:r w:rsidRPr="00B05EC7">
        <w:rPr>
          <w:rFonts w:ascii="Arial" w:hAnsi="Arial" w:cs="Arial"/>
          <w:kern w:val="0"/>
          <w:sz w:val="26"/>
          <w:szCs w:val="26"/>
        </w:rPr>
        <w:t>Mizuho Group, 2024</w:t>
      </w:r>
      <w:r w:rsidRPr="00B05EC7">
        <w:rPr>
          <w:rFonts w:ascii="Arial" w:hAnsi="Arial" w:cs="Arial"/>
        </w:rPr>
        <w:t>). Serving individuals, businesses, corporations, and institutions, MHFG also partners with other entities to provide convenient financial solutions. Its headquarters is in Tokyo, Japan and its structure embodies the Japanese focus on collaborative decision-making and the integration of diverse services, reflecting the group-oriented business culture commonly seen in Japan.</w:t>
      </w:r>
    </w:p>
    <w:p w14:paraId="54A68F99" w14:textId="71DDA055" w:rsidR="00C56A9B" w:rsidRPr="00B05EC7" w:rsidRDefault="00C56A9B" w:rsidP="00C56A9B">
      <w:pPr>
        <w:spacing w:line="360" w:lineRule="auto"/>
        <w:jc w:val="both"/>
        <w:rPr>
          <w:rFonts w:ascii="Arial" w:hAnsi="Arial" w:cs="Arial"/>
        </w:rPr>
      </w:pPr>
      <w:r w:rsidRPr="00B05EC7">
        <w:rPr>
          <w:rFonts w:ascii="Arial" w:hAnsi="Arial" w:cs="Arial"/>
        </w:rPr>
        <w:t>The Japanese investment banking and brokerage sector demonstrated steady growth between 2019 and 2024, showing significant momentum in 2024, and is projected to continue expanding robustly through 2024–2029, contributing 4.2% to the global market during this period, a development driven by Japan's economic transformation marked by the end of deflation, renewed growth, and revitalized corporate activity, which collectively present attractive prospects for global investors after three decades of economic stagnation (</w:t>
      </w:r>
      <w:proofErr w:type="spellStart"/>
      <w:r w:rsidRPr="00B05EC7">
        <w:rPr>
          <w:rFonts w:ascii="Arial" w:hAnsi="Arial" w:cs="Arial"/>
        </w:rPr>
        <w:t>Marketline</w:t>
      </w:r>
      <w:proofErr w:type="spellEnd"/>
      <w:r w:rsidRPr="00B05EC7">
        <w:rPr>
          <w:rFonts w:ascii="Arial" w:hAnsi="Arial" w:cs="Arial"/>
        </w:rPr>
        <w:t xml:space="preserve"> Advantage, 2025c). These facts are the start point to a successful business partnership between the two organisations.</w:t>
      </w:r>
    </w:p>
    <w:p w14:paraId="2A889B7C" w14:textId="0B7B0BB1" w:rsidR="00C56A9B" w:rsidRPr="00B05EC7" w:rsidRDefault="00C56A9B" w:rsidP="00C56A9B">
      <w:pPr>
        <w:spacing w:after="240" w:line="360" w:lineRule="auto"/>
        <w:jc w:val="both"/>
        <w:rPr>
          <w:rFonts w:ascii="Arial" w:hAnsi="Arial" w:cs="Arial"/>
        </w:rPr>
      </w:pPr>
      <w:r w:rsidRPr="00B05EC7">
        <w:rPr>
          <w:rFonts w:ascii="Arial" w:hAnsi="Arial" w:cs="Arial"/>
        </w:rPr>
        <w:t>Both institutions, Lloyds Group and Mizuho Group, have shown a clear strategic focus on international collaboration. Mizuho has formed multiple global partnerships, such as its collaboration with the London Stock Exchange Group on sustainability initiatives, reflecting its dedication to expanding international business (LSEG, 2022). These partnerships often involve joint product innovation, shared risk management, and the use of complementary market expertise, all of which rely heavily on effective cross-cultural communication and coordination.</w:t>
      </w:r>
    </w:p>
    <w:p w14:paraId="353057BB" w14:textId="45C3A710" w:rsidR="00C56A9B" w:rsidRPr="00B05EC7" w:rsidRDefault="00C56A9B" w:rsidP="00C56A9B">
      <w:pPr>
        <w:pStyle w:val="Titlu2"/>
        <w:spacing w:line="360" w:lineRule="auto"/>
        <w:jc w:val="both"/>
        <w:rPr>
          <w:rFonts w:ascii="Arial" w:hAnsi="Arial" w:cs="Arial"/>
        </w:rPr>
      </w:pPr>
      <w:bookmarkStart w:id="3" w:name="_Toc204725765"/>
      <w:r w:rsidRPr="00B05EC7">
        <w:rPr>
          <w:rFonts w:ascii="Arial" w:hAnsi="Arial" w:cs="Arial"/>
        </w:rPr>
        <w:t>Importance of Intercultural Communication</w:t>
      </w:r>
      <w:bookmarkEnd w:id="3"/>
    </w:p>
    <w:p w14:paraId="528B91A2" w14:textId="5743FB6B" w:rsidR="00C56A9B" w:rsidRPr="00B05EC7" w:rsidRDefault="00C56A9B" w:rsidP="00C56A9B">
      <w:pPr>
        <w:spacing w:before="240" w:after="240" w:line="360" w:lineRule="auto"/>
        <w:jc w:val="both"/>
        <w:rPr>
          <w:rFonts w:ascii="Arial" w:hAnsi="Arial" w:cs="Arial"/>
        </w:rPr>
      </w:pPr>
      <w:r w:rsidRPr="00B05EC7">
        <w:rPr>
          <w:rFonts w:ascii="Arial" w:hAnsi="Arial" w:cs="Arial"/>
        </w:rPr>
        <w:t xml:space="preserve">However, the key to a successful partnership between entities belonging to different cultures is understanding how important intercultural business communication is. Organizations that prioritize diversity and inclusion are more effective in addressing cross-cultural communication challenges and using cultural diversity as a strategic advantage, according to Oland (2024). Shahid (2022) advises that intercultural communication presents complex challenges for organizations, requiring a comprehensive approach across all levels to address potential issues effectively, as poor management of such communication can jeopardize organizational success, underscoring the importance of understanding and mitigating risks associated with cultural differences. Oland (2024) emphasizes the importance of cultural competence training and professional development programs for employees involved in international business roles, in support to </w:t>
      </w:r>
      <w:proofErr w:type="spellStart"/>
      <w:r w:rsidRPr="00B05EC7">
        <w:rPr>
          <w:rFonts w:ascii="Arial" w:hAnsi="Arial" w:cs="Arial"/>
        </w:rPr>
        <w:t>Hatakka’s</w:t>
      </w:r>
      <w:proofErr w:type="spellEnd"/>
      <w:r w:rsidRPr="00B05EC7">
        <w:rPr>
          <w:rFonts w:ascii="Arial" w:hAnsi="Arial" w:cs="Arial"/>
        </w:rPr>
        <w:t xml:space="preserve"> (2021) belief that understanding culturally shaped identities and recognizing their similarities and differences fosters tolerance and collaboration in both educational settings and professional workplaces.</w:t>
      </w:r>
    </w:p>
    <w:p w14:paraId="27D2F35D" w14:textId="5ADE9A67" w:rsidR="00C56A9B" w:rsidRPr="00B05EC7" w:rsidRDefault="00C56A9B" w:rsidP="00C56A9B">
      <w:pPr>
        <w:pStyle w:val="Titlu2"/>
        <w:spacing w:line="360" w:lineRule="auto"/>
        <w:jc w:val="both"/>
        <w:rPr>
          <w:rFonts w:ascii="Arial" w:hAnsi="Arial" w:cs="Arial"/>
        </w:rPr>
      </w:pPr>
      <w:bookmarkStart w:id="4" w:name="_Toc204725766"/>
      <w:r w:rsidRPr="00B05EC7">
        <w:rPr>
          <w:rFonts w:ascii="Arial" w:hAnsi="Arial" w:cs="Arial"/>
        </w:rPr>
        <w:t>Theoretical Framework - Hofstede’s Cultural Dimensions</w:t>
      </w:r>
      <w:bookmarkEnd w:id="4"/>
    </w:p>
    <w:p w14:paraId="048CD664" w14:textId="586A9A6C" w:rsidR="00C56A9B" w:rsidRPr="00B05EC7" w:rsidRDefault="00C56A9B" w:rsidP="00C56A9B">
      <w:pPr>
        <w:spacing w:before="240" w:line="360" w:lineRule="auto"/>
        <w:jc w:val="both"/>
        <w:rPr>
          <w:rFonts w:ascii="Arial" w:hAnsi="Arial" w:cs="Arial"/>
        </w:rPr>
      </w:pPr>
      <w:r w:rsidRPr="00B05EC7">
        <w:rPr>
          <w:rFonts w:ascii="Arial" w:hAnsi="Arial" w:cs="Arial"/>
        </w:rPr>
        <w:t>According to Nickerson (2023), Hofstede's Cultural Dimensions Theory, developed by Dutch social psychologist Geert Hofstede, provides a structured framework for analysing cross-cultural differences in business settings. Based on a detailed study of IBM employees across 50 countries during the 1970s, the theory, as outlined by Wale (n.d.), identifies six dimensions for comparing national cultures: Power Distance, Individualism versus Collectivism, Masculinity versus Femininity, Uncertainty Avoidance and Long-term versus Short-term Orientation.</w:t>
      </w:r>
    </w:p>
    <w:p w14:paraId="42F541C7" w14:textId="55E95AAA" w:rsidR="00C56A9B" w:rsidRPr="00B05EC7" w:rsidRDefault="00C56A9B" w:rsidP="00C56A9B">
      <w:pPr>
        <w:spacing w:line="360" w:lineRule="auto"/>
        <w:jc w:val="both"/>
        <w:rPr>
          <w:rFonts w:ascii="Arial" w:hAnsi="Arial" w:cs="Arial"/>
        </w:rPr>
      </w:pPr>
      <w:r w:rsidRPr="00B05EC7">
        <w:rPr>
          <w:rFonts w:ascii="Arial" w:hAnsi="Arial" w:cs="Arial"/>
        </w:rPr>
        <w:t xml:space="preserve">According to </w:t>
      </w:r>
      <w:proofErr w:type="spellStart"/>
      <w:r w:rsidRPr="00B05EC7">
        <w:rPr>
          <w:rFonts w:ascii="Arial" w:hAnsi="Arial" w:cs="Arial"/>
          <w:kern w:val="0"/>
          <w:sz w:val="26"/>
          <w:szCs w:val="26"/>
        </w:rPr>
        <w:t>Deresky</w:t>
      </w:r>
      <w:proofErr w:type="spellEnd"/>
      <w:r w:rsidRPr="00B05EC7">
        <w:rPr>
          <w:rFonts w:ascii="Arial" w:hAnsi="Arial" w:cs="Arial"/>
          <w:kern w:val="0"/>
          <w:sz w:val="26"/>
          <w:szCs w:val="26"/>
        </w:rPr>
        <w:t xml:space="preserve"> (2017)</w:t>
      </w:r>
      <w:r w:rsidRPr="00B05EC7">
        <w:rPr>
          <w:rFonts w:ascii="Arial" w:hAnsi="Arial" w:cs="Arial"/>
        </w:rPr>
        <w:t xml:space="preserve"> the first of Hofstede's value dimensions, power distance, refers to the extent to which a society accepts and tolerates the unequal distribution of power within its institutions. Japan's higher power distance (He, 2024), reflects a stronger acceptance of hierarchical structures, evident in formal communication practices, respect for seniority, and organized decision-making processes. In contrast, British teams, accustomed to lower power distance (</w:t>
      </w:r>
      <w:r w:rsidRPr="00B05EC7">
        <w:rPr>
          <w:rFonts w:ascii="Arial" w:hAnsi="Arial" w:cs="Arial"/>
          <w:kern w:val="0"/>
          <w:sz w:val="26"/>
          <w:szCs w:val="26"/>
        </w:rPr>
        <w:t>Byrd Cook, 2023)</w:t>
      </w:r>
      <w:r w:rsidRPr="00B05EC7">
        <w:rPr>
          <w:rFonts w:ascii="Arial" w:hAnsi="Arial" w:cs="Arial"/>
        </w:rPr>
        <w:t>, may perceive Japanese hierarchical communication styles as overly formal or limiting.</w:t>
      </w:r>
    </w:p>
    <w:p w14:paraId="0BB7DCFD" w14:textId="3663CFBC" w:rsidR="00C56A9B" w:rsidRPr="00B05EC7" w:rsidRDefault="00C56A9B" w:rsidP="00C56A9B">
      <w:pPr>
        <w:spacing w:line="360" w:lineRule="auto"/>
        <w:jc w:val="both"/>
        <w:rPr>
          <w:rFonts w:ascii="Arial" w:hAnsi="Arial" w:cs="Arial"/>
        </w:rPr>
      </w:pPr>
      <w:proofErr w:type="spellStart"/>
      <w:r w:rsidRPr="00B05EC7">
        <w:rPr>
          <w:rFonts w:ascii="Arial" w:hAnsi="Arial" w:cs="Arial"/>
        </w:rPr>
        <w:t>Deresky</w:t>
      </w:r>
      <w:proofErr w:type="spellEnd"/>
      <w:r w:rsidRPr="00B05EC7">
        <w:rPr>
          <w:rFonts w:ascii="Arial" w:hAnsi="Arial" w:cs="Arial"/>
        </w:rPr>
        <w:t xml:space="preserve"> (2017) states that uncertainty avoidance refers to the degree to which members of a society feel uncomfortable with ambiguous or uncertain situations, and societies with high levels of uncertainty avoidance, such as Japan, tend to implement strict laws and procedures that individuals follow rigorously, while also fostering a strong sense of nationalism and collective identity within their cultural frameworks. Japan's notably high uncertainty avoidance highlights a cultural inclination toward meticulous planning, thorough risk evaluation, and well-defined processes (He, 2024), which may lead to potential conflicts with British cultural preferences for more flexible, adaptable methods and greater acceptance of ambiguity (</w:t>
      </w:r>
      <w:r w:rsidRPr="00B05EC7">
        <w:rPr>
          <w:rFonts w:ascii="Arial" w:hAnsi="Arial" w:cs="Arial"/>
          <w:kern w:val="0"/>
          <w:sz w:val="26"/>
          <w:szCs w:val="26"/>
        </w:rPr>
        <w:t>Byrd Cook, 2023)</w:t>
      </w:r>
      <w:r w:rsidRPr="00B05EC7">
        <w:rPr>
          <w:rFonts w:ascii="Arial" w:hAnsi="Arial" w:cs="Arial"/>
        </w:rPr>
        <w:t>.</w:t>
      </w:r>
    </w:p>
    <w:p w14:paraId="28031964" w14:textId="79D1E36B" w:rsidR="00C56A9B" w:rsidRPr="00B05EC7" w:rsidRDefault="00C56A9B" w:rsidP="00C56A9B">
      <w:pPr>
        <w:spacing w:line="360" w:lineRule="auto"/>
        <w:jc w:val="both"/>
        <w:rPr>
          <w:rFonts w:ascii="Arial" w:hAnsi="Arial" w:cs="Arial"/>
        </w:rPr>
      </w:pPr>
      <w:r w:rsidRPr="00B05EC7">
        <w:rPr>
          <w:rFonts w:ascii="Arial" w:hAnsi="Arial" w:cs="Arial"/>
        </w:rPr>
        <w:t>The third of Hofstede's value dimensions, individualism, emphasizes the tendency for individuals to prioritize their own needs and those of their immediate families over the collective needs of society, with the primary focus placed on the individual or nuclear family, as seen in nations such as Great Britain, where values such as democracy, personal initiative, and individual achievement are highly regarded, and the emotional relationship between individuals and organizations promotes a sense of independence despite potential economic interdependence (</w:t>
      </w:r>
      <w:proofErr w:type="spellStart"/>
      <w:r w:rsidRPr="00B05EC7">
        <w:rPr>
          <w:rFonts w:ascii="Arial" w:hAnsi="Arial" w:cs="Arial"/>
        </w:rPr>
        <w:t>Deresky</w:t>
      </w:r>
      <w:proofErr w:type="spellEnd"/>
      <w:r w:rsidRPr="00B05EC7">
        <w:rPr>
          <w:rFonts w:ascii="Arial" w:hAnsi="Arial" w:cs="Arial"/>
        </w:rPr>
        <w:t>, 2017). The noticeable difference (UK: 89, Japan: 46) highlights a major cultural distinction. In Britain, communication focuses on individual responsibility, clear self-expression, and autonomous decision-making (</w:t>
      </w:r>
      <w:r w:rsidRPr="00B05EC7">
        <w:rPr>
          <w:rFonts w:ascii="Arial" w:hAnsi="Arial" w:cs="Arial"/>
          <w:kern w:val="0"/>
          <w:sz w:val="26"/>
          <w:szCs w:val="26"/>
        </w:rPr>
        <w:t>Byrd Cook, 2023)</w:t>
      </w:r>
      <w:r w:rsidRPr="00B05EC7">
        <w:rPr>
          <w:rFonts w:ascii="Arial" w:hAnsi="Arial" w:cs="Arial"/>
        </w:rPr>
        <w:t>. In contrast, Japanese communication values group harmony, collective agreement, and shared accountability, often relying on indirect communication to maintain unity within the group. According to He (2024) in contemporary society, Japanese culture emphasizes collectivism, which strongly influences its approach to enterprise management. This is evident in three key features: the lifetime employment system, the seniority-based wage system, and enterprise labour unions. Together, these elements form the foundational pillars of modern Japanese enterprise management, shaping its distinctive and cohesive organizational practices.</w:t>
      </w:r>
    </w:p>
    <w:p w14:paraId="39600127" w14:textId="361565F0" w:rsidR="00C56A9B" w:rsidRPr="00B05EC7" w:rsidRDefault="00C56A9B" w:rsidP="00C56A9B">
      <w:pPr>
        <w:spacing w:line="360" w:lineRule="auto"/>
        <w:jc w:val="both"/>
        <w:rPr>
          <w:rFonts w:ascii="Arial" w:hAnsi="Arial" w:cs="Arial"/>
        </w:rPr>
      </w:pPr>
      <w:r w:rsidRPr="00B05EC7">
        <w:rPr>
          <w:rFonts w:ascii="Arial" w:hAnsi="Arial" w:cs="Arial"/>
        </w:rPr>
        <w:t xml:space="preserve">Masculinity refers to the extent to which a society emphasizes traditionally masculine traits, such as assertiveness, focus on material success, and a limited emphasis on caring for others, as per </w:t>
      </w:r>
      <w:proofErr w:type="spellStart"/>
      <w:r w:rsidRPr="00B05EC7">
        <w:rPr>
          <w:rFonts w:ascii="Arial" w:hAnsi="Arial" w:cs="Arial"/>
        </w:rPr>
        <w:t>Deresky</w:t>
      </w:r>
      <w:proofErr w:type="spellEnd"/>
      <w:r w:rsidRPr="00B05EC7">
        <w:rPr>
          <w:rFonts w:ascii="Arial" w:hAnsi="Arial" w:cs="Arial"/>
        </w:rPr>
        <w:t xml:space="preserve"> (2017). Japan ranks highest in masculinity with a score of 95 (Miller, 2022), reflecting a pronounced masculine orientation in its societal values. This is characterized by a strong emphasis on competition, where success is primarily measured by achievements such as wealth and recognition. The society encourages dedication to work, valuing workaholics and promoting decisive conflict resolution within organizations, while prioritizing fair competition and performance outcomes. Consequently, Japanese society tends to adopt a more stringent and disciplined approach to social and professional behaviour (He, 2024).</w:t>
      </w:r>
    </w:p>
    <w:p w14:paraId="19561FEF" w14:textId="64B621AC" w:rsidR="00C56A9B" w:rsidRPr="00B05EC7" w:rsidRDefault="00C56A9B" w:rsidP="00C56A9B">
      <w:pPr>
        <w:pStyle w:val="Titlu2"/>
        <w:spacing w:line="360" w:lineRule="auto"/>
        <w:jc w:val="both"/>
        <w:rPr>
          <w:rFonts w:ascii="Arial" w:hAnsi="Arial" w:cs="Arial"/>
        </w:rPr>
      </w:pPr>
      <w:bookmarkStart w:id="5" w:name="_Toc204725767"/>
      <w:r w:rsidRPr="00B05EC7">
        <w:rPr>
          <w:rFonts w:ascii="Arial" w:hAnsi="Arial" w:cs="Arial"/>
        </w:rPr>
        <w:t>Communication styles</w:t>
      </w:r>
      <w:bookmarkEnd w:id="5"/>
    </w:p>
    <w:p w14:paraId="21C63303" w14:textId="13748E6B" w:rsidR="00C56A9B" w:rsidRPr="00B05EC7" w:rsidRDefault="00C56A9B" w:rsidP="00C56A9B">
      <w:pPr>
        <w:spacing w:before="240" w:line="360" w:lineRule="auto"/>
        <w:jc w:val="both"/>
        <w:rPr>
          <w:rFonts w:ascii="Arial" w:hAnsi="Arial" w:cs="Arial"/>
        </w:rPr>
      </w:pPr>
      <w:r w:rsidRPr="00B05EC7">
        <w:rPr>
          <w:rFonts w:ascii="Arial" w:hAnsi="Arial" w:cs="Arial"/>
        </w:rPr>
        <w:t>According to Khan and Ebner (2018), a clear example of the Neutral versus Affective cultural distinction can be observed in how individuals from neutral cultures, such as the British and Japanese, tend to avoid openly expressing their emotions during negotiations. Furthermore, as noted by Stadler (2019), status and power significantly influence language choices in Japanese society, where the honorific system is so intricate and nuanced that even using personal pronouns becomes a highly sensitive matter. The decision to use personal pronouns is often complicated by factors such as status, social distance, age, and gender, creating a situation so intricate and consequential that Japanese speakers frequently choose to avoid personal pronouns altogether.</w:t>
      </w:r>
    </w:p>
    <w:p w14:paraId="20B17B9F" w14:textId="38795532" w:rsidR="00C56A9B" w:rsidRPr="00B05EC7" w:rsidRDefault="00C56A9B" w:rsidP="00C56A9B">
      <w:pPr>
        <w:spacing w:line="360" w:lineRule="auto"/>
        <w:jc w:val="both"/>
        <w:rPr>
          <w:rFonts w:ascii="Arial" w:hAnsi="Arial" w:cs="Arial"/>
        </w:rPr>
      </w:pPr>
      <w:r w:rsidRPr="00B05EC7">
        <w:rPr>
          <w:rFonts w:ascii="Arial" w:hAnsi="Arial" w:cs="Arial"/>
        </w:rPr>
        <w:t>Operating within the historically influenced yet globally integrated framework of British commerce, professionals often express their intentions using clear and straightforward language that minimizes ambiguity, enhancing the efficiency of negotiations, project discussions, and decision-making (</w:t>
      </w:r>
      <w:r w:rsidRPr="00B05EC7">
        <w:rPr>
          <w:rFonts w:ascii="Arial" w:hAnsi="Arial" w:cs="Arial"/>
          <w:kern w:val="0"/>
          <w:sz w:val="26"/>
          <w:szCs w:val="26"/>
        </w:rPr>
        <w:t>University of Surrey, n.d.)</w:t>
      </w:r>
      <w:r w:rsidRPr="00B05EC7">
        <w:rPr>
          <w:rFonts w:ascii="Arial" w:hAnsi="Arial" w:cs="Arial"/>
        </w:rPr>
        <w:t>. This approach reflects a long-standing cultural emphasis on clarity, rooted in traditions such as contractual precision and parliamentary debate. Alongside this direct communication style is a strong belief in personal accountability. Meetings typically involve assigning tasks, deadlines, and accomplishments to specific individuals, fostering both transparency and measurable benchmarks for performance evaluation.</w:t>
      </w:r>
    </w:p>
    <w:p w14:paraId="53E0563B" w14:textId="61CEB5C4" w:rsidR="00C56A9B" w:rsidRPr="00B05EC7" w:rsidRDefault="00C56A9B" w:rsidP="00C56A9B">
      <w:pPr>
        <w:spacing w:line="360" w:lineRule="auto"/>
        <w:jc w:val="both"/>
        <w:rPr>
          <w:rFonts w:ascii="Arial" w:hAnsi="Arial" w:cs="Arial"/>
        </w:rPr>
      </w:pPr>
      <w:r w:rsidRPr="00B05EC7">
        <w:rPr>
          <w:rFonts w:ascii="Arial" w:hAnsi="Arial" w:cs="Arial"/>
        </w:rPr>
        <w:t xml:space="preserve">In response to fast-changing markets and regulatory shifts, British teams prioritize pragmatic adaptability. They demonstrate a willingness to abandon outdated strategies, revise plans, and embrace innovative ideas regardless of hierarchy, according to evidence that supports better approaches. This openness to constructive change reflects a culture that integrates flexibility and innovation as key drivers of success. </w:t>
      </w:r>
    </w:p>
    <w:p w14:paraId="5960DA05" w14:textId="18DFB9AD" w:rsidR="00C56A9B" w:rsidRPr="00B05EC7" w:rsidRDefault="00C56A9B" w:rsidP="00C56A9B">
      <w:pPr>
        <w:spacing w:line="360" w:lineRule="auto"/>
        <w:jc w:val="both"/>
        <w:rPr>
          <w:rFonts w:ascii="Arial" w:hAnsi="Arial" w:cs="Arial"/>
        </w:rPr>
      </w:pPr>
      <w:r w:rsidRPr="00B05EC7">
        <w:rPr>
          <w:rFonts w:ascii="Arial" w:hAnsi="Arial" w:cs="Arial"/>
        </w:rPr>
        <w:t>Despite these dynamic work practices, professional interactions in Britain retain a degree of formality. Courteous greetings, polite language, and punctuality are standard, creating an atmosphere of respect and professionalism. However, once relationships are established, interactions may shift toward informality, incorporating humour and first-name address to balance approachability with professionalism, ensuring lasting and effective working relationships. According to Slater (2020), most British individuals tend to prefer being addressed by their first name rather than using formal titles such as Mr. or Mrs., as these are no longer a significant concern in their culture. Professional titles are generally reserved for specific groups, including medical doctors, members of the uniformed services, clergy, and academics, particularly in business interactions.</w:t>
      </w:r>
    </w:p>
    <w:p w14:paraId="46629600" w14:textId="77777777" w:rsidR="00C56A9B" w:rsidRPr="00B05EC7" w:rsidRDefault="00C56A9B" w:rsidP="00C56A9B">
      <w:pPr>
        <w:spacing w:line="360" w:lineRule="auto"/>
        <w:jc w:val="both"/>
        <w:rPr>
          <w:rFonts w:ascii="Arial" w:hAnsi="Arial" w:cs="Arial"/>
        </w:rPr>
      </w:pPr>
      <w:r w:rsidRPr="00B05EC7">
        <w:rPr>
          <w:rFonts w:ascii="Arial" w:hAnsi="Arial" w:cs="Arial"/>
        </w:rPr>
        <w:t>Japanese business communication is deeply rooted in cultural values that prioritize harmony, respect, and collective decision-making, according to Jain (2024). These principles shape its distinct characteristics, ensuring smooth interactions and minimizing conflict in professional settings.</w:t>
      </w:r>
    </w:p>
    <w:p w14:paraId="4F215631" w14:textId="71EFC0E2" w:rsidR="00C56A9B" w:rsidRPr="00B05EC7" w:rsidRDefault="00C56A9B" w:rsidP="00C56A9B">
      <w:pPr>
        <w:spacing w:line="360" w:lineRule="auto"/>
        <w:jc w:val="both"/>
        <w:rPr>
          <w:rFonts w:ascii="Arial" w:hAnsi="Arial" w:cs="Arial"/>
        </w:rPr>
      </w:pPr>
      <w:r w:rsidRPr="00B05EC7">
        <w:rPr>
          <w:rFonts w:ascii="Arial" w:hAnsi="Arial" w:cs="Arial"/>
        </w:rPr>
        <w:t>One key aspect is indirect communication, which reflects Japan's high-context communication style. This approach requires individuals to “read the air” (</w:t>
      </w:r>
      <w:proofErr w:type="spellStart"/>
      <w:r w:rsidRPr="00B05EC7">
        <w:rPr>
          <w:rFonts w:ascii="Arial" w:hAnsi="Arial" w:cs="Arial"/>
        </w:rPr>
        <w:t>kuuki</w:t>
      </w:r>
      <w:proofErr w:type="spellEnd"/>
      <w:r w:rsidRPr="00B05EC7">
        <w:rPr>
          <w:rFonts w:ascii="Arial" w:hAnsi="Arial" w:cs="Arial"/>
        </w:rPr>
        <w:t xml:space="preserve"> o </w:t>
      </w:r>
      <w:proofErr w:type="spellStart"/>
      <w:r w:rsidRPr="00B05EC7">
        <w:rPr>
          <w:rFonts w:ascii="Arial" w:hAnsi="Arial" w:cs="Arial"/>
        </w:rPr>
        <w:t>yomu</w:t>
      </w:r>
      <w:proofErr w:type="spellEnd"/>
      <w:r w:rsidRPr="00B05EC7">
        <w:rPr>
          <w:rFonts w:ascii="Arial" w:hAnsi="Arial" w:cs="Arial"/>
        </w:rPr>
        <w:t>), a practice of interpreting subtle cues and unspoken meanings to grasp the underlying messages, as noted by Lufkin (2020). Directly expressing opinions or criticism is uncommon, as indirectness is seen as a way to preserve group cohesion and avoid interpersonal tension.</w:t>
      </w:r>
    </w:p>
    <w:p w14:paraId="4CF4679F" w14:textId="0BE5055F" w:rsidR="00C56A9B" w:rsidRPr="00B05EC7" w:rsidRDefault="00C56A9B" w:rsidP="00C56A9B">
      <w:pPr>
        <w:spacing w:line="360" w:lineRule="auto"/>
        <w:jc w:val="both"/>
        <w:rPr>
          <w:rFonts w:ascii="Arial" w:hAnsi="Arial" w:cs="Arial"/>
        </w:rPr>
      </w:pPr>
      <w:r w:rsidRPr="00B05EC7">
        <w:rPr>
          <w:rFonts w:ascii="Arial" w:hAnsi="Arial" w:cs="Arial"/>
        </w:rPr>
        <w:t>Another essential feature is hierarchical respect, which emphasizes formal protocols and the use of “</w:t>
      </w:r>
      <w:proofErr w:type="spellStart"/>
      <w:r w:rsidRPr="00B05EC7">
        <w:rPr>
          <w:rFonts w:ascii="Arial" w:hAnsi="Arial" w:cs="Arial"/>
        </w:rPr>
        <w:t>keigo</w:t>
      </w:r>
      <w:proofErr w:type="spellEnd"/>
      <w:r w:rsidRPr="00B05EC7">
        <w:rPr>
          <w:rFonts w:ascii="Arial" w:hAnsi="Arial" w:cs="Arial"/>
        </w:rPr>
        <w:t>”, or honorific language, to show deference based on status and seniority, according to Jain (2024). Strict adherence to these practices reflects a deep respect for organizational hierarchy and ensures interactions remain respectful and dignified within professional environments.</w:t>
      </w:r>
    </w:p>
    <w:p w14:paraId="57382616" w14:textId="5FC5FC7C" w:rsidR="00C56A9B" w:rsidRPr="00B05EC7" w:rsidRDefault="00C56A9B" w:rsidP="00C56A9B">
      <w:pPr>
        <w:spacing w:line="360" w:lineRule="auto"/>
        <w:jc w:val="both"/>
        <w:rPr>
          <w:rFonts w:ascii="Arial" w:hAnsi="Arial" w:cs="Arial"/>
        </w:rPr>
      </w:pPr>
      <w:r w:rsidRPr="00B05EC7">
        <w:rPr>
          <w:rFonts w:ascii="Arial" w:hAnsi="Arial" w:cs="Arial"/>
        </w:rPr>
        <w:t>Furthermore, Japanese business communication heavily values group harmony, or “</w:t>
      </w:r>
      <w:proofErr w:type="spellStart"/>
      <w:r w:rsidRPr="00B05EC7">
        <w:rPr>
          <w:rFonts w:ascii="Arial" w:hAnsi="Arial" w:cs="Arial"/>
        </w:rPr>
        <w:t>wa</w:t>
      </w:r>
      <w:proofErr w:type="spellEnd"/>
      <w:r w:rsidRPr="00B05EC7">
        <w:rPr>
          <w:rFonts w:ascii="Arial" w:hAnsi="Arial" w:cs="Arial"/>
        </w:rPr>
        <w:t xml:space="preserve">”, which involves avoiding direct confrontation and prioritizing collective wellbeing, as highlighted by </w:t>
      </w:r>
      <w:proofErr w:type="spellStart"/>
      <w:r w:rsidRPr="00B05EC7">
        <w:rPr>
          <w:rFonts w:ascii="Arial" w:hAnsi="Arial" w:cs="Arial"/>
        </w:rPr>
        <w:t>Terzuolo</w:t>
      </w:r>
      <w:proofErr w:type="spellEnd"/>
      <w:r w:rsidRPr="00B05EC7">
        <w:rPr>
          <w:rFonts w:ascii="Arial" w:hAnsi="Arial" w:cs="Arial"/>
        </w:rPr>
        <w:t xml:space="preserve"> (2018). Maintaining harmonious relationships is considered vital for fostering trust and effective collaboration within teams and organizations.</w:t>
      </w:r>
    </w:p>
    <w:p w14:paraId="201A0657" w14:textId="57AF357B" w:rsidR="00C56A9B" w:rsidRPr="00B05EC7" w:rsidRDefault="00C56A9B" w:rsidP="00C56A9B">
      <w:pPr>
        <w:spacing w:line="360" w:lineRule="auto"/>
        <w:jc w:val="both"/>
        <w:rPr>
          <w:rFonts w:ascii="Arial" w:hAnsi="Arial" w:cs="Arial"/>
        </w:rPr>
      </w:pPr>
      <w:r w:rsidRPr="00B05EC7">
        <w:rPr>
          <w:rFonts w:ascii="Arial" w:hAnsi="Arial" w:cs="Arial"/>
        </w:rPr>
        <w:t>Finally, consensus building plays a central role in Japanese decision-making processes. According to Emmerson (2014), decisions are typically developed through extensive consultation, with all involved parties contributing their perspectives. This gradual process ensures that the final outcome reflects a shared agreement, creating a sense of unity and fairness.</w:t>
      </w:r>
    </w:p>
    <w:p w14:paraId="60E45548" w14:textId="2172041C" w:rsidR="00C56A9B" w:rsidRPr="00B05EC7" w:rsidRDefault="00C56A9B" w:rsidP="00C56A9B">
      <w:pPr>
        <w:spacing w:line="360" w:lineRule="auto"/>
        <w:jc w:val="both"/>
        <w:rPr>
          <w:rFonts w:ascii="Arial" w:hAnsi="Arial" w:cs="Arial"/>
        </w:rPr>
      </w:pPr>
      <w:r w:rsidRPr="00B05EC7">
        <w:rPr>
          <w:rFonts w:ascii="Arial" w:hAnsi="Arial" w:cs="Arial"/>
        </w:rPr>
        <w:t>Overall, Japanese business communication combines indirectness, respect, harmony, and consensus to promote an environment of mutual understanding and cooperation in professional interactions.</w:t>
      </w:r>
    </w:p>
    <w:p w14:paraId="17C69BC0" w14:textId="3A36BC58" w:rsidR="00C56A9B" w:rsidRPr="00B05EC7" w:rsidRDefault="00C56A9B" w:rsidP="00C56A9B">
      <w:pPr>
        <w:spacing w:line="360" w:lineRule="auto"/>
        <w:jc w:val="both"/>
        <w:rPr>
          <w:rFonts w:ascii="Arial" w:hAnsi="Arial" w:cs="Arial"/>
        </w:rPr>
      </w:pPr>
      <w:r w:rsidRPr="00B05EC7">
        <w:rPr>
          <w:rFonts w:ascii="Arial" w:hAnsi="Arial" w:cs="Arial"/>
        </w:rPr>
        <w:t>The key distinction lies in the contrast between high-context and low-context communication styles. British communication follows a low-context style, where messages are clearly articulated, leaving little to infer. In contrast, Japanese communication relies on a high-context style, where understanding is shaped by situational factors, non-verbal cues, and shared cultural norms.</w:t>
      </w:r>
    </w:p>
    <w:p w14:paraId="3951E42D" w14:textId="77777777" w:rsidR="00C56A9B" w:rsidRPr="00B05EC7" w:rsidRDefault="00C56A9B" w:rsidP="00C56A9B">
      <w:pPr>
        <w:spacing w:line="360" w:lineRule="auto"/>
        <w:jc w:val="both"/>
        <w:rPr>
          <w:rFonts w:ascii="Arial" w:hAnsi="Arial" w:cs="Arial"/>
        </w:rPr>
      </w:pPr>
      <w:r w:rsidRPr="00B05EC7">
        <w:rPr>
          <w:rFonts w:ascii="Arial" w:hAnsi="Arial" w:cs="Arial"/>
        </w:rPr>
        <w:t>In terms of silence and pause, Japanese culture views silence during discussions as a sign of thoughtfulness and respect, often lasting 5-10 seconds. However, British professionals, accustomed to shorter pauses of 2-3 seconds, may misinterpret such silence as confusion or dissent and, as a result, might fill the gap with unnecessary elaboration.</w:t>
      </w:r>
    </w:p>
    <w:p w14:paraId="4B3336BD" w14:textId="15AB5A82" w:rsidR="00C56A9B" w:rsidRPr="00B05EC7" w:rsidRDefault="00C56A9B" w:rsidP="00C56A9B">
      <w:pPr>
        <w:spacing w:after="240" w:line="360" w:lineRule="auto"/>
        <w:jc w:val="both"/>
        <w:rPr>
          <w:rFonts w:ascii="Arial" w:hAnsi="Arial" w:cs="Arial"/>
        </w:rPr>
      </w:pPr>
      <w:r w:rsidRPr="00B05EC7">
        <w:rPr>
          <w:rFonts w:ascii="Arial" w:hAnsi="Arial" w:cs="Arial"/>
        </w:rPr>
        <w:t>When it comes to feedback and criticism, British teams tend to provide straightforward feedback aimed at improving tasks. On the other hand, Japanese teams use indirect approaches to maintain harmony and avoid embarrassing others. What British colleagues see as constructive feedback might be interpreted by Japanese counterparts as a threat to maintaining dignity and respect.</w:t>
      </w:r>
    </w:p>
    <w:p w14:paraId="3C0820BA" w14:textId="3CB7765D" w:rsidR="00C56A9B" w:rsidRPr="00B05EC7" w:rsidRDefault="00C56A9B" w:rsidP="00C56A9B">
      <w:pPr>
        <w:pStyle w:val="Titlu2"/>
        <w:rPr>
          <w:rFonts w:ascii="Arial" w:hAnsi="Arial" w:cs="Arial"/>
        </w:rPr>
      </w:pPr>
      <w:bookmarkStart w:id="6" w:name="_Toc204725768"/>
      <w:r w:rsidRPr="00B05EC7">
        <w:rPr>
          <w:rFonts w:ascii="Arial" w:hAnsi="Arial" w:cs="Arial"/>
        </w:rPr>
        <w:t>Potential Misunderstandings and Miscommunications - Case studies</w:t>
      </w:r>
      <w:bookmarkEnd w:id="6"/>
    </w:p>
    <w:p w14:paraId="2014B812" w14:textId="5875F4AA" w:rsidR="00C56A9B" w:rsidRPr="00B05EC7" w:rsidRDefault="00C56A9B" w:rsidP="00C56A9B">
      <w:pPr>
        <w:spacing w:before="240" w:line="360" w:lineRule="auto"/>
        <w:jc w:val="both"/>
        <w:rPr>
          <w:rFonts w:ascii="Arial" w:hAnsi="Arial" w:cs="Arial"/>
        </w:rPr>
      </w:pPr>
      <w:r w:rsidRPr="00B05EC7">
        <w:rPr>
          <w:rFonts w:ascii="Arial" w:hAnsi="Arial" w:cs="Arial"/>
          <w:kern w:val="0"/>
        </w:rPr>
        <w:t>Khan &amp; Ebner (2018)</w:t>
      </w:r>
      <w:r w:rsidRPr="00B05EC7">
        <w:rPr>
          <w:rFonts w:ascii="Arial" w:hAnsi="Arial" w:cs="Arial"/>
        </w:rPr>
        <w:t xml:space="preserve"> point out that frustration and confusion commonly arise when negotiators from different cultures fail to comprehend one another and misinterpret each other's messages.</w:t>
      </w:r>
    </w:p>
    <w:p w14:paraId="2F57F25F" w14:textId="77777777" w:rsidR="00C56A9B" w:rsidRPr="00B05EC7" w:rsidRDefault="00C56A9B" w:rsidP="00C56A9B">
      <w:pPr>
        <w:spacing w:line="360" w:lineRule="auto"/>
        <w:jc w:val="both"/>
        <w:rPr>
          <w:rFonts w:ascii="Arial" w:hAnsi="Arial" w:cs="Arial"/>
        </w:rPr>
      </w:pPr>
      <w:r w:rsidRPr="00B05EC7">
        <w:rPr>
          <w:rFonts w:ascii="Arial" w:hAnsi="Arial" w:cs="Arial"/>
        </w:rPr>
        <w:t xml:space="preserve">According to a case study conducted by Berkland &amp; Buxbaum (2023), significant distinctions were identified between how trustworthiness is conceptualized in Japanese and U.S. business contexts, with these variations reflecting broader cultural orientations. In an experiment involving the categorization of 30 trust-related terms, Japanese business professionals were found to prioritize organizational commitment as a marker of trustworthiness, whereas their U.S. counterparts emphasized personal integrity as it pertains to an individual’s autonomy. These contrasting perspectives align with cultural tendencies along the collectivism versus individualism spectrum and with divergent interdependent and independent approaches to evaluating trustworthiness. While the contrast between Japan’s collectivist cultural framework and the individualist ethos of the United States is well established, global professionals benefit from maintaining a nuanced awareness of such differences in trust judgments when navigating cross-cultural business interactions. A deeper understanding of these cultural distinctions, according to the study, has the potential to foster improved interpersonal communication and enhance organizational health in intercultural contexts. </w:t>
      </w:r>
    </w:p>
    <w:p w14:paraId="345BF09F" w14:textId="0D8954A9" w:rsidR="00C56A9B" w:rsidRPr="00B05EC7" w:rsidRDefault="00C56A9B" w:rsidP="00C56A9B">
      <w:pPr>
        <w:spacing w:line="360" w:lineRule="auto"/>
        <w:jc w:val="both"/>
        <w:rPr>
          <w:rFonts w:ascii="Arial" w:hAnsi="Arial" w:cs="Arial"/>
        </w:rPr>
      </w:pPr>
      <w:r w:rsidRPr="00B05EC7">
        <w:rPr>
          <w:rFonts w:ascii="Arial" w:hAnsi="Arial" w:cs="Arial"/>
        </w:rPr>
        <w:t>On the other hand, Stadler (2019) presents a scenario involving a partnership between a British group and a Chinese group, as part of HEFCE’s eChina-UK project, highlighting the potential harm that can arise from assuming language preferences without discussion. In this example, the Chinese participants were notably dissatisfied because the working language was never addressed, and the British side simply presumed that all communication would occur in English. This assumption placed the Chinese group at a disadvantage in several ways, including limited access to communication for non-English-speaking members, the burden of translating all documents and correspondence between English and Chinese, and the financial costs associated with these translation efforts. Expressing frustration at what they perceived as a one-sided expectation, the Chinese participants insisted that the British team should take steps to learn basic Chinese, emphasizing that communication responsibilities should be reciprocal. According to Stadler, this incident demonstrates how treating the choice of language casually can lead to significant setbacks, as seen in the project; the issue was only resolved during the second phase, when British participants began attending language classes to address the imbalance.</w:t>
      </w:r>
    </w:p>
    <w:p w14:paraId="30AED502" w14:textId="77777777" w:rsidR="00C56A9B" w:rsidRPr="00B05EC7" w:rsidRDefault="00C56A9B" w:rsidP="00C56A9B">
      <w:pPr>
        <w:spacing w:line="360" w:lineRule="auto"/>
        <w:jc w:val="both"/>
        <w:rPr>
          <w:rFonts w:ascii="Arial" w:eastAsiaTheme="majorEastAsia" w:hAnsi="Arial" w:cs="Arial"/>
          <w:color w:val="0F4761" w:themeColor="accent1" w:themeShade="BF"/>
          <w:sz w:val="40"/>
          <w:szCs w:val="40"/>
        </w:rPr>
      </w:pPr>
      <w:r w:rsidRPr="00B05EC7">
        <w:rPr>
          <w:rFonts w:ascii="Arial" w:hAnsi="Arial" w:cs="Arial"/>
        </w:rPr>
        <w:br w:type="page"/>
      </w:r>
    </w:p>
    <w:p w14:paraId="4DC11ADD" w14:textId="676534FE" w:rsidR="00255216" w:rsidRPr="00B05EC7" w:rsidRDefault="00255216" w:rsidP="00C56A9B">
      <w:pPr>
        <w:pStyle w:val="Titlu1"/>
        <w:spacing w:line="360" w:lineRule="auto"/>
        <w:jc w:val="both"/>
        <w:rPr>
          <w:rFonts w:ascii="Arial" w:hAnsi="Arial" w:cs="Arial"/>
        </w:rPr>
      </w:pPr>
      <w:bookmarkStart w:id="7" w:name="_Toc204725769"/>
      <w:r w:rsidRPr="00B05EC7">
        <w:rPr>
          <w:rFonts w:ascii="Arial" w:hAnsi="Arial" w:cs="Arial"/>
        </w:rPr>
        <w:t>Conclusion</w:t>
      </w:r>
      <w:bookmarkEnd w:id="7"/>
    </w:p>
    <w:p w14:paraId="78F80DEC" w14:textId="3959885C" w:rsidR="00255216" w:rsidRPr="00B05EC7" w:rsidRDefault="00E47223" w:rsidP="00C56A9B">
      <w:pPr>
        <w:spacing w:line="360" w:lineRule="auto"/>
        <w:jc w:val="both"/>
        <w:rPr>
          <w:rFonts w:ascii="Arial" w:hAnsi="Arial" w:cs="Arial"/>
        </w:rPr>
      </w:pPr>
      <w:r w:rsidRPr="00B05EC7">
        <w:rPr>
          <w:rFonts w:ascii="Arial" w:hAnsi="Arial" w:cs="Arial"/>
        </w:rPr>
        <w:t>The essay explored the vital importance of effective communication in multinational teams, using the partnership between Lloyds Banking Group (UK) and Mizuho Financial Group (Japan) as a case study. It highlighted how differing cultural norms, shaped by factors such as Hofstede’s cultural dimensions, power distance, and communication styles, can lead to misunderstandings in international collaboration. While British communication favours directness, autonomy, and low-context exchanges, Japanese teams rely on hierarchical structure, consensus-building, and indirect messaging. These contrasting communication approaches, if unaddressed, can hinder trust, delay decision-making, and reduce team cohesion.</w:t>
      </w:r>
    </w:p>
    <w:p w14:paraId="283D078A" w14:textId="54BCFB20" w:rsidR="00255216" w:rsidRPr="00B05EC7" w:rsidRDefault="00E47223" w:rsidP="00C56A9B">
      <w:pPr>
        <w:spacing w:line="360" w:lineRule="auto"/>
        <w:jc w:val="both"/>
        <w:rPr>
          <w:rFonts w:ascii="Arial" w:eastAsiaTheme="majorEastAsia" w:hAnsi="Arial" w:cs="Arial"/>
          <w:color w:val="0F4761" w:themeColor="accent1" w:themeShade="BF"/>
          <w:sz w:val="40"/>
          <w:szCs w:val="40"/>
        </w:rPr>
      </w:pPr>
      <w:r w:rsidRPr="00B05EC7">
        <w:rPr>
          <w:rFonts w:ascii="Arial" w:hAnsi="Arial" w:cs="Arial"/>
        </w:rPr>
        <w:t>To bridge these cultural differences and foster effective interaction, several actions are recommended. These include implementing cross-cultural training, establishing clear communication protocols, and encouraging psychological safety where diverse voices can be heard. Additionally, relationship-building activities, culturally sensitive feedback practices, and a balanced communication style can enhance understanding and cooperation across borders. Fostering mutual respect and adapting communication practices to reflect cultural nuances enables multinational teams to function more cohesively and achieve shared goals.</w:t>
      </w:r>
      <w:r w:rsidR="00255216" w:rsidRPr="00B05EC7">
        <w:rPr>
          <w:rFonts w:ascii="Arial" w:hAnsi="Arial" w:cs="Arial"/>
        </w:rPr>
        <w:br w:type="page"/>
      </w:r>
    </w:p>
    <w:p w14:paraId="19190FCC" w14:textId="26CAF051" w:rsidR="00B05EC7" w:rsidRPr="00B05EC7" w:rsidRDefault="00255216" w:rsidP="00B05EC7">
      <w:pPr>
        <w:pStyle w:val="Titlu1"/>
        <w:spacing w:line="360" w:lineRule="auto"/>
        <w:jc w:val="both"/>
        <w:rPr>
          <w:rFonts w:ascii="Arial" w:hAnsi="Arial" w:cs="Arial"/>
        </w:rPr>
      </w:pPr>
      <w:bookmarkStart w:id="8" w:name="_Toc204725770"/>
      <w:r w:rsidRPr="00B05EC7">
        <w:rPr>
          <w:rFonts w:ascii="Arial" w:hAnsi="Arial" w:cs="Arial"/>
        </w:rPr>
        <w:t>References</w:t>
      </w:r>
      <w:bookmarkEnd w:id="8"/>
    </w:p>
    <w:p w14:paraId="717FD102"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Beckers, A.M. &amp; </w:t>
      </w:r>
      <w:proofErr w:type="spellStart"/>
      <w:r w:rsidRPr="00B05EC7">
        <w:rPr>
          <w:rFonts w:ascii="Arial" w:hAnsi="Arial" w:cs="Arial"/>
          <w:kern w:val="0"/>
          <w:sz w:val="26"/>
          <w:szCs w:val="26"/>
        </w:rPr>
        <w:t>Bsat</w:t>
      </w:r>
      <w:proofErr w:type="spellEnd"/>
      <w:r w:rsidRPr="00B05EC7">
        <w:rPr>
          <w:rFonts w:ascii="Arial" w:hAnsi="Arial" w:cs="Arial"/>
          <w:kern w:val="0"/>
          <w:sz w:val="26"/>
          <w:szCs w:val="26"/>
        </w:rPr>
        <w:t xml:space="preserve">, M.Z. (2014) "AN ANALYSIS OF INTERCULTURAL BUSINESS COMMUNICATION", </w:t>
      </w:r>
      <w:r w:rsidRPr="00B05EC7">
        <w:rPr>
          <w:rFonts w:ascii="Arial" w:hAnsi="Arial" w:cs="Arial"/>
          <w:i/>
          <w:iCs/>
          <w:kern w:val="0"/>
          <w:sz w:val="26"/>
          <w:szCs w:val="26"/>
        </w:rPr>
        <w:t xml:space="preserve">Journal of Business and </w:t>
      </w:r>
      <w:proofErr w:type="spellStart"/>
      <w:r w:rsidRPr="00B05EC7">
        <w:rPr>
          <w:rFonts w:ascii="Arial" w:hAnsi="Arial" w:cs="Arial"/>
          <w:i/>
          <w:iCs/>
          <w:kern w:val="0"/>
          <w:sz w:val="26"/>
          <w:szCs w:val="26"/>
        </w:rPr>
        <w:t>Behavioral</w:t>
      </w:r>
      <w:proofErr w:type="spellEnd"/>
      <w:r w:rsidRPr="00B05EC7">
        <w:rPr>
          <w:rFonts w:ascii="Arial" w:hAnsi="Arial" w:cs="Arial"/>
          <w:i/>
          <w:iCs/>
          <w:kern w:val="0"/>
          <w:sz w:val="26"/>
          <w:szCs w:val="26"/>
        </w:rPr>
        <w:t xml:space="preserve"> Sciences, </w:t>
      </w:r>
      <w:r w:rsidRPr="00B05EC7">
        <w:rPr>
          <w:rFonts w:ascii="Arial" w:hAnsi="Arial" w:cs="Arial"/>
          <w:kern w:val="0"/>
          <w:sz w:val="26"/>
          <w:szCs w:val="26"/>
        </w:rPr>
        <w:t xml:space="preserve">vol. 26, no. 3, pp. 143-153. Available at: </w:t>
      </w:r>
      <w:hyperlink r:id="rId5" w:history="1">
        <w:r w:rsidRPr="00B05EC7">
          <w:rPr>
            <w:rFonts w:ascii="Arial" w:hAnsi="Arial" w:cs="Arial"/>
            <w:kern w:val="0"/>
            <w:sz w:val="26"/>
            <w:szCs w:val="26"/>
          </w:rPr>
          <w:t>https://www.proquest.com/scholarly-journals/analysis-intercultural-business-communication/docview/1644486702/se-2?accountid=130472</w:t>
        </w:r>
      </w:hyperlink>
      <w:r w:rsidRPr="00B05EC7">
        <w:rPr>
          <w:rFonts w:ascii="Arial" w:hAnsi="Arial" w:cs="Arial"/>
          <w:kern w:val="0"/>
          <w:sz w:val="26"/>
          <w:szCs w:val="26"/>
        </w:rPr>
        <w:t>. (Accessed on 23 July 2025).</w:t>
      </w:r>
    </w:p>
    <w:p w14:paraId="4F823A01" w14:textId="77777777" w:rsidR="00B05EC7" w:rsidRPr="00B05EC7" w:rsidRDefault="00B05EC7" w:rsidP="00B05EC7">
      <w:pPr>
        <w:autoSpaceDE w:val="0"/>
        <w:autoSpaceDN w:val="0"/>
        <w:adjustRightInd w:val="0"/>
        <w:spacing w:before="240" w:line="360" w:lineRule="auto"/>
        <w:jc w:val="both"/>
        <w:rPr>
          <w:rFonts w:ascii="Arial" w:hAnsi="Arial" w:cs="Arial"/>
          <w:strike/>
          <w:kern w:val="0"/>
          <w:sz w:val="26"/>
          <w:szCs w:val="26"/>
        </w:rPr>
      </w:pPr>
      <w:r w:rsidRPr="00B05EC7">
        <w:rPr>
          <w:rFonts w:ascii="Arial" w:hAnsi="Arial" w:cs="Arial"/>
          <w:kern w:val="0"/>
          <w:sz w:val="26"/>
          <w:szCs w:val="26"/>
        </w:rPr>
        <w:t xml:space="preserve">Berkland, M. &amp; Buxbaum, A. G. (2023) </w:t>
      </w:r>
      <w:r w:rsidRPr="00B05EC7">
        <w:rPr>
          <w:rFonts w:ascii="Arial" w:hAnsi="Arial" w:cs="Arial"/>
          <w:i/>
          <w:iCs/>
          <w:kern w:val="0"/>
          <w:sz w:val="26"/>
          <w:szCs w:val="26"/>
        </w:rPr>
        <w:t>Intercultural Communication for the Global Business Professional</w:t>
      </w:r>
      <w:r w:rsidRPr="00B05EC7">
        <w:rPr>
          <w:rFonts w:ascii="Arial" w:hAnsi="Arial" w:cs="Arial"/>
          <w:kern w:val="0"/>
          <w:sz w:val="26"/>
          <w:szCs w:val="26"/>
        </w:rPr>
        <w:t xml:space="preserve"> (1st ed.). Routledge. Available at: </w:t>
      </w:r>
      <w:hyperlink r:id="rId6" w:history="1">
        <w:r w:rsidRPr="00B05EC7">
          <w:rPr>
            <w:rFonts w:ascii="Arial" w:hAnsi="Arial" w:cs="Arial"/>
            <w:kern w:val="0"/>
            <w:sz w:val="26"/>
            <w:szCs w:val="26"/>
          </w:rPr>
          <w:t>https://www.perlego.com/book/4218836</w:t>
        </w:r>
      </w:hyperlink>
      <w:r w:rsidRPr="00B05EC7">
        <w:rPr>
          <w:rFonts w:ascii="Arial" w:hAnsi="Arial" w:cs="Arial"/>
          <w:kern w:val="0"/>
          <w:sz w:val="26"/>
          <w:szCs w:val="26"/>
        </w:rPr>
        <w:t>. (Accessed: 25 July 2025).</w:t>
      </w:r>
    </w:p>
    <w:p w14:paraId="51F81101"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Byrd Cook, T. (2023) </w:t>
      </w:r>
      <w:r w:rsidRPr="00B05EC7">
        <w:rPr>
          <w:rFonts w:ascii="Arial" w:hAnsi="Arial" w:cs="Arial"/>
          <w:i/>
          <w:iCs/>
          <w:kern w:val="0"/>
          <w:sz w:val="26"/>
          <w:szCs w:val="26"/>
        </w:rPr>
        <w:t>The United Kingdom: Its Cultural Dimensions and Cultural Values.</w:t>
      </w:r>
      <w:r w:rsidRPr="00B05EC7">
        <w:rPr>
          <w:rFonts w:ascii="Arial" w:hAnsi="Arial" w:cs="Arial"/>
          <w:kern w:val="0"/>
          <w:sz w:val="26"/>
          <w:szCs w:val="26"/>
        </w:rPr>
        <w:t xml:space="preserve"> Available at: </w:t>
      </w:r>
      <w:hyperlink r:id="rId7" w:history="1">
        <w:r w:rsidRPr="00B05EC7">
          <w:rPr>
            <w:rFonts w:ascii="Arial" w:hAnsi="Arial" w:cs="Arial"/>
            <w:kern w:val="0"/>
            <w:sz w:val="26"/>
            <w:szCs w:val="26"/>
          </w:rPr>
          <w:t>https://www.tbcculturehub.com/post/the-united-kingdom-its-cultural-dimensions-and-cultural-values</w:t>
        </w:r>
      </w:hyperlink>
      <w:r w:rsidRPr="00B05EC7">
        <w:rPr>
          <w:rFonts w:ascii="Arial" w:hAnsi="Arial" w:cs="Arial"/>
          <w:kern w:val="0"/>
          <w:sz w:val="26"/>
          <w:szCs w:val="26"/>
        </w:rPr>
        <w:t xml:space="preserve">. (Accessed: 23 July 2025). </w:t>
      </w:r>
    </w:p>
    <w:p w14:paraId="34B128A2"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Deresky</w:t>
      </w:r>
      <w:proofErr w:type="spellEnd"/>
      <w:r w:rsidRPr="00B05EC7">
        <w:rPr>
          <w:rFonts w:ascii="Arial" w:hAnsi="Arial" w:cs="Arial"/>
          <w:kern w:val="0"/>
          <w:sz w:val="26"/>
          <w:szCs w:val="26"/>
        </w:rPr>
        <w:t xml:space="preserve">, H. (2017) </w:t>
      </w:r>
      <w:r w:rsidRPr="00B05EC7">
        <w:rPr>
          <w:rFonts w:ascii="Arial" w:hAnsi="Arial" w:cs="Arial"/>
          <w:i/>
          <w:iCs/>
          <w:kern w:val="0"/>
          <w:sz w:val="26"/>
          <w:szCs w:val="26"/>
        </w:rPr>
        <w:t>International management : managing across borders and cultures : text and cases.</w:t>
      </w:r>
      <w:r w:rsidRPr="00B05EC7">
        <w:rPr>
          <w:rFonts w:ascii="Arial" w:hAnsi="Arial" w:cs="Arial"/>
          <w:kern w:val="0"/>
          <w:sz w:val="26"/>
          <w:szCs w:val="26"/>
        </w:rPr>
        <w:t xml:space="preserve"> Ninth, global edition. Boston: Pearson.</w:t>
      </w:r>
    </w:p>
    <w:p w14:paraId="0B709D74" w14:textId="77777777" w:rsidR="00B05EC7" w:rsidRPr="00B05EC7" w:rsidRDefault="00B05EC7" w:rsidP="00B05EC7">
      <w:pPr>
        <w:spacing w:before="240" w:line="360" w:lineRule="auto"/>
        <w:jc w:val="both"/>
        <w:rPr>
          <w:rFonts w:ascii="Arial" w:hAnsi="Arial" w:cs="Arial"/>
        </w:rPr>
      </w:pPr>
      <w:r w:rsidRPr="00B05EC7">
        <w:rPr>
          <w:rFonts w:ascii="Arial" w:hAnsi="Arial" w:cs="Arial"/>
          <w:kern w:val="0"/>
          <w:sz w:val="26"/>
          <w:szCs w:val="26"/>
        </w:rPr>
        <w:t xml:space="preserve">Emmerson, N. (2014) </w:t>
      </w:r>
      <w:r w:rsidRPr="00B05EC7">
        <w:rPr>
          <w:rFonts w:ascii="Arial" w:hAnsi="Arial" w:cs="Arial"/>
          <w:i/>
          <w:iCs/>
          <w:kern w:val="0"/>
          <w:sz w:val="26"/>
          <w:szCs w:val="26"/>
        </w:rPr>
        <w:t>Business Matters: How to successfully complete a deal with Japanese businesses.</w:t>
      </w:r>
      <w:r w:rsidRPr="00B05EC7">
        <w:rPr>
          <w:rFonts w:ascii="Arial" w:hAnsi="Arial" w:cs="Arial"/>
          <w:kern w:val="0"/>
          <w:sz w:val="26"/>
          <w:szCs w:val="26"/>
        </w:rPr>
        <w:t xml:space="preserve"> Available at: </w:t>
      </w:r>
      <w:hyperlink r:id="rId8" w:history="1">
        <w:r w:rsidRPr="00B05EC7">
          <w:rPr>
            <w:rFonts w:ascii="Arial" w:hAnsi="Arial" w:cs="Arial"/>
            <w:kern w:val="0"/>
            <w:sz w:val="26"/>
            <w:szCs w:val="26"/>
          </w:rPr>
          <w:t>https://www.insidermedia.com/blogs/yorkshire/128796-business-matters-how-successfully-complete-deal-japanese-businesses</w:t>
        </w:r>
      </w:hyperlink>
      <w:r w:rsidRPr="00B05EC7">
        <w:rPr>
          <w:rFonts w:ascii="Arial" w:hAnsi="Arial" w:cs="Arial"/>
          <w:kern w:val="0"/>
          <w:sz w:val="26"/>
          <w:szCs w:val="26"/>
        </w:rPr>
        <w:t>. (Accessed: 25 July 2025).</w:t>
      </w:r>
    </w:p>
    <w:p w14:paraId="7A55335E"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He, W. (2024) “Analysis of Japanese Cultural Patterns”, </w:t>
      </w:r>
      <w:r w:rsidRPr="00B05EC7">
        <w:rPr>
          <w:rFonts w:ascii="Arial" w:hAnsi="Arial" w:cs="Arial"/>
          <w:i/>
          <w:iCs/>
          <w:kern w:val="0"/>
          <w:sz w:val="26"/>
          <w:szCs w:val="26"/>
        </w:rPr>
        <w:t>Journal of Education and Educational Research</w:t>
      </w:r>
      <w:r w:rsidRPr="00B05EC7">
        <w:rPr>
          <w:rFonts w:ascii="Arial" w:hAnsi="Arial" w:cs="Arial"/>
          <w:kern w:val="0"/>
          <w:sz w:val="26"/>
          <w:szCs w:val="26"/>
        </w:rPr>
        <w:t xml:space="preserve">, 9(3). ISSN: 2957-9465. Available at: </w:t>
      </w:r>
      <w:hyperlink r:id="rId9" w:history="1">
        <w:r w:rsidRPr="00B05EC7">
          <w:rPr>
            <w:rFonts w:ascii="Arial" w:hAnsi="Arial" w:cs="Arial"/>
            <w:kern w:val="0"/>
            <w:sz w:val="26"/>
            <w:szCs w:val="26"/>
          </w:rPr>
          <w:t xml:space="preserve">Analysis of Japanese Cultural PatternsDarcy &amp; Roy </w:t>
        </w:r>
        <w:proofErr w:type="spellStart"/>
        <w:r w:rsidRPr="00B05EC7">
          <w:rPr>
            <w:rFonts w:ascii="Arial" w:hAnsi="Arial" w:cs="Arial"/>
            <w:kern w:val="0"/>
            <w:sz w:val="26"/>
            <w:szCs w:val="26"/>
          </w:rPr>
          <w:t>Presshttps</w:t>
        </w:r>
        <w:proofErr w:type="spellEnd"/>
        <w:r w:rsidRPr="00B05EC7">
          <w:rPr>
            <w:rFonts w:ascii="Arial" w:hAnsi="Arial" w:cs="Arial"/>
            <w:kern w:val="0"/>
            <w:sz w:val="26"/>
            <w:szCs w:val="26"/>
          </w:rPr>
          <w:t xml:space="preserve">://drpress.org › </w:t>
        </w:r>
        <w:proofErr w:type="spellStart"/>
        <w:r w:rsidRPr="00B05EC7">
          <w:rPr>
            <w:rFonts w:ascii="Arial" w:hAnsi="Arial" w:cs="Arial"/>
            <w:kern w:val="0"/>
            <w:sz w:val="26"/>
            <w:szCs w:val="26"/>
          </w:rPr>
          <w:t>ojs</w:t>
        </w:r>
        <w:proofErr w:type="spellEnd"/>
        <w:r w:rsidRPr="00B05EC7">
          <w:rPr>
            <w:rFonts w:ascii="Arial" w:hAnsi="Arial" w:cs="Arial"/>
            <w:kern w:val="0"/>
            <w:sz w:val="26"/>
            <w:szCs w:val="26"/>
          </w:rPr>
          <w:t xml:space="preserve"> › jeer › article › download</w:t>
        </w:r>
      </w:hyperlink>
      <w:r w:rsidRPr="00B05EC7">
        <w:rPr>
          <w:rFonts w:ascii="Arial" w:hAnsi="Arial" w:cs="Arial"/>
          <w:kern w:val="0"/>
          <w:sz w:val="26"/>
          <w:szCs w:val="26"/>
        </w:rPr>
        <w:t>. (Accessed: 23 July 2025).</w:t>
      </w:r>
    </w:p>
    <w:p w14:paraId="31A0A140"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Jain, H. (2024) </w:t>
      </w:r>
      <w:r w:rsidRPr="00B05EC7">
        <w:rPr>
          <w:rFonts w:ascii="Arial" w:hAnsi="Arial" w:cs="Arial"/>
          <w:i/>
          <w:iCs/>
          <w:kern w:val="0"/>
          <w:sz w:val="26"/>
          <w:szCs w:val="26"/>
        </w:rPr>
        <w:t xml:space="preserve">Japanese Communication Style: It’s More than Knowing the Language. </w:t>
      </w:r>
      <w:r w:rsidRPr="00B05EC7">
        <w:rPr>
          <w:rFonts w:ascii="Arial" w:hAnsi="Arial" w:cs="Arial"/>
          <w:kern w:val="0"/>
          <w:sz w:val="26"/>
          <w:szCs w:val="26"/>
        </w:rPr>
        <w:t xml:space="preserve">Available at: </w:t>
      </w:r>
      <w:hyperlink r:id="rId10" w:history="1">
        <w:r w:rsidRPr="00B05EC7">
          <w:rPr>
            <w:rFonts w:ascii="Arial" w:hAnsi="Arial" w:cs="Arial"/>
            <w:kern w:val="0"/>
            <w:sz w:val="26"/>
            <w:szCs w:val="26"/>
          </w:rPr>
          <w:t>https://www.ejable.com/japan-corner/japanese-language-and-communication/japanese-communication-style/</w:t>
        </w:r>
      </w:hyperlink>
      <w:r w:rsidRPr="00B05EC7">
        <w:rPr>
          <w:rFonts w:ascii="Arial" w:hAnsi="Arial" w:cs="Arial"/>
          <w:kern w:val="0"/>
          <w:sz w:val="26"/>
          <w:szCs w:val="26"/>
        </w:rPr>
        <w:t xml:space="preserve">. (Accessed: 24 July 2025). </w:t>
      </w:r>
    </w:p>
    <w:p w14:paraId="7A56D0B7"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Khan, M. A. &amp; Ebner, N. (2018) </w:t>
      </w:r>
      <w:r w:rsidRPr="00B05EC7">
        <w:rPr>
          <w:rFonts w:ascii="Arial" w:hAnsi="Arial" w:cs="Arial"/>
          <w:i/>
          <w:iCs/>
          <w:kern w:val="0"/>
          <w:sz w:val="26"/>
          <w:szCs w:val="26"/>
        </w:rPr>
        <w:t>The Palgrave Handbook of Cross-Cultural Business Negotiation.</w:t>
      </w:r>
      <w:r w:rsidRPr="00B05EC7">
        <w:rPr>
          <w:rFonts w:ascii="Arial" w:hAnsi="Arial" w:cs="Arial"/>
          <w:kern w:val="0"/>
          <w:sz w:val="26"/>
          <w:szCs w:val="26"/>
        </w:rPr>
        <w:t xml:space="preserve"> Palgrave Macmillan. Available at: </w:t>
      </w:r>
      <w:hyperlink r:id="rId11" w:history="1">
        <w:r w:rsidRPr="00B05EC7">
          <w:rPr>
            <w:rFonts w:ascii="Arial" w:hAnsi="Arial" w:cs="Arial"/>
            <w:kern w:val="0"/>
            <w:sz w:val="26"/>
            <w:szCs w:val="26"/>
          </w:rPr>
          <w:t>https://www.perlego.com/book/3493952</w:t>
        </w:r>
      </w:hyperlink>
      <w:r w:rsidRPr="00B05EC7">
        <w:rPr>
          <w:rFonts w:ascii="Arial" w:hAnsi="Arial" w:cs="Arial"/>
          <w:kern w:val="0"/>
          <w:sz w:val="26"/>
          <w:szCs w:val="26"/>
        </w:rPr>
        <w:t>. (Accessed on 24 July 2025).</w:t>
      </w:r>
    </w:p>
    <w:p w14:paraId="6F91ECB8"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Lagare</w:t>
      </w:r>
      <w:proofErr w:type="spellEnd"/>
      <w:r w:rsidRPr="00B05EC7">
        <w:rPr>
          <w:rFonts w:ascii="Arial" w:hAnsi="Arial" w:cs="Arial"/>
          <w:kern w:val="0"/>
          <w:sz w:val="26"/>
          <w:szCs w:val="26"/>
        </w:rPr>
        <w:t xml:space="preserve">, R. (2025) </w:t>
      </w:r>
      <w:r w:rsidRPr="00B05EC7">
        <w:rPr>
          <w:rFonts w:ascii="Arial" w:hAnsi="Arial" w:cs="Arial"/>
          <w:i/>
          <w:iCs/>
          <w:kern w:val="0"/>
          <w:sz w:val="26"/>
          <w:szCs w:val="26"/>
        </w:rPr>
        <w:t>Intercultural Business Communication</w:t>
      </w:r>
      <w:r w:rsidRPr="00B05EC7">
        <w:rPr>
          <w:rFonts w:ascii="Arial" w:hAnsi="Arial" w:cs="Arial"/>
          <w:kern w:val="0"/>
          <w:sz w:val="26"/>
          <w:szCs w:val="26"/>
        </w:rPr>
        <w:t>. Toronto Academic Press. Available at: https://www.perlego.com/book/4933878 (Accessed: 23 July 2025).</w:t>
      </w:r>
    </w:p>
    <w:p w14:paraId="4C3352CB"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Lloyds Banking Group (n.d.) </w:t>
      </w:r>
      <w:r w:rsidRPr="00B05EC7">
        <w:rPr>
          <w:rFonts w:ascii="Arial" w:hAnsi="Arial" w:cs="Arial"/>
          <w:i/>
          <w:iCs/>
          <w:kern w:val="0"/>
          <w:sz w:val="26"/>
          <w:szCs w:val="26"/>
        </w:rPr>
        <w:t>Our heritage</w:t>
      </w:r>
      <w:r w:rsidRPr="00B05EC7">
        <w:rPr>
          <w:rFonts w:ascii="Arial" w:hAnsi="Arial" w:cs="Arial"/>
          <w:kern w:val="0"/>
          <w:sz w:val="26"/>
          <w:szCs w:val="26"/>
        </w:rPr>
        <w:t xml:space="preserve">. Available at: </w:t>
      </w:r>
      <w:hyperlink r:id="rId12" w:history="1">
        <w:r w:rsidRPr="00B05EC7">
          <w:rPr>
            <w:rFonts w:ascii="Arial" w:hAnsi="Arial" w:cs="Arial"/>
            <w:kern w:val="0"/>
            <w:sz w:val="26"/>
            <w:szCs w:val="26"/>
          </w:rPr>
          <w:t>https://www.lloydsbankinggroup.com/who-we-are/our-heritage.html</w:t>
        </w:r>
      </w:hyperlink>
      <w:r w:rsidRPr="00B05EC7">
        <w:rPr>
          <w:rFonts w:ascii="Arial" w:hAnsi="Arial" w:cs="Arial"/>
          <w:kern w:val="0"/>
          <w:sz w:val="26"/>
          <w:szCs w:val="26"/>
        </w:rPr>
        <w:t>. (Accessed: 24 July 2025).</w:t>
      </w:r>
    </w:p>
    <w:p w14:paraId="67FC0AA3"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LSEG (2022) </w:t>
      </w:r>
      <w:r w:rsidRPr="00B05EC7">
        <w:rPr>
          <w:rFonts w:ascii="Arial" w:hAnsi="Arial" w:cs="Arial"/>
          <w:i/>
          <w:iCs/>
          <w:kern w:val="0"/>
          <w:sz w:val="26"/>
          <w:szCs w:val="26"/>
        </w:rPr>
        <w:t xml:space="preserve">LSEG and Mizuho to Collaborate on the Development of Sustainability Solutions. </w:t>
      </w:r>
      <w:r w:rsidRPr="00B05EC7">
        <w:rPr>
          <w:rFonts w:ascii="Arial" w:hAnsi="Arial" w:cs="Arial"/>
          <w:kern w:val="0"/>
          <w:sz w:val="26"/>
          <w:szCs w:val="26"/>
        </w:rPr>
        <w:t xml:space="preserve">Available at: </w:t>
      </w:r>
      <w:hyperlink r:id="rId13" w:history="1">
        <w:r w:rsidRPr="00B05EC7">
          <w:rPr>
            <w:rFonts w:ascii="Arial" w:hAnsi="Arial" w:cs="Arial"/>
            <w:kern w:val="0"/>
            <w:sz w:val="26"/>
            <w:szCs w:val="26"/>
          </w:rPr>
          <w:t>https://www.lseg.com/en/media-centre/press-releases/2022/lseg-mizuho-collaborate-on-the-development-of-sustainability-solutions</w:t>
        </w:r>
      </w:hyperlink>
      <w:r w:rsidRPr="00B05EC7">
        <w:rPr>
          <w:rFonts w:ascii="Arial" w:hAnsi="Arial" w:cs="Arial"/>
          <w:kern w:val="0"/>
          <w:sz w:val="26"/>
          <w:szCs w:val="26"/>
        </w:rPr>
        <w:t>. (Accessed: 23 July 2025).</w:t>
      </w:r>
    </w:p>
    <w:p w14:paraId="4B3107B3"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Luflik</w:t>
      </w:r>
      <w:proofErr w:type="spellEnd"/>
      <w:r w:rsidRPr="00B05EC7">
        <w:rPr>
          <w:rFonts w:ascii="Arial" w:hAnsi="Arial" w:cs="Arial"/>
          <w:kern w:val="0"/>
          <w:sz w:val="26"/>
          <w:szCs w:val="26"/>
        </w:rPr>
        <w:t xml:space="preserve">, B. (2020) </w:t>
      </w:r>
      <w:r w:rsidRPr="00B05EC7">
        <w:rPr>
          <w:rFonts w:ascii="Arial" w:hAnsi="Arial" w:cs="Arial"/>
          <w:i/>
          <w:iCs/>
          <w:kern w:val="0"/>
          <w:sz w:val="26"/>
          <w:szCs w:val="26"/>
        </w:rPr>
        <w:t>How 'reading the air' keeps Japan running</w:t>
      </w:r>
      <w:r w:rsidRPr="00B05EC7">
        <w:rPr>
          <w:rFonts w:ascii="Arial" w:hAnsi="Arial" w:cs="Arial"/>
          <w:kern w:val="0"/>
          <w:sz w:val="26"/>
          <w:szCs w:val="26"/>
        </w:rPr>
        <w:t xml:space="preserve">. Available at: </w:t>
      </w:r>
      <w:hyperlink r:id="rId14" w:history="1">
        <w:r w:rsidRPr="00B05EC7">
          <w:rPr>
            <w:rFonts w:ascii="Arial" w:hAnsi="Arial" w:cs="Arial"/>
            <w:kern w:val="0"/>
            <w:sz w:val="26"/>
            <w:szCs w:val="26"/>
          </w:rPr>
          <w:t>https://www.bbc.co.uk/worklife/article/20200129-what-is-reading-the-air-in-japan</w:t>
        </w:r>
      </w:hyperlink>
      <w:r w:rsidRPr="00B05EC7">
        <w:rPr>
          <w:rFonts w:ascii="Arial" w:hAnsi="Arial" w:cs="Arial"/>
          <w:kern w:val="0"/>
          <w:sz w:val="26"/>
          <w:szCs w:val="26"/>
        </w:rPr>
        <w:t xml:space="preserve">. (Accessed: 23 July 2025). </w:t>
      </w:r>
    </w:p>
    <w:p w14:paraId="33013ADD"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M. </w:t>
      </w:r>
      <w:proofErr w:type="spellStart"/>
      <w:r w:rsidRPr="00B05EC7">
        <w:rPr>
          <w:rFonts w:ascii="Arial" w:hAnsi="Arial" w:cs="Arial"/>
          <w:kern w:val="0"/>
          <w:sz w:val="26"/>
          <w:szCs w:val="26"/>
        </w:rPr>
        <w:t>Hatakka</w:t>
      </w:r>
      <w:proofErr w:type="spellEnd"/>
      <w:r w:rsidRPr="00B05EC7">
        <w:rPr>
          <w:rFonts w:ascii="Arial" w:hAnsi="Arial" w:cs="Arial"/>
          <w:kern w:val="0"/>
          <w:sz w:val="26"/>
          <w:szCs w:val="26"/>
        </w:rPr>
        <w:t xml:space="preserve"> (2021) The Importance Of Raising The Awareness Of Intercultural Communication Skill. 13th International Conference on Education and New Learning Technologies, pp. 6862-6865. DOI: </w:t>
      </w:r>
      <w:hyperlink r:id="rId15" w:history="1">
        <w:r w:rsidRPr="00B05EC7">
          <w:rPr>
            <w:rFonts w:ascii="Arial" w:hAnsi="Arial" w:cs="Arial"/>
            <w:kern w:val="0"/>
            <w:sz w:val="26"/>
            <w:szCs w:val="26"/>
          </w:rPr>
          <w:t>10.21125/edulearn.2021.1387</w:t>
        </w:r>
      </w:hyperlink>
    </w:p>
    <w:p w14:paraId="513C0C26"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Marketline</w:t>
      </w:r>
      <w:proofErr w:type="spellEnd"/>
      <w:r w:rsidRPr="00B05EC7">
        <w:rPr>
          <w:rFonts w:ascii="Arial" w:hAnsi="Arial" w:cs="Arial"/>
          <w:kern w:val="0"/>
          <w:sz w:val="26"/>
          <w:szCs w:val="26"/>
        </w:rPr>
        <w:t xml:space="preserve"> Advantage (2025a) </w:t>
      </w:r>
      <w:r w:rsidRPr="00B05EC7">
        <w:rPr>
          <w:rFonts w:ascii="Arial" w:hAnsi="Arial" w:cs="Arial"/>
          <w:i/>
          <w:iCs/>
          <w:kern w:val="0"/>
          <w:sz w:val="26"/>
          <w:szCs w:val="26"/>
        </w:rPr>
        <w:t>Lloyds Banking Group Plc</w:t>
      </w:r>
      <w:r w:rsidRPr="00B05EC7">
        <w:rPr>
          <w:rFonts w:ascii="Arial" w:hAnsi="Arial" w:cs="Arial"/>
          <w:kern w:val="0"/>
          <w:sz w:val="26"/>
          <w:szCs w:val="26"/>
        </w:rPr>
        <w:t xml:space="preserve">. Available at: </w:t>
      </w:r>
      <w:hyperlink r:id="rId16" w:history="1">
        <w:r w:rsidRPr="00B05EC7">
          <w:rPr>
            <w:rFonts w:ascii="Arial" w:hAnsi="Arial" w:cs="Arial"/>
            <w:kern w:val="0"/>
            <w:sz w:val="26"/>
            <w:szCs w:val="26"/>
          </w:rPr>
          <w:t>https://advantage-marketline-com.ezproxy.uwtsd.ac.uk/Company/Summary/lloyds_banking_group_plc</w:t>
        </w:r>
      </w:hyperlink>
      <w:r w:rsidRPr="00B05EC7">
        <w:rPr>
          <w:rFonts w:ascii="Arial" w:hAnsi="Arial" w:cs="Arial"/>
          <w:kern w:val="0"/>
          <w:sz w:val="26"/>
          <w:szCs w:val="26"/>
        </w:rPr>
        <w:t>. (Accessed: 24 July 2025).</w:t>
      </w:r>
    </w:p>
    <w:p w14:paraId="07AADBCF"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Marketline</w:t>
      </w:r>
      <w:proofErr w:type="spellEnd"/>
      <w:r w:rsidRPr="00B05EC7">
        <w:rPr>
          <w:rFonts w:ascii="Arial" w:hAnsi="Arial" w:cs="Arial"/>
          <w:kern w:val="0"/>
          <w:sz w:val="26"/>
          <w:szCs w:val="26"/>
        </w:rPr>
        <w:t xml:space="preserve"> Advantage (2025b) </w:t>
      </w:r>
      <w:proofErr w:type="spellStart"/>
      <w:r w:rsidRPr="00B05EC7">
        <w:rPr>
          <w:rFonts w:ascii="Arial" w:hAnsi="Arial" w:cs="Arial"/>
          <w:i/>
          <w:iCs/>
          <w:kern w:val="0"/>
          <w:sz w:val="26"/>
          <w:szCs w:val="26"/>
        </w:rPr>
        <w:t>Mizuho</w:t>
      </w:r>
      <w:proofErr w:type="spellEnd"/>
      <w:r w:rsidRPr="00B05EC7">
        <w:rPr>
          <w:rFonts w:ascii="Arial" w:hAnsi="Arial" w:cs="Arial"/>
          <w:i/>
          <w:iCs/>
          <w:kern w:val="0"/>
          <w:sz w:val="26"/>
          <w:szCs w:val="26"/>
        </w:rPr>
        <w:t xml:space="preserve"> Financial Group Inc</w:t>
      </w:r>
      <w:r w:rsidRPr="00B05EC7">
        <w:rPr>
          <w:rFonts w:ascii="Arial" w:hAnsi="Arial" w:cs="Arial"/>
          <w:kern w:val="0"/>
          <w:sz w:val="26"/>
          <w:szCs w:val="26"/>
        </w:rPr>
        <w:t xml:space="preserve">. Available at: </w:t>
      </w:r>
      <w:hyperlink r:id="rId17" w:history="1">
        <w:r w:rsidRPr="00B05EC7">
          <w:rPr>
            <w:rFonts w:ascii="Arial" w:hAnsi="Arial" w:cs="Arial"/>
            <w:kern w:val="0"/>
            <w:sz w:val="26"/>
            <w:szCs w:val="26"/>
          </w:rPr>
          <w:t>https://advantage.marketline.com/Company/Summary/mizuho_financial_group_inc</w:t>
        </w:r>
      </w:hyperlink>
      <w:r w:rsidRPr="00B05EC7">
        <w:rPr>
          <w:rFonts w:ascii="Arial" w:hAnsi="Arial" w:cs="Arial"/>
          <w:kern w:val="0"/>
          <w:sz w:val="26"/>
          <w:szCs w:val="26"/>
        </w:rPr>
        <w:t>. (Accessed: 24 July 2025).</w:t>
      </w:r>
    </w:p>
    <w:p w14:paraId="40BF4B0C"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Marketline</w:t>
      </w:r>
      <w:proofErr w:type="spellEnd"/>
      <w:r w:rsidRPr="00B05EC7">
        <w:rPr>
          <w:rFonts w:ascii="Arial" w:hAnsi="Arial" w:cs="Arial"/>
          <w:kern w:val="0"/>
          <w:sz w:val="26"/>
          <w:szCs w:val="26"/>
        </w:rPr>
        <w:t xml:space="preserve"> Advantage (2025c) </w:t>
      </w:r>
      <w:r w:rsidRPr="00B05EC7">
        <w:rPr>
          <w:rFonts w:ascii="Arial" w:hAnsi="Arial" w:cs="Arial"/>
          <w:i/>
          <w:iCs/>
          <w:kern w:val="0"/>
          <w:sz w:val="26"/>
          <w:szCs w:val="26"/>
        </w:rPr>
        <w:t>Japan - Investment Banking &amp; Brokerage.</w:t>
      </w:r>
      <w:r w:rsidRPr="00B05EC7">
        <w:rPr>
          <w:rFonts w:ascii="Arial" w:hAnsi="Arial" w:cs="Arial"/>
          <w:kern w:val="0"/>
          <w:sz w:val="26"/>
          <w:szCs w:val="26"/>
        </w:rPr>
        <w:t xml:space="preserve"> Available at: </w:t>
      </w:r>
      <w:hyperlink r:id="rId18" w:history="1">
        <w:r w:rsidRPr="00B05EC7">
          <w:rPr>
            <w:rFonts w:ascii="Arial" w:hAnsi="Arial" w:cs="Arial"/>
            <w:kern w:val="0"/>
            <w:sz w:val="26"/>
            <w:szCs w:val="26"/>
          </w:rPr>
          <w:t>https://advantage.marketline.com/Analysis/ViewasPDF/japan-investment-banking-brokerage-ml-242812</w:t>
        </w:r>
      </w:hyperlink>
      <w:r w:rsidRPr="00B05EC7">
        <w:rPr>
          <w:rFonts w:ascii="Arial" w:hAnsi="Arial" w:cs="Arial"/>
          <w:kern w:val="0"/>
          <w:sz w:val="26"/>
          <w:szCs w:val="26"/>
        </w:rPr>
        <w:t>. (Accessed: 24 July 2025).</w:t>
      </w:r>
    </w:p>
    <w:p w14:paraId="05AEE3B4"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Miller, K. (2022) H</w:t>
      </w:r>
      <w:r w:rsidRPr="00B05EC7">
        <w:rPr>
          <w:rFonts w:ascii="Arial" w:hAnsi="Arial" w:cs="Arial"/>
          <w:i/>
          <w:iCs/>
          <w:kern w:val="0"/>
          <w:sz w:val="26"/>
          <w:szCs w:val="26"/>
        </w:rPr>
        <w:t>ofstede’s Cultural Dimensions: Implications and How to Apply.</w:t>
      </w:r>
      <w:r w:rsidRPr="00B05EC7">
        <w:rPr>
          <w:rFonts w:ascii="Arial" w:hAnsi="Arial" w:cs="Arial"/>
          <w:kern w:val="0"/>
          <w:sz w:val="26"/>
          <w:szCs w:val="26"/>
        </w:rPr>
        <w:t xml:space="preserve"> Available at: </w:t>
      </w:r>
      <w:hyperlink r:id="rId19" w:history="1">
        <w:r w:rsidRPr="00B05EC7">
          <w:rPr>
            <w:rFonts w:ascii="Arial" w:hAnsi="Arial" w:cs="Arial"/>
            <w:kern w:val="0"/>
            <w:sz w:val="26"/>
            <w:szCs w:val="26"/>
          </w:rPr>
          <w:t>https://crowjack.com/blog/strategy/hofstedes-cultural-dimensions</w:t>
        </w:r>
      </w:hyperlink>
      <w:r w:rsidRPr="00B05EC7">
        <w:rPr>
          <w:rFonts w:ascii="Arial" w:hAnsi="Arial" w:cs="Arial"/>
          <w:kern w:val="0"/>
          <w:sz w:val="26"/>
          <w:szCs w:val="26"/>
        </w:rPr>
        <w:t xml:space="preserve">. (Accessed: 23 July 2025). </w:t>
      </w:r>
    </w:p>
    <w:p w14:paraId="216229CA"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Mizuho Group (2024) </w:t>
      </w:r>
      <w:r w:rsidRPr="00B05EC7">
        <w:rPr>
          <w:rFonts w:ascii="Arial" w:hAnsi="Arial" w:cs="Arial"/>
          <w:i/>
          <w:iCs/>
          <w:kern w:val="0"/>
          <w:sz w:val="26"/>
          <w:szCs w:val="26"/>
        </w:rPr>
        <w:t xml:space="preserve">Company Overview. </w:t>
      </w:r>
      <w:r w:rsidRPr="00B05EC7">
        <w:rPr>
          <w:rFonts w:ascii="Arial" w:hAnsi="Arial" w:cs="Arial"/>
          <w:kern w:val="0"/>
          <w:sz w:val="26"/>
          <w:szCs w:val="26"/>
        </w:rPr>
        <w:t xml:space="preserve">Available at: </w:t>
      </w:r>
      <w:hyperlink r:id="rId20" w:history="1">
        <w:r w:rsidRPr="00B05EC7">
          <w:rPr>
            <w:rFonts w:ascii="Arial" w:hAnsi="Arial" w:cs="Arial"/>
            <w:kern w:val="0"/>
            <w:sz w:val="26"/>
            <w:szCs w:val="26"/>
          </w:rPr>
          <w:t>https://www.mizuhogroup.com/who-we-are/company-information/overview</w:t>
        </w:r>
      </w:hyperlink>
      <w:r w:rsidRPr="00B05EC7">
        <w:rPr>
          <w:rFonts w:ascii="Arial" w:hAnsi="Arial" w:cs="Arial"/>
          <w:kern w:val="0"/>
          <w:sz w:val="26"/>
          <w:szCs w:val="26"/>
        </w:rPr>
        <w:t>. (Accessed: 23 July 2025).</w:t>
      </w:r>
    </w:p>
    <w:p w14:paraId="4DE9E31A"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Nickerson, C. (2023) </w:t>
      </w:r>
      <w:r w:rsidRPr="00B05EC7">
        <w:rPr>
          <w:rFonts w:ascii="Arial" w:hAnsi="Arial" w:cs="Arial"/>
          <w:i/>
          <w:iCs/>
          <w:kern w:val="0"/>
          <w:sz w:val="26"/>
          <w:szCs w:val="26"/>
        </w:rPr>
        <w:t>Hofstede’s Cultural Dimensions Theory &amp; Examples</w:t>
      </w:r>
      <w:r w:rsidRPr="00B05EC7">
        <w:rPr>
          <w:rFonts w:ascii="Arial" w:hAnsi="Arial" w:cs="Arial"/>
          <w:kern w:val="0"/>
          <w:sz w:val="26"/>
          <w:szCs w:val="26"/>
        </w:rPr>
        <w:t xml:space="preserve">. Available at: </w:t>
      </w:r>
      <w:hyperlink r:id="rId21" w:history="1">
        <w:r w:rsidRPr="00B05EC7">
          <w:rPr>
            <w:rFonts w:ascii="Arial" w:hAnsi="Arial" w:cs="Arial"/>
            <w:kern w:val="0"/>
            <w:sz w:val="26"/>
            <w:szCs w:val="26"/>
          </w:rPr>
          <w:t>https://www.simplypsychology.org/hofstedes-cultural-dimensions-theory.html</w:t>
        </w:r>
      </w:hyperlink>
      <w:r w:rsidRPr="00B05EC7">
        <w:rPr>
          <w:rFonts w:ascii="Arial" w:hAnsi="Arial" w:cs="Arial"/>
          <w:kern w:val="0"/>
          <w:sz w:val="26"/>
          <w:szCs w:val="26"/>
        </w:rPr>
        <w:t>. (Accessed: 23 July 2025).</w:t>
      </w:r>
    </w:p>
    <w:p w14:paraId="20BA498B"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OLAND, J. (2024) “Communication and Cultural Aspects in International Business”. </w:t>
      </w:r>
      <w:r w:rsidRPr="00B05EC7">
        <w:rPr>
          <w:rFonts w:ascii="Arial" w:hAnsi="Arial" w:cs="Arial"/>
          <w:i/>
          <w:iCs/>
          <w:kern w:val="0"/>
          <w:sz w:val="26"/>
          <w:szCs w:val="26"/>
        </w:rPr>
        <w:t xml:space="preserve">Global Media Journal, </w:t>
      </w:r>
      <w:r w:rsidRPr="00B05EC7">
        <w:rPr>
          <w:rFonts w:ascii="Arial" w:hAnsi="Arial" w:cs="Arial"/>
          <w:b/>
          <w:bCs/>
          <w:kern w:val="0"/>
          <w:sz w:val="26"/>
          <w:szCs w:val="26"/>
        </w:rPr>
        <w:t>22</w:t>
      </w:r>
      <w:r w:rsidRPr="00B05EC7">
        <w:rPr>
          <w:rFonts w:ascii="Arial" w:hAnsi="Arial" w:cs="Arial"/>
          <w:kern w:val="0"/>
          <w:sz w:val="26"/>
          <w:szCs w:val="26"/>
        </w:rPr>
        <w:t>(67), pp. 1-3. DOI: 10.36648/1550-7521.22.67.419</w:t>
      </w:r>
    </w:p>
    <w:p w14:paraId="25A41EF5"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SHAHID, D. (2022) “Importance of Intercultural Communication in an Organization”. </w:t>
      </w:r>
      <w:r w:rsidRPr="00B05EC7">
        <w:rPr>
          <w:rFonts w:ascii="Arial" w:hAnsi="Arial" w:cs="Arial"/>
          <w:i/>
          <w:iCs/>
          <w:kern w:val="0"/>
          <w:sz w:val="26"/>
          <w:szCs w:val="26"/>
        </w:rPr>
        <w:t xml:space="preserve">Journal of Business and Management Studies, </w:t>
      </w:r>
      <w:r w:rsidRPr="00B05EC7">
        <w:rPr>
          <w:rFonts w:ascii="Arial" w:hAnsi="Arial" w:cs="Arial"/>
          <w:b/>
          <w:bCs/>
          <w:kern w:val="0"/>
          <w:sz w:val="26"/>
          <w:szCs w:val="26"/>
        </w:rPr>
        <w:t>4</w:t>
      </w:r>
      <w:r w:rsidRPr="00B05EC7">
        <w:rPr>
          <w:rFonts w:ascii="Arial" w:hAnsi="Arial" w:cs="Arial"/>
          <w:kern w:val="0"/>
          <w:sz w:val="26"/>
          <w:szCs w:val="26"/>
        </w:rPr>
        <w:t>(2), pp. 459-463. DOI: 10.32996/jbms.2022.4.2.33.</w:t>
      </w:r>
    </w:p>
    <w:p w14:paraId="24445F18"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Slater, R. (2020) </w:t>
      </w:r>
      <w:r w:rsidRPr="00B05EC7">
        <w:rPr>
          <w:rFonts w:ascii="Arial" w:hAnsi="Arial" w:cs="Arial"/>
          <w:i/>
          <w:iCs/>
          <w:kern w:val="0"/>
          <w:sz w:val="26"/>
          <w:szCs w:val="26"/>
        </w:rPr>
        <w:t>Communication For International Business</w:t>
      </w:r>
      <w:r w:rsidRPr="00B05EC7">
        <w:rPr>
          <w:rFonts w:ascii="Arial" w:hAnsi="Arial" w:cs="Arial"/>
          <w:kern w:val="0"/>
          <w:sz w:val="26"/>
          <w:szCs w:val="26"/>
        </w:rPr>
        <w:t xml:space="preserve">. William Collins. Available at: </w:t>
      </w:r>
      <w:hyperlink r:id="rId22" w:history="1">
        <w:r w:rsidRPr="00B05EC7">
          <w:rPr>
            <w:rFonts w:ascii="Arial" w:hAnsi="Arial" w:cs="Arial"/>
            <w:kern w:val="0"/>
            <w:sz w:val="26"/>
            <w:szCs w:val="26"/>
          </w:rPr>
          <w:t>https://www.perlego.com/book/1284267</w:t>
        </w:r>
      </w:hyperlink>
      <w:r w:rsidRPr="00B05EC7">
        <w:rPr>
          <w:rFonts w:ascii="Arial" w:hAnsi="Arial" w:cs="Arial"/>
          <w:kern w:val="0"/>
          <w:sz w:val="26"/>
          <w:szCs w:val="26"/>
        </w:rPr>
        <w:t>. (Accessed: 25 July 2025).</w:t>
      </w:r>
    </w:p>
    <w:p w14:paraId="6E00D722"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Stadler, S. (2019) </w:t>
      </w:r>
      <w:r w:rsidRPr="00B05EC7">
        <w:rPr>
          <w:rFonts w:ascii="Arial" w:hAnsi="Arial" w:cs="Arial"/>
          <w:i/>
          <w:iCs/>
          <w:kern w:val="0"/>
          <w:sz w:val="26"/>
          <w:szCs w:val="26"/>
        </w:rPr>
        <w:t>Conflict, Culture and Communication</w:t>
      </w:r>
      <w:r w:rsidRPr="00B05EC7">
        <w:rPr>
          <w:rFonts w:ascii="Arial" w:hAnsi="Arial" w:cs="Arial"/>
          <w:kern w:val="0"/>
          <w:sz w:val="26"/>
          <w:szCs w:val="26"/>
        </w:rPr>
        <w:t xml:space="preserve">. 1st </w:t>
      </w:r>
      <w:proofErr w:type="spellStart"/>
      <w:r w:rsidRPr="00B05EC7">
        <w:rPr>
          <w:rFonts w:ascii="Arial" w:hAnsi="Arial" w:cs="Arial"/>
          <w:kern w:val="0"/>
          <w:sz w:val="26"/>
          <w:szCs w:val="26"/>
        </w:rPr>
        <w:t>edn</w:t>
      </w:r>
      <w:proofErr w:type="spellEnd"/>
      <w:r w:rsidRPr="00B05EC7">
        <w:rPr>
          <w:rFonts w:ascii="Arial" w:hAnsi="Arial" w:cs="Arial"/>
          <w:kern w:val="0"/>
          <w:sz w:val="26"/>
          <w:szCs w:val="26"/>
        </w:rPr>
        <w:t xml:space="preserve">. Routledge. Available at: </w:t>
      </w:r>
      <w:hyperlink r:id="rId23" w:history="1">
        <w:r w:rsidRPr="00B05EC7">
          <w:rPr>
            <w:rFonts w:ascii="Arial" w:hAnsi="Arial" w:cs="Arial"/>
            <w:kern w:val="0"/>
            <w:sz w:val="26"/>
            <w:szCs w:val="26"/>
          </w:rPr>
          <w:t>https://www.perlego.com/book/1520662</w:t>
        </w:r>
      </w:hyperlink>
      <w:r w:rsidRPr="00B05EC7">
        <w:rPr>
          <w:rFonts w:ascii="Arial" w:hAnsi="Arial" w:cs="Arial"/>
          <w:kern w:val="0"/>
          <w:sz w:val="26"/>
          <w:szCs w:val="26"/>
        </w:rPr>
        <w:t>. (Accessed on 24 July 2025).</w:t>
      </w:r>
    </w:p>
    <w:p w14:paraId="314A3521"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proofErr w:type="spellStart"/>
      <w:r w:rsidRPr="00B05EC7">
        <w:rPr>
          <w:rFonts w:ascii="Arial" w:hAnsi="Arial" w:cs="Arial"/>
          <w:kern w:val="0"/>
          <w:sz w:val="26"/>
          <w:szCs w:val="26"/>
        </w:rPr>
        <w:t>Terzuolo</w:t>
      </w:r>
      <w:proofErr w:type="spellEnd"/>
      <w:r w:rsidRPr="00B05EC7">
        <w:rPr>
          <w:rFonts w:ascii="Arial" w:hAnsi="Arial" w:cs="Arial"/>
          <w:kern w:val="0"/>
          <w:sz w:val="26"/>
          <w:szCs w:val="26"/>
        </w:rPr>
        <w:t xml:space="preserve">, C. (2018) </w:t>
      </w:r>
      <w:r w:rsidRPr="00B05EC7">
        <w:rPr>
          <w:rFonts w:ascii="Arial" w:hAnsi="Arial" w:cs="Arial"/>
          <w:i/>
          <w:iCs/>
          <w:kern w:val="0"/>
          <w:sz w:val="26"/>
          <w:szCs w:val="26"/>
        </w:rPr>
        <w:t>Navigating Japanese communication styles in the workplace: Tips from GLOBIS MBA School</w:t>
      </w:r>
      <w:r w:rsidRPr="00B05EC7">
        <w:rPr>
          <w:rFonts w:ascii="Arial" w:hAnsi="Arial" w:cs="Arial"/>
          <w:kern w:val="0"/>
          <w:sz w:val="26"/>
          <w:szCs w:val="26"/>
        </w:rPr>
        <w:t xml:space="preserve">. Available at: </w:t>
      </w:r>
      <w:hyperlink r:id="rId24" w:history="1">
        <w:r w:rsidRPr="00B05EC7">
          <w:rPr>
            <w:rFonts w:ascii="Arial" w:hAnsi="Arial" w:cs="Arial"/>
            <w:kern w:val="0"/>
            <w:sz w:val="26"/>
            <w:szCs w:val="26"/>
          </w:rPr>
          <w:t>https://japantoday.com/category/features/lifestyle/navigating-japanese-communication-styles-in-the-workplace-tips-from-globis-mba-school?comment-order=latest</w:t>
        </w:r>
      </w:hyperlink>
      <w:r w:rsidRPr="00B05EC7">
        <w:rPr>
          <w:rFonts w:ascii="Arial" w:hAnsi="Arial" w:cs="Arial"/>
          <w:kern w:val="0"/>
          <w:sz w:val="26"/>
          <w:szCs w:val="26"/>
        </w:rPr>
        <w:t xml:space="preserve">. (Accessed: 25 July 2025). </w:t>
      </w:r>
    </w:p>
    <w:p w14:paraId="06E4FD8C"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University of Surrey (n.d.) </w:t>
      </w:r>
      <w:r w:rsidRPr="00B05EC7">
        <w:rPr>
          <w:rFonts w:ascii="Arial" w:hAnsi="Arial" w:cs="Arial"/>
          <w:i/>
          <w:iCs/>
          <w:kern w:val="0"/>
          <w:sz w:val="26"/>
          <w:szCs w:val="26"/>
        </w:rPr>
        <w:t>Surrey meets Japan</w:t>
      </w:r>
      <w:r w:rsidRPr="00B05EC7">
        <w:rPr>
          <w:rFonts w:ascii="Arial" w:hAnsi="Arial" w:cs="Arial"/>
          <w:kern w:val="0"/>
          <w:sz w:val="26"/>
          <w:szCs w:val="26"/>
        </w:rPr>
        <w:t xml:space="preserve">. Available at: </w:t>
      </w:r>
      <w:hyperlink r:id="rId25" w:history="1">
        <w:r w:rsidRPr="00B05EC7">
          <w:rPr>
            <w:rFonts w:ascii="Arial" w:hAnsi="Arial" w:cs="Arial"/>
            <w:kern w:val="0"/>
            <w:sz w:val="26"/>
            <w:szCs w:val="26"/>
          </w:rPr>
          <w:t>https://blogs.surrey.ac.uk/japanblog/2024/05/06/cultural-differences-between-the-uk-and-japan-experience-of-studying-abroad-from-asia/</w:t>
        </w:r>
      </w:hyperlink>
      <w:r w:rsidRPr="00B05EC7">
        <w:rPr>
          <w:rFonts w:ascii="Arial" w:hAnsi="Arial" w:cs="Arial"/>
          <w:kern w:val="0"/>
          <w:sz w:val="26"/>
          <w:szCs w:val="26"/>
        </w:rPr>
        <w:t xml:space="preserve">. (Accessed: 23 July 2025). </w:t>
      </w:r>
    </w:p>
    <w:p w14:paraId="19DF8D13"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Vaughan, T. (2021) </w:t>
      </w:r>
      <w:r w:rsidRPr="00B05EC7">
        <w:rPr>
          <w:rFonts w:ascii="Arial" w:hAnsi="Arial" w:cs="Arial"/>
          <w:i/>
          <w:iCs/>
          <w:kern w:val="0"/>
          <w:sz w:val="26"/>
          <w:szCs w:val="26"/>
        </w:rPr>
        <w:t xml:space="preserve">Cross Cultural Communication Strategies. </w:t>
      </w:r>
      <w:r w:rsidRPr="00B05EC7">
        <w:rPr>
          <w:rFonts w:ascii="Arial" w:hAnsi="Arial" w:cs="Arial"/>
          <w:kern w:val="0"/>
          <w:sz w:val="26"/>
          <w:szCs w:val="26"/>
        </w:rPr>
        <w:t xml:space="preserve">Available at: </w:t>
      </w:r>
      <w:hyperlink r:id="rId26" w:history="1">
        <w:r w:rsidRPr="00B05EC7">
          <w:rPr>
            <w:rFonts w:ascii="Arial" w:hAnsi="Arial" w:cs="Arial"/>
            <w:kern w:val="0"/>
            <w:sz w:val="26"/>
            <w:szCs w:val="26"/>
          </w:rPr>
          <w:t>https://www.poppulo.com/blog/cross-cultural-communication-strategies</w:t>
        </w:r>
      </w:hyperlink>
      <w:r w:rsidRPr="00B05EC7">
        <w:rPr>
          <w:rFonts w:ascii="Arial" w:hAnsi="Arial" w:cs="Arial"/>
          <w:kern w:val="0"/>
          <w:sz w:val="26"/>
          <w:szCs w:val="26"/>
        </w:rPr>
        <w:t>. (Accessed: 23 July 2025)</w:t>
      </w:r>
    </w:p>
    <w:p w14:paraId="3033C1A2" w14:textId="77777777" w:rsidR="00B05EC7" w:rsidRPr="00B05EC7" w:rsidRDefault="00B05EC7" w:rsidP="00B05EC7">
      <w:pPr>
        <w:autoSpaceDE w:val="0"/>
        <w:autoSpaceDN w:val="0"/>
        <w:adjustRightInd w:val="0"/>
        <w:spacing w:before="240" w:line="360" w:lineRule="auto"/>
        <w:jc w:val="both"/>
        <w:rPr>
          <w:rFonts w:ascii="Arial" w:hAnsi="Arial" w:cs="Arial"/>
          <w:kern w:val="0"/>
          <w:sz w:val="26"/>
          <w:szCs w:val="26"/>
        </w:rPr>
      </w:pPr>
      <w:r w:rsidRPr="00B05EC7">
        <w:rPr>
          <w:rFonts w:ascii="Arial" w:hAnsi="Arial" w:cs="Arial"/>
          <w:kern w:val="0"/>
          <w:sz w:val="26"/>
          <w:szCs w:val="26"/>
        </w:rPr>
        <w:t xml:space="preserve">Wale, H. (n.d.) </w:t>
      </w:r>
      <w:r w:rsidRPr="00B05EC7">
        <w:rPr>
          <w:rFonts w:ascii="Arial" w:hAnsi="Arial" w:cs="Arial"/>
          <w:i/>
          <w:iCs/>
          <w:kern w:val="0"/>
          <w:sz w:val="26"/>
          <w:szCs w:val="26"/>
        </w:rPr>
        <w:t>Hofstede’s Cultural Dimensions Theory</w:t>
      </w:r>
      <w:r w:rsidRPr="00B05EC7">
        <w:rPr>
          <w:rFonts w:ascii="Arial" w:hAnsi="Arial" w:cs="Arial"/>
          <w:kern w:val="0"/>
          <w:sz w:val="26"/>
          <w:szCs w:val="26"/>
        </w:rPr>
        <w:t xml:space="preserve">. Available at: </w:t>
      </w:r>
      <w:hyperlink r:id="rId27" w:history="1">
        <w:r w:rsidRPr="00B05EC7">
          <w:rPr>
            <w:rFonts w:ascii="Arial" w:hAnsi="Arial" w:cs="Arial"/>
            <w:kern w:val="0"/>
            <w:sz w:val="26"/>
            <w:szCs w:val="26"/>
          </w:rPr>
          <w:t>https://corporatefinanceinstitute.com/resources/management/hofstedes-cultural-dimensions-theory/</w:t>
        </w:r>
      </w:hyperlink>
      <w:r w:rsidRPr="00B05EC7">
        <w:rPr>
          <w:rFonts w:ascii="Arial" w:hAnsi="Arial" w:cs="Arial"/>
          <w:kern w:val="0"/>
          <w:sz w:val="26"/>
          <w:szCs w:val="26"/>
        </w:rPr>
        <w:t xml:space="preserve"> (Accessed: 23 July 2025).</w:t>
      </w:r>
    </w:p>
    <w:p w14:paraId="4C983260" w14:textId="77777777" w:rsidR="00B05EC7" w:rsidRPr="00B05EC7" w:rsidRDefault="00B05EC7" w:rsidP="00B05EC7">
      <w:pPr>
        <w:autoSpaceDE w:val="0"/>
        <w:autoSpaceDN w:val="0"/>
        <w:adjustRightInd w:val="0"/>
        <w:spacing w:before="240" w:line="360" w:lineRule="auto"/>
        <w:jc w:val="both"/>
        <w:rPr>
          <w:rFonts w:ascii="Arial" w:hAnsi="Arial" w:cs="Arial"/>
          <w:strike/>
          <w:kern w:val="0"/>
          <w:sz w:val="26"/>
          <w:szCs w:val="26"/>
        </w:rPr>
      </w:pPr>
      <w:r w:rsidRPr="00B05EC7">
        <w:rPr>
          <w:rFonts w:ascii="Arial" w:hAnsi="Arial" w:cs="Arial"/>
          <w:kern w:val="0"/>
          <w:sz w:val="26"/>
          <w:szCs w:val="26"/>
        </w:rPr>
        <w:t xml:space="preserve">Warburton, K. (2025) </w:t>
      </w:r>
      <w:r w:rsidRPr="00B05EC7">
        <w:rPr>
          <w:rFonts w:ascii="Arial" w:hAnsi="Arial" w:cs="Arial"/>
          <w:i/>
          <w:iCs/>
          <w:kern w:val="0"/>
          <w:sz w:val="26"/>
          <w:szCs w:val="26"/>
        </w:rPr>
        <w:t>Japanese Business Communication Styles</w:t>
      </w:r>
      <w:r w:rsidRPr="00B05EC7">
        <w:rPr>
          <w:rFonts w:ascii="Arial" w:hAnsi="Arial" w:cs="Arial"/>
          <w:kern w:val="0"/>
          <w:sz w:val="26"/>
          <w:szCs w:val="26"/>
        </w:rPr>
        <w:t xml:space="preserve">. Available at: </w:t>
      </w:r>
      <w:hyperlink r:id="rId28" w:history="1">
        <w:r w:rsidRPr="00B05EC7">
          <w:rPr>
            <w:rFonts w:ascii="Arial" w:hAnsi="Arial" w:cs="Arial"/>
            <w:kern w:val="0"/>
            <w:sz w:val="26"/>
            <w:szCs w:val="26"/>
          </w:rPr>
          <w:t>https://www.worldbusinessculture.com/country-profiles/japan/business-communication-styles/</w:t>
        </w:r>
      </w:hyperlink>
      <w:r w:rsidRPr="00B05EC7">
        <w:rPr>
          <w:rFonts w:ascii="Arial" w:hAnsi="Arial" w:cs="Arial"/>
          <w:kern w:val="0"/>
          <w:sz w:val="26"/>
          <w:szCs w:val="26"/>
        </w:rPr>
        <w:t xml:space="preserve">. (Accessed: 24 July 2025). </w:t>
      </w:r>
    </w:p>
    <w:p w14:paraId="394AE5CA" w14:textId="77777777" w:rsidR="00B05EC7" w:rsidRPr="00B05EC7" w:rsidRDefault="00B05EC7" w:rsidP="00B05EC7">
      <w:pPr>
        <w:rPr>
          <w:rFonts w:ascii="Arial" w:hAnsi="Arial" w:cs="Arial"/>
        </w:rPr>
      </w:pPr>
    </w:p>
    <w:sectPr w:rsidR="00B05EC7" w:rsidRPr="00B05EC7" w:rsidSect="002552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1"/>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216"/>
    <w:rsid w:val="00187CE5"/>
    <w:rsid w:val="00255216"/>
    <w:rsid w:val="00336AFD"/>
    <w:rsid w:val="004E5EBE"/>
    <w:rsid w:val="006A511E"/>
    <w:rsid w:val="006B1319"/>
    <w:rsid w:val="00774485"/>
    <w:rsid w:val="00936219"/>
    <w:rsid w:val="00AB2671"/>
    <w:rsid w:val="00B05EC7"/>
    <w:rsid w:val="00C56A9B"/>
    <w:rsid w:val="00C825A6"/>
    <w:rsid w:val="00E47223"/>
    <w:rsid w:val="00EB6355"/>
    <w:rsid w:val="00EE3700"/>
    <w:rsid w:val="00F6012C"/>
    <w:rsid w:val="00FC0491"/>
    <w:rsid w:val="00FD1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2B3ED"/>
  <w15:chartTrackingRefBased/>
  <w15:docId w15:val="{6BE96162-17D5-9546-9C97-D681BAFC4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55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255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5521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5521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5521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55216"/>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55216"/>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55216"/>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55216"/>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5521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25521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5521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5521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5521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5521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5521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5521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55216"/>
    <w:rPr>
      <w:rFonts w:eastAsiaTheme="majorEastAsia" w:cstheme="majorBidi"/>
      <w:color w:val="272727" w:themeColor="text1" w:themeTint="D8"/>
    </w:rPr>
  </w:style>
  <w:style w:type="paragraph" w:styleId="Titlu">
    <w:name w:val="Title"/>
    <w:basedOn w:val="Normal"/>
    <w:next w:val="Normal"/>
    <w:link w:val="TitluCaracter"/>
    <w:uiPriority w:val="10"/>
    <w:qFormat/>
    <w:rsid w:val="00255216"/>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5521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55216"/>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5521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55216"/>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255216"/>
    <w:rPr>
      <w:i/>
      <w:iCs/>
      <w:color w:val="404040" w:themeColor="text1" w:themeTint="BF"/>
    </w:rPr>
  </w:style>
  <w:style w:type="paragraph" w:styleId="Listparagraf">
    <w:name w:val="List Paragraph"/>
    <w:basedOn w:val="Normal"/>
    <w:uiPriority w:val="34"/>
    <w:qFormat/>
    <w:rsid w:val="00255216"/>
    <w:pPr>
      <w:ind w:left="720"/>
      <w:contextualSpacing/>
    </w:pPr>
  </w:style>
  <w:style w:type="character" w:styleId="Accentuareintens">
    <w:name w:val="Intense Emphasis"/>
    <w:basedOn w:val="Fontdeparagrafimplicit"/>
    <w:uiPriority w:val="21"/>
    <w:qFormat/>
    <w:rsid w:val="00255216"/>
    <w:rPr>
      <w:i/>
      <w:iCs/>
      <w:color w:val="0F4761" w:themeColor="accent1" w:themeShade="BF"/>
    </w:rPr>
  </w:style>
  <w:style w:type="paragraph" w:styleId="Citatintens">
    <w:name w:val="Intense Quote"/>
    <w:basedOn w:val="Normal"/>
    <w:next w:val="Normal"/>
    <w:link w:val="CitatintensCaracter"/>
    <w:uiPriority w:val="30"/>
    <w:qFormat/>
    <w:rsid w:val="00255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55216"/>
    <w:rPr>
      <w:i/>
      <w:iCs/>
      <w:color w:val="0F4761" w:themeColor="accent1" w:themeShade="BF"/>
    </w:rPr>
  </w:style>
  <w:style w:type="character" w:styleId="Referireintens">
    <w:name w:val="Intense Reference"/>
    <w:basedOn w:val="Fontdeparagrafimplicit"/>
    <w:uiPriority w:val="32"/>
    <w:qFormat/>
    <w:rsid w:val="00255216"/>
    <w:rPr>
      <w:b/>
      <w:bCs/>
      <w:smallCaps/>
      <w:color w:val="0F4761" w:themeColor="accent1" w:themeShade="BF"/>
      <w:spacing w:val="5"/>
    </w:rPr>
  </w:style>
  <w:style w:type="paragraph" w:styleId="Frspaiere">
    <w:name w:val="No Spacing"/>
    <w:link w:val="FrspaiereCaracter"/>
    <w:uiPriority w:val="1"/>
    <w:qFormat/>
    <w:rsid w:val="00255216"/>
    <w:rPr>
      <w:rFonts w:eastAsiaTheme="minorEastAsia"/>
      <w:kern w:val="0"/>
      <w:sz w:val="22"/>
      <w:szCs w:val="22"/>
      <w:lang w:val="en-US" w:eastAsia="zh-CN"/>
      <w14:ligatures w14:val="none"/>
    </w:rPr>
  </w:style>
  <w:style w:type="character" w:customStyle="1" w:styleId="FrspaiereCaracter">
    <w:name w:val="Fără spațiere Caracter"/>
    <w:basedOn w:val="Fontdeparagrafimplicit"/>
    <w:link w:val="Frspaiere"/>
    <w:uiPriority w:val="1"/>
    <w:rsid w:val="00255216"/>
    <w:rPr>
      <w:rFonts w:eastAsiaTheme="minorEastAsia"/>
      <w:kern w:val="0"/>
      <w:sz w:val="22"/>
      <w:szCs w:val="22"/>
      <w:lang w:val="en-US" w:eastAsia="zh-CN"/>
      <w14:ligatures w14:val="none"/>
    </w:rPr>
  </w:style>
  <w:style w:type="paragraph" w:styleId="Titlucuprins">
    <w:name w:val="TOC Heading"/>
    <w:basedOn w:val="Titlu1"/>
    <w:next w:val="Normal"/>
    <w:uiPriority w:val="39"/>
    <w:unhideWhenUsed/>
    <w:qFormat/>
    <w:rsid w:val="00255216"/>
    <w:pPr>
      <w:spacing w:before="480" w:after="0" w:line="276" w:lineRule="auto"/>
      <w:outlineLvl w:val="9"/>
    </w:pPr>
    <w:rPr>
      <w:b/>
      <w:bCs/>
      <w:kern w:val="0"/>
      <w:sz w:val="28"/>
      <w:szCs w:val="28"/>
      <w:lang w:val="en-US"/>
      <w14:ligatures w14:val="none"/>
    </w:rPr>
  </w:style>
  <w:style w:type="paragraph" w:styleId="Cuprins1">
    <w:name w:val="toc 1"/>
    <w:basedOn w:val="Normal"/>
    <w:next w:val="Normal"/>
    <w:autoRedefine/>
    <w:uiPriority w:val="39"/>
    <w:unhideWhenUsed/>
    <w:rsid w:val="00255216"/>
    <w:pPr>
      <w:spacing w:before="120"/>
    </w:pPr>
    <w:rPr>
      <w:b/>
      <w:bCs/>
      <w:i/>
      <w:iCs/>
    </w:rPr>
  </w:style>
  <w:style w:type="paragraph" w:styleId="Cuprins2">
    <w:name w:val="toc 2"/>
    <w:basedOn w:val="Normal"/>
    <w:next w:val="Normal"/>
    <w:autoRedefine/>
    <w:uiPriority w:val="39"/>
    <w:unhideWhenUsed/>
    <w:rsid w:val="00255216"/>
    <w:pPr>
      <w:spacing w:before="120"/>
      <w:ind w:left="240"/>
    </w:pPr>
    <w:rPr>
      <w:b/>
      <w:bCs/>
      <w:sz w:val="22"/>
      <w:szCs w:val="22"/>
    </w:rPr>
  </w:style>
  <w:style w:type="paragraph" w:styleId="Cuprins3">
    <w:name w:val="toc 3"/>
    <w:basedOn w:val="Normal"/>
    <w:next w:val="Normal"/>
    <w:autoRedefine/>
    <w:uiPriority w:val="39"/>
    <w:semiHidden/>
    <w:unhideWhenUsed/>
    <w:rsid w:val="00255216"/>
    <w:pPr>
      <w:ind w:left="480"/>
    </w:pPr>
    <w:rPr>
      <w:sz w:val="20"/>
      <w:szCs w:val="20"/>
    </w:rPr>
  </w:style>
  <w:style w:type="paragraph" w:styleId="Cuprins4">
    <w:name w:val="toc 4"/>
    <w:basedOn w:val="Normal"/>
    <w:next w:val="Normal"/>
    <w:autoRedefine/>
    <w:uiPriority w:val="39"/>
    <w:semiHidden/>
    <w:unhideWhenUsed/>
    <w:rsid w:val="00255216"/>
    <w:pPr>
      <w:ind w:left="720"/>
    </w:pPr>
    <w:rPr>
      <w:sz w:val="20"/>
      <w:szCs w:val="20"/>
    </w:rPr>
  </w:style>
  <w:style w:type="paragraph" w:styleId="Cuprins5">
    <w:name w:val="toc 5"/>
    <w:basedOn w:val="Normal"/>
    <w:next w:val="Normal"/>
    <w:autoRedefine/>
    <w:uiPriority w:val="39"/>
    <w:semiHidden/>
    <w:unhideWhenUsed/>
    <w:rsid w:val="00255216"/>
    <w:pPr>
      <w:ind w:left="960"/>
    </w:pPr>
    <w:rPr>
      <w:sz w:val="20"/>
      <w:szCs w:val="20"/>
    </w:rPr>
  </w:style>
  <w:style w:type="paragraph" w:styleId="Cuprins6">
    <w:name w:val="toc 6"/>
    <w:basedOn w:val="Normal"/>
    <w:next w:val="Normal"/>
    <w:autoRedefine/>
    <w:uiPriority w:val="39"/>
    <w:semiHidden/>
    <w:unhideWhenUsed/>
    <w:rsid w:val="00255216"/>
    <w:pPr>
      <w:ind w:left="1200"/>
    </w:pPr>
    <w:rPr>
      <w:sz w:val="20"/>
      <w:szCs w:val="20"/>
    </w:rPr>
  </w:style>
  <w:style w:type="paragraph" w:styleId="Cuprins7">
    <w:name w:val="toc 7"/>
    <w:basedOn w:val="Normal"/>
    <w:next w:val="Normal"/>
    <w:autoRedefine/>
    <w:uiPriority w:val="39"/>
    <w:semiHidden/>
    <w:unhideWhenUsed/>
    <w:rsid w:val="00255216"/>
    <w:pPr>
      <w:ind w:left="1440"/>
    </w:pPr>
    <w:rPr>
      <w:sz w:val="20"/>
      <w:szCs w:val="20"/>
    </w:rPr>
  </w:style>
  <w:style w:type="paragraph" w:styleId="Cuprins8">
    <w:name w:val="toc 8"/>
    <w:basedOn w:val="Normal"/>
    <w:next w:val="Normal"/>
    <w:autoRedefine/>
    <w:uiPriority w:val="39"/>
    <w:semiHidden/>
    <w:unhideWhenUsed/>
    <w:rsid w:val="00255216"/>
    <w:pPr>
      <w:ind w:left="1680"/>
    </w:pPr>
    <w:rPr>
      <w:sz w:val="20"/>
      <w:szCs w:val="20"/>
    </w:rPr>
  </w:style>
  <w:style w:type="paragraph" w:styleId="Cuprins9">
    <w:name w:val="toc 9"/>
    <w:basedOn w:val="Normal"/>
    <w:next w:val="Normal"/>
    <w:autoRedefine/>
    <w:uiPriority w:val="39"/>
    <w:semiHidden/>
    <w:unhideWhenUsed/>
    <w:rsid w:val="00255216"/>
    <w:pPr>
      <w:ind w:left="1920"/>
    </w:pPr>
    <w:rPr>
      <w:sz w:val="20"/>
      <w:szCs w:val="20"/>
    </w:rPr>
  </w:style>
  <w:style w:type="character" w:styleId="Hyperlink">
    <w:name w:val="Hyperlink"/>
    <w:basedOn w:val="Fontdeparagrafimplicit"/>
    <w:uiPriority w:val="99"/>
    <w:unhideWhenUsed/>
    <w:rsid w:val="002552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idermedia.com/blogs/yorkshire/128796-business-matters-how-successfully-complete-deal-japanese-businesses" TargetMode="External"/><Relationship Id="rId13" Type="http://schemas.openxmlformats.org/officeDocument/2006/relationships/hyperlink" Target="https://www.lseg.com/en/media-centre/press-releases/2022/lseg-mizuho-collaborate-on-the-development-of-sustainability-solutions" TargetMode="External"/><Relationship Id="rId18" Type="http://schemas.openxmlformats.org/officeDocument/2006/relationships/hyperlink" Target="https://advantage.marketline.com/Analysis/ViewasPDF/japan-investment-banking-brokerage-ml-242812" TargetMode="External"/><Relationship Id="rId26" Type="http://schemas.openxmlformats.org/officeDocument/2006/relationships/hyperlink" Target="https://www.poppulo.com/blog/cross-cultural-communication-strategies" TargetMode="External"/><Relationship Id="rId3" Type="http://schemas.openxmlformats.org/officeDocument/2006/relationships/settings" Target="settings.xml"/><Relationship Id="rId21" Type="http://schemas.openxmlformats.org/officeDocument/2006/relationships/hyperlink" Target="https://www.simplypsychology.org/hofstedes-cultural-dimensions-theory.html" TargetMode="External"/><Relationship Id="rId7" Type="http://schemas.openxmlformats.org/officeDocument/2006/relationships/hyperlink" Target="https://www.tbcculturehub.com/post/the-united-kingdom-its-cultural-dimensions-and-cultural-values" TargetMode="External"/><Relationship Id="rId12" Type="http://schemas.openxmlformats.org/officeDocument/2006/relationships/hyperlink" Target="https://www.lloydsbankinggroup.com/who-we-are/our-heritage.html" TargetMode="External"/><Relationship Id="rId17" Type="http://schemas.openxmlformats.org/officeDocument/2006/relationships/hyperlink" Target="https://advantage.marketline.com/Company/Summary/mizuho_financial_group_inc" TargetMode="External"/><Relationship Id="rId25" Type="http://schemas.openxmlformats.org/officeDocument/2006/relationships/hyperlink" Target="https://blogs.surrey.ac.uk/japanblog/2024/05/06/cultural-differences-between-the-uk-and-japan-experience-of-studying-abroad-from-asia/" TargetMode="External"/><Relationship Id="rId2" Type="http://schemas.openxmlformats.org/officeDocument/2006/relationships/styles" Target="styles.xml"/><Relationship Id="rId16" Type="http://schemas.openxmlformats.org/officeDocument/2006/relationships/hyperlink" Target="https://advantage-marketline-com.ezproxy.uwtsd.ac.uk/Company/Summary/lloyds_banking_group_plc" TargetMode="External"/><Relationship Id="rId20" Type="http://schemas.openxmlformats.org/officeDocument/2006/relationships/hyperlink" Target="https://www.mizuhogroup.com/who-we-are/company-information/overvie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perlego.com/book/4218836" TargetMode="External"/><Relationship Id="rId11" Type="http://schemas.openxmlformats.org/officeDocument/2006/relationships/hyperlink" Target="https://www.perlego.com/book/3493952" TargetMode="External"/><Relationship Id="rId24" Type="http://schemas.openxmlformats.org/officeDocument/2006/relationships/hyperlink" Target="https://japantoday.com/category/features/lifestyle/navigating-japanese-communication-styles-in-the-workplace-tips-from-globis-mba-school?comment-order=latest" TargetMode="External"/><Relationship Id="rId5" Type="http://schemas.openxmlformats.org/officeDocument/2006/relationships/hyperlink" Target="https://www.proquest.com/scholarly-journals/analysis-intercultural-business-communication/docview/1644486702/se-2?accountid=130472" TargetMode="External"/><Relationship Id="rId15" Type="http://schemas.openxmlformats.org/officeDocument/2006/relationships/hyperlink" Target="https://doi.org/10.21125/edulearn.2021.1387" TargetMode="External"/><Relationship Id="rId23" Type="http://schemas.openxmlformats.org/officeDocument/2006/relationships/hyperlink" Target="https://www.perlego.com/book/1520662" TargetMode="External"/><Relationship Id="rId28" Type="http://schemas.openxmlformats.org/officeDocument/2006/relationships/hyperlink" Target="https://www.worldbusinessculture.com/country-profiles/japan/business-communication-styles/" TargetMode="External"/><Relationship Id="rId10" Type="http://schemas.openxmlformats.org/officeDocument/2006/relationships/hyperlink" Target="https://www.ejable.com/japan-corner/japanese-language-and-communication/japanese-communication-style/" TargetMode="External"/><Relationship Id="rId19" Type="http://schemas.openxmlformats.org/officeDocument/2006/relationships/hyperlink" Target="https://crowjack.com/blog/strategy/hofstedes-cultural-dimensions" TargetMode="External"/><Relationship Id="rId4" Type="http://schemas.openxmlformats.org/officeDocument/2006/relationships/webSettings" Target="webSettings.xml"/><Relationship Id="rId9" Type="http://schemas.openxmlformats.org/officeDocument/2006/relationships/hyperlink" Target="https://drpress.org/ojs/index.php/jeer/article/download/24322/23847/32440" TargetMode="External"/><Relationship Id="rId14" Type="http://schemas.openxmlformats.org/officeDocument/2006/relationships/hyperlink" Target="https://www.bbc.co.uk/worklife/article/20200129-what-is-reading-the-air-in-japan" TargetMode="External"/><Relationship Id="rId22" Type="http://schemas.openxmlformats.org/officeDocument/2006/relationships/hyperlink" Target="https://www.perlego.com/book/1284267" TargetMode="External"/><Relationship Id="rId27" Type="http://schemas.openxmlformats.org/officeDocument/2006/relationships/hyperlink" Target="https://corporatefinanceinstitute.com/resources/management/hofstedes-cultural-dimensions-theor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3A519-B9E6-7149-AEFC-5A5588766E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4186</Words>
  <Characters>24283</Characters>
  <Application>Microsoft Office Word</Application>
  <DocSecurity>0</DocSecurity>
  <Lines>202</Lines>
  <Paragraphs>56</Paragraphs>
  <ScaleCrop>false</ScaleCrop>
  <Company>International Business Communications (LCBB6001)</Company>
  <LinksUpToDate>false</LinksUpToDate>
  <CharactersWithSpaces>28413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Assignment 1</dc:subject>
  <dc:creator>Catalin Tabaras (2xxxxxx)</dc:creator>
  <cp:keywords/>
  <dc:description/>
  <cp:lastModifiedBy>Tabaras Catalin</cp:lastModifiedBy>
  <cp:revision>2</cp:revision>
  <cp:lastPrinted>2025-07-29T22:59:00Z</cp:lastPrinted>
  <dcterms:created xsi:type="dcterms:W3CDTF">2025-07-30T07:07:00Z</dcterms:created>
  <dcterms:modified xsi:type="dcterms:W3CDTF">2025-07-30T07:07:00Z</dcterms:modified>
</cp:coreProperties>
</file>