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FF6CA4" w:rsidR="00FF6CA4" w:rsidP="1DB1D355" w:rsidRDefault="00FF6CA4" w14:paraId="4B81DEA5" w14:textId="6DE49A3F">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Needs to include</w:t>
      </w:r>
      <w:r w:rsidRPr="1DB1D355" w:rsidR="5CB1BC34">
        <w:rPr>
          <w:rFonts w:ascii="Arial" w:hAnsi="Arial" w:cs="Arial"/>
          <w:sz w:val="24"/>
          <w:szCs w:val="24"/>
        </w:rPr>
        <w:t xml:space="preserve"> </w:t>
      </w:r>
    </w:p>
    <w:p w:rsidRPr="00FF6CA4" w:rsidR="00FF6CA4" w:rsidP="1DB1D355" w:rsidRDefault="00FF6CA4" w14:paraId="6D6B1640" w14:textId="26371D2D">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Chapter of knoledge</w:t>
      </w:r>
      <w:r w:rsidRPr="1DB1D355" w:rsidR="5CB1BC34">
        <w:rPr>
          <w:rFonts w:ascii="Arial" w:hAnsi="Arial" w:cs="Arial"/>
          <w:sz w:val="24"/>
          <w:szCs w:val="24"/>
        </w:rPr>
        <w:t xml:space="preserve"> </w:t>
      </w:r>
    </w:p>
    <w:p w:rsidRPr="00FF6CA4" w:rsidR="00FF6CA4" w:rsidP="1DB1D355" w:rsidRDefault="00FF6CA4" w14:paraId="7283DEC1" w14:textId="57A2CDCF">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 xml:space="preserve">What </w:t>
      </w:r>
      <w:r w:rsidRPr="1DB1D355" w:rsidR="5CB1BC34">
        <w:rPr>
          <w:rFonts w:ascii="Arial" w:hAnsi="Arial" w:cs="Arial"/>
          <w:sz w:val="24"/>
          <w:szCs w:val="24"/>
          <w:highlight w:val="yellow"/>
        </w:rPr>
        <w:t>people</w:t>
      </w:r>
      <w:r w:rsidRPr="1DB1D355" w:rsidR="5CB1BC34">
        <w:rPr>
          <w:rFonts w:ascii="Arial" w:hAnsi="Arial" w:cs="Arial"/>
          <w:sz w:val="24"/>
          <w:szCs w:val="24"/>
          <w:highlight w:val="yellow"/>
        </w:rPr>
        <w:t xml:space="preserve"> are saying</w:t>
      </w:r>
      <w:r w:rsidRPr="1DB1D355" w:rsidR="5CB1BC34">
        <w:rPr>
          <w:rFonts w:ascii="Arial" w:hAnsi="Arial" w:cs="Arial"/>
          <w:sz w:val="24"/>
          <w:szCs w:val="24"/>
        </w:rPr>
        <w:t xml:space="preserve"> </w:t>
      </w:r>
    </w:p>
    <w:p w:rsidRPr="00FF6CA4" w:rsidR="00FF6CA4" w:rsidP="1DB1D355" w:rsidRDefault="00FF6CA4" w14:paraId="0555BCBE" w14:textId="6B0E6134">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Critically evaluate the subject</w:t>
      </w:r>
    </w:p>
    <w:p w:rsidRPr="00FF6CA4" w:rsidR="00FF6CA4" w:rsidP="1DB1D355" w:rsidRDefault="00FF6CA4" w14:paraId="1E740C89" w14:textId="7CE75382">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Who is saying what</w:t>
      </w:r>
    </w:p>
    <w:p w:rsidRPr="00FF6CA4" w:rsidR="00FF6CA4" w:rsidP="1DB1D355" w:rsidRDefault="00FF6CA4" w14:paraId="0B46CDBA" w14:textId="27A10893">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Gaps in lit</w:t>
      </w:r>
    </w:p>
    <w:p w:rsidRPr="00FF6CA4" w:rsidR="00FF6CA4" w:rsidP="1DB1D355" w:rsidRDefault="00FF6CA4" w14:paraId="1C6B2F6C" w14:textId="28CEFBC2">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Refs 5-7 years wide range</w:t>
      </w:r>
      <w:r w:rsidRPr="1DB1D355" w:rsidR="5CB1BC34">
        <w:rPr>
          <w:rFonts w:ascii="Arial" w:hAnsi="Arial" w:cs="Arial"/>
          <w:sz w:val="24"/>
          <w:szCs w:val="24"/>
        </w:rPr>
        <w:t xml:space="preserve"> </w:t>
      </w:r>
    </w:p>
    <w:p w:rsidRPr="00FF6CA4" w:rsidR="00FF6CA4" w:rsidP="1DB1D355" w:rsidRDefault="00FF6CA4" w14:paraId="78A1F8E3" w14:textId="173DBA9B">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 xml:space="preserve">Collage of policing where </w:t>
      </w:r>
      <w:r w:rsidRPr="1DB1D355" w:rsidR="5CB1BC34">
        <w:rPr>
          <w:rFonts w:ascii="Arial" w:hAnsi="Arial" w:cs="Arial"/>
          <w:sz w:val="24"/>
          <w:szCs w:val="24"/>
          <w:highlight w:val="yellow"/>
        </w:rPr>
        <w:t>necessary</w:t>
      </w:r>
      <w:r w:rsidRPr="1DB1D355" w:rsidR="5CB1BC34">
        <w:rPr>
          <w:rFonts w:ascii="Arial" w:hAnsi="Arial" w:cs="Arial"/>
          <w:sz w:val="24"/>
          <w:szCs w:val="24"/>
        </w:rPr>
        <w:t xml:space="preserve"> </w:t>
      </w:r>
    </w:p>
    <w:p w:rsidRPr="00FF6CA4" w:rsidR="00FF6CA4" w:rsidP="1DB1D355" w:rsidRDefault="00FF6CA4" w14:paraId="146C98AB" w14:textId="6B14A3D3">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Snowballing</w:t>
      </w:r>
      <w:r w:rsidRPr="1DB1D355" w:rsidR="5CB1BC34">
        <w:rPr>
          <w:rFonts w:ascii="Arial" w:hAnsi="Arial" w:cs="Arial"/>
          <w:sz w:val="24"/>
          <w:szCs w:val="24"/>
        </w:rPr>
        <w:t xml:space="preserve"> </w:t>
      </w:r>
    </w:p>
    <w:p w:rsidRPr="00FF6CA4" w:rsidR="00FF6CA4" w:rsidP="1DB1D355" w:rsidRDefault="00FF6CA4" w14:paraId="4C761698" w14:textId="4FB0B81D">
      <w:pPr>
        <w:pStyle w:val="ListParagraph"/>
        <w:numPr>
          <w:ilvl w:val="0"/>
          <w:numId w:val="4"/>
        </w:numPr>
        <w:spacing w:line="360" w:lineRule="auto"/>
        <w:jc w:val="both"/>
        <w:rPr>
          <w:rFonts w:ascii="Arial" w:hAnsi="Arial" w:cs="Arial"/>
          <w:sz w:val="24"/>
          <w:szCs w:val="24"/>
          <w:highlight w:val="yellow"/>
        </w:rPr>
      </w:pPr>
      <w:r w:rsidRPr="1DB1D355" w:rsidR="5CB1BC34">
        <w:rPr>
          <w:rFonts w:ascii="Arial" w:hAnsi="Arial" w:cs="Arial"/>
          <w:sz w:val="24"/>
          <w:szCs w:val="24"/>
          <w:highlight w:val="yellow"/>
        </w:rPr>
        <w:t xml:space="preserve">Link back to research question aims and objectives  </w:t>
      </w:r>
    </w:p>
    <w:p w:rsidRPr="00FF6CA4" w:rsidR="00FF6CA4" w:rsidP="1DB1D355" w:rsidRDefault="00FF6CA4" w14:paraId="1FF35944" w14:textId="3F4E634B">
      <w:pPr>
        <w:pStyle w:val="Normal"/>
        <w:spacing w:line="360" w:lineRule="auto"/>
        <w:jc w:val="both"/>
      </w:pPr>
      <w:r w:rsidRPr="1DB1D355" w:rsidR="5CB1BC34">
        <w:rPr>
          <w:rFonts w:ascii="Arial" w:hAnsi="Arial" w:cs="Arial"/>
          <w:sz w:val="24"/>
          <w:szCs w:val="24"/>
          <w:highlight w:val="yellow"/>
        </w:rPr>
        <w:t xml:space="preserve">Need to add more </w:t>
      </w:r>
      <w:r w:rsidRPr="1DB1D355" w:rsidR="5CB1BC34">
        <w:rPr>
          <w:rFonts w:ascii="Arial" w:hAnsi="Arial" w:cs="Arial"/>
          <w:sz w:val="24"/>
          <w:szCs w:val="24"/>
          <w:highlight w:val="yellow"/>
        </w:rPr>
        <w:t>uptodate</w:t>
      </w:r>
      <w:r w:rsidRPr="1DB1D355" w:rsidR="5CB1BC34">
        <w:rPr>
          <w:rFonts w:ascii="Arial" w:hAnsi="Arial" w:cs="Arial"/>
          <w:sz w:val="24"/>
          <w:szCs w:val="24"/>
          <w:highlight w:val="yellow"/>
        </w:rPr>
        <w:t xml:space="preserve"> refs or sastistics </w:t>
      </w:r>
    </w:p>
    <w:p w:rsidRPr="00FF6CA4" w:rsidR="00FF6CA4" w:rsidP="1DB1D355" w:rsidRDefault="00FF6CA4" w14:paraId="1B3169AF" w14:textId="2B2FE244">
      <w:pPr>
        <w:spacing w:line="360" w:lineRule="auto"/>
        <w:jc w:val="both"/>
        <w:rPr>
          <w:rFonts w:ascii="Arial" w:hAnsi="Arial" w:cs="Arial"/>
          <w:sz w:val="24"/>
          <w:szCs w:val="24"/>
        </w:rPr>
      </w:pPr>
    </w:p>
    <w:p w:rsidRPr="00FF6CA4" w:rsidR="00FF6CA4" w:rsidP="00FF6CA4" w:rsidRDefault="00FF6CA4" w14:paraId="00819FF5" w14:textId="6D215C1F">
      <w:pPr>
        <w:spacing w:line="360" w:lineRule="auto"/>
        <w:jc w:val="both"/>
        <w:rPr>
          <w:rFonts w:ascii="Arial" w:hAnsi="Arial" w:cs="Arial"/>
          <w:sz w:val="24"/>
          <w:szCs w:val="24"/>
        </w:rPr>
      </w:pPr>
      <w:r w:rsidRPr="1DB1D355" w:rsidR="2402FB52">
        <w:rPr>
          <w:rFonts w:ascii="Arial" w:hAnsi="Arial" w:cs="Arial"/>
          <w:sz w:val="24"/>
          <w:szCs w:val="24"/>
        </w:rPr>
        <w:t>Chapter 2: Literature Review</w:t>
      </w:r>
      <w:r w:rsidRPr="1DB1D355" w:rsidR="30716DE2">
        <w:rPr>
          <w:rFonts w:ascii="Arial" w:hAnsi="Arial" w:cs="Arial"/>
          <w:sz w:val="24"/>
          <w:szCs w:val="24"/>
        </w:rPr>
        <w:t xml:space="preserve"> (8012 </w:t>
      </w:r>
      <w:r w:rsidRPr="1DB1D355" w:rsidR="30716DE2">
        <w:rPr>
          <w:rFonts w:ascii="Arial" w:hAnsi="Arial" w:cs="Arial"/>
          <w:sz w:val="24"/>
          <w:szCs w:val="24"/>
        </w:rPr>
        <w:t>WORDS )</w:t>
      </w:r>
    </w:p>
    <w:p w:rsidRPr="00FF6CA4" w:rsidR="00FF6CA4" w:rsidP="00FF6CA4" w:rsidRDefault="00FF6CA4" w14:paraId="07E2180E" w14:textId="77777777">
      <w:pPr>
        <w:spacing w:line="360" w:lineRule="auto"/>
        <w:jc w:val="both"/>
        <w:rPr>
          <w:rFonts w:ascii="Arial" w:hAnsi="Arial" w:cs="Arial"/>
          <w:sz w:val="24"/>
          <w:szCs w:val="24"/>
        </w:rPr>
      </w:pPr>
      <w:r w:rsidRPr="00FF6CA4">
        <w:rPr>
          <w:rFonts w:ascii="Arial" w:hAnsi="Arial" w:cs="Arial"/>
          <w:sz w:val="24"/>
          <w:szCs w:val="24"/>
        </w:rPr>
        <w:t>2.1 Introduction</w:t>
      </w:r>
    </w:p>
    <w:p w:rsidRPr="00FF6CA4" w:rsidR="00FF6CA4" w:rsidP="00FF6CA4" w:rsidRDefault="00FF6CA4" w14:paraId="07C17E59" w14:textId="77777777">
      <w:pPr>
        <w:spacing w:line="360" w:lineRule="auto"/>
        <w:jc w:val="both"/>
        <w:rPr>
          <w:rFonts w:ascii="Arial" w:hAnsi="Arial" w:cs="Arial"/>
          <w:sz w:val="24"/>
          <w:szCs w:val="24"/>
        </w:rPr>
      </w:pPr>
      <w:r w:rsidRPr="00FF6CA4">
        <w:rPr>
          <w:rFonts w:ascii="Arial" w:hAnsi="Arial" w:cs="Arial"/>
          <w:sz w:val="24"/>
          <w:szCs w:val="24"/>
        </w:rPr>
        <w:t>Youth offending prevention in England and Wales has undergone considerable change over the last decade, with an increasingly explicit emphasis upon prevention, diversion and the treatment of children as children rather than simply as offenders. These developments have become particularly significant following the COVID-19 pandemic, which disrupted education, employment, family relationships and access to support services, while also exposing and intensifying existing inequalities. The contemporary policy environment therefore raises an important question concerning whether youth offending prevention has addressed the wider social and educational circumstances associated with offending, rather than concentrating primarily upon individual behaviour. This literature review critically examines that issue through the research question: to what extent have post-pandemic youth offending prevention strategies in England and Wales addressed educational disengagement and economic deprivation, and what lessons can be drawn from international approaches?</w:t>
      </w:r>
    </w:p>
    <w:p w:rsidRPr="00FF6CA4" w:rsidR="00FF6CA4" w:rsidP="00FF6CA4" w:rsidRDefault="00FF6CA4" w14:paraId="2518D039" w14:textId="77777777">
      <w:pPr>
        <w:spacing w:line="360" w:lineRule="auto"/>
        <w:jc w:val="both"/>
        <w:rPr>
          <w:rFonts w:ascii="Arial" w:hAnsi="Arial" w:cs="Arial"/>
          <w:sz w:val="24"/>
          <w:szCs w:val="24"/>
        </w:rPr>
      </w:pPr>
      <w:r w:rsidRPr="00FF6CA4">
        <w:rPr>
          <w:rFonts w:ascii="Arial" w:hAnsi="Arial" w:cs="Arial"/>
          <w:sz w:val="24"/>
          <w:szCs w:val="24"/>
        </w:rPr>
        <w:t>The review directly supports the research aim of critically evaluating whether post-pandemic youth offending prevention strategies have addressed key social and educational factors associated with youth offending, particularly educational disengagement and economic deprivation, while considering how principles from international youth justice models may inform future policy development. Four objectives structure the review. First, it examines changes in youth offending prevention policy and practice following COVID-19, particularly early intervention, diversion and child-centred approaches. Second, it critically evaluates evidence concerning the strengths, limitations and effectiveness of those strategies. Third, it explores the extent to which educational disengagement and economic deprivation have influenced youth offending prevention debates and policy responses. Fourth, it compares England and Wales with selected international youth justice approaches and considers which principles could realistically inform future policy.</w:t>
      </w:r>
    </w:p>
    <w:p w:rsidRPr="00FF6CA4" w:rsidR="00FF6CA4" w:rsidP="00FF6CA4" w:rsidRDefault="00FF6CA4" w14:paraId="43F8D929" w14:textId="77777777">
      <w:pPr>
        <w:spacing w:line="360" w:lineRule="auto"/>
        <w:jc w:val="both"/>
        <w:rPr>
          <w:rFonts w:ascii="Arial" w:hAnsi="Arial" w:cs="Arial"/>
          <w:sz w:val="24"/>
          <w:szCs w:val="24"/>
        </w:rPr>
      </w:pPr>
      <w:r w:rsidRPr="00FF6CA4">
        <w:rPr>
          <w:rFonts w:ascii="Arial" w:hAnsi="Arial" w:cs="Arial"/>
          <w:sz w:val="24"/>
          <w:szCs w:val="24"/>
        </w:rPr>
        <w:t>This is important because the reduction in children's contact with the youth justice system does not</w:t>
      </w:r>
      <w:proofErr w:type="gramStart"/>
      <w:r w:rsidRPr="00FF6CA4">
        <w:rPr>
          <w:rFonts w:ascii="Arial" w:hAnsi="Arial" w:cs="Arial"/>
          <w:sz w:val="24"/>
          <w:szCs w:val="24"/>
        </w:rPr>
        <w:t>, in itself, demonstrate</w:t>
      </w:r>
      <w:proofErr w:type="gramEnd"/>
      <w:r w:rsidRPr="00FF6CA4">
        <w:rPr>
          <w:rFonts w:ascii="Arial" w:hAnsi="Arial" w:cs="Arial"/>
          <w:sz w:val="24"/>
          <w:szCs w:val="24"/>
        </w:rPr>
        <w:t xml:space="preserve"> that the causes or conditions associated with offending have been addressed. The latest Youth Justice Board (YJB) statistics show that just over 8,100 children entered the youth justice system for the first time in 2024, </w:t>
      </w:r>
      <w:r w:rsidRPr="00FF6CA4">
        <w:rPr>
          <w:rFonts w:ascii="Arial" w:hAnsi="Arial" w:cs="Arial"/>
          <w:sz w:val="24"/>
          <w:szCs w:val="24"/>
        </w:rPr>
        <w:lastRenderedPageBreak/>
        <w:t xml:space="preserve">the lowest number in the available time series. Wales recorded approximately 390 first-time entrants, representing a 59 per cent reduction compared with 2014 (Youth Justice Board, 2026). The statistics are therefore strong evidence of a long-term transformation in youth justice system contact, but they cannot by themselves establish whether educational disengagement or economic deprivation has declined </w:t>
      </w:r>
      <w:proofErr w:type="gramStart"/>
      <w:r w:rsidRPr="00FF6CA4">
        <w:rPr>
          <w:rFonts w:ascii="Arial" w:hAnsi="Arial" w:cs="Arial"/>
          <w:sz w:val="24"/>
          <w:szCs w:val="24"/>
        </w:rPr>
        <w:t>as a result of</w:t>
      </w:r>
      <w:proofErr w:type="gramEnd"/>
      <w:r w:rsidRPr="00FF6CA4">
        <w:rPr>
          <w:rFonts w:ascii="Arial" w:hAnsi="Arial" w:cs="Arial"/>
          <w:sz w:val="24"/>
          <w:szCs w:val="24"/>
        </w:rPr>
        <w:t xml:space="preserve"> prevention policy.</w:t>
      </w:r>
    </w:p>
    <w:p w:rsidRPr="00FF6CA4" w:rsidR="00FF6CA4" w:rsidP="00FF6CA4" w:rsidRDefault="00FF6CA4" w14:paraId="3CAFCFCD" w14:textId="14EDA714">
      <w:pPr>
        <w:spacing w:line="360" w:lineRule="auto"/>
        <w:jc w:val="both"/>
        <w:rPr>
          <w:rFonts w:ascii="Arial" w:hAnsi="Arial" w:cs="Arial"/>
          <w:sz w:val="24"/>
          <w:szCs w:val="24"/>
        </w:rPr>
      </w:pPr>
      <w:r w:rsidRPr="00FF6CA4">
        <w:rPr>
          <w:rFonts w:ascii="Arial" w:hAnsi="Arial" w:cs="Arial"/>
          <w:sz w:val="24"/>
          <w:szCs w:val="24"/>
        </w:rPr>
        <w:t xml:space="preserve">This distinction is central to the review. The question is not simply whether prevention strategies have been introduced, but whether they have addressed the educational and economic conditions associated with youth offending and whether there is sufficient evidence to conclude that they are effective. Consequently, the review evaluates both policy intentions and empirical evidence, while considering the </w:t>
      </w:r>
      <w:r w:rsidRPr="00FF6CA4" w:rsidR="00D224F3">
        <w:rPr>
          <w:rFonts w:ascii="Arial" w:hAnsi="Arial" w:cs="Arial"/>
          <w:sz w:val="24"/>
          <w:szCs w:val="24"/>
        </w:rPr>
        <w:t>established</w:t>
      </w:r>
      <w:r w:rsidRPr="00FF6CA4">
        <w:rPr>
          <w:rFonts w:ascii="Arial" w:hAnsi="Arial" w:cs="Arial"/>
          <w:sz w:val="24"/>
          <w:szCs w:val="24"/>
        </w:rPr>
        <w:t xml:space="preserve"> position of those producing the evidence.</w:t>
      </w:r>
    </w:p>
    <w:p w:rsidRPr="00FF6CA4" w:rsidR="00FF6CA4" w:rsidP="00FF6CA4" w:rsidRDefault="00FF6CA4" w14:paraId="3FC3BBCC" w14:textId="77777777">
      <w:pPr>
        <w:spacing w:line="360" w:lineRule="auto"/>
        <w:jc w:val="both"/>
        <w:rPr>
          <w:rFonts w:ascii="Arial" w:hAnsi="Arial" w:cs="Arial"/>
          <w:sz w:val="24"/>
          <w:szCs w:val="24"/>
        </w:rPr>
      </w:pPr>
      <w:r w:rsidRPr="00FF6CA4">
        <w:rPr>
          <w:rFonts w:ascii="Arial" w:hAnsi="Arial" w:cs="Arial"/>
          <w:sz w:val="24"/>
          <w:szCs w:val="24"/>
        </w:rPr>
        <w:t>The literature is drawn from a range of peer-reviewed academic articles, academic books and chapters, government publications, official statistics, legislation and policy documents, Youth Justice Board research, policing evidence, education research and international youth justice literature. This broad approach is necessary because the research question concerns both policy development and effectiveness. Government statistics provide evidence about trends, academic research provides theoretical and empirical critique, policy documents establish what governments intended to achieve, and independent evaluations provide evidence about implementation and outcomes. No single source type can answer the research question adequately.</w:t>
      </w:r>
    </w:p>
    <w:p w:rsidRPr="00FF6CA4" w:rsidR="00FF6CA4" w:rsidP="00FF6CA4" w:rsidRDefault="00FF6CA4" w14:paraId="53085028" w14:textId="77777777">
      <w:pPr>
        <w:spacing w:line="360" w:lineRule="auto"/>
        <w:jc w:val="both"/>
        <w:rPr>
          <w:rFonts w:ascii="Arial" w:hAnsi="Arial" w:cs="Arial"/>
          <w:sz w:val="24"/>
          <w:szCs w:val="24"/>
        </w:rPr>
      </w:pPr>
      <w:r w:rsidRPr="00FF6CA4">
        <w:rPr>
          <w:rFonts w:ascii="Arial" w:hAnsi="Arial" w:cs="Arial"/>
          <w:sz w:val="24"/>
          <w:szCs w:val="24"/>
        </w:rPr>
        <w:t>2.2 Chapter of knowledge: what is currently known?</w:t>
      </w:r>
    </w:p>
    <w:p w:rsidRPr="00FF6CA4" w:rsidR="00FF6CA4" w:rsidP="00FF6CA4" w:rsidRDefault="00FF6CA4" w14:paraId="00F80094" w14:textId="77777777">
      <w:pPr>
        <w:spacing w:line="360" w:lineRule="auto"/>
        <w:jc w:val="both"/>
        <w:rPr>
          <w:rFonts w:ascii="Arial" w:hAnsi="Arial" w:cs="Arial"/>
          <w:sz w:val="24"/>
          <w:szCs w:val="24"/>
        </w:rPr>
      </w:pPr>
      <w:r w:rsidRPr="00FF6CA4">
        <w:rPr>
          <w:rFonts w:ascii="Arial" w:hAnsi="Arial" w:cs="Arial"/>
          <w:sz w:val="24"/>
          <w:szCs w:val="24"/>
        </w:rPr>
        <w:t>A significant body of contemporary youth justice literature rejects explanations of offending which focus exclusively upon individual responsibility. Instead, offending is increasingly understood within developmental, social, educational, family and economic contexts. This shift is particularly important to the present research because educational disengagement and economic deprivation are not simply additional variables; they form part of the wider environment in which children's behaviour develops.</w:t>
      </w:r>
    </w:p>
    <w:p w:rsidRPr="00FF6CA4" w:rsidR="00FF6CA4" w:rsidP="00FF6CA4" w:rsidRDefault="00FF6CA4" w14:paraId="453ACC69" w14:textId="77777777">
      <w:pPr>
        <w:spacing w:line="360" w:lineRule="auto"/>
        <w:jc w:val="both"/>
        <w:rPr>
          <w:rFonts w:ascii="Arial" w:hAnsi="Arial" w:cs="Arial"/>
          <w:sz w:val="24"/>
          <w:szCs w:val="24"/>
        </w:rPr>
      </w:pPr>
      <w:r w:rsidRPr="00FF6CA4">
        <w:rPr>
          <w:rFonts w:ascii="Arial" w:hAnsi="Arial" w:cs="Arial"/>
          <w:sz w:val="24"/>
          <w:szCs w:val="24"/>
        </w:rPr>
        <w:t xml:space="preserve">Case and Smith (2023), UK academics specialising in youth justice, argue that the Child First approach represents an attempt to challenge adult-centred understandings of children who offend. Their work is significant because Child First has become a </w:t>
      </w:r>
      <w:r w:rsidRPr="00FF6CA4">
        <w:rPr>
          <w:rFonts w:ascii="Arial" w:hAnsi="Arial" w:cs="Arial"/>
          <w:sz w:val="24"/>
          <w:szCs w:val="24"/>
        </w:rPr>
        <w:lastRenderedPageBreak/>
        <w:t>central principle of youth justice policy in England and Wales. The authors are not government policymakers responsible for implementing youth justice services; rather, their contribution is primarily academic and theoretical. This gives their work value as an independent critique of conventional risk-led approaches, although their close association with the development of Child First means that their position should be considered alongside empirical evidence examining whether the approach works in practice.</w:t>
      </w:r>
    </w:p>
    <w:p w:rsidRPr="00FF6CA4" w:rsidR="00FF6CA4" w:rsidP="00FF6CA4" w:rsidRDefault="00FF6CA4" w14:paraId="7BC0BD25" w14:textId="77777777">
      <w:pPr>
        <w:spacing w:line="360" w:lineRule="auto"/>
        <w:jc w:val="both"/>
        <w:rPr>
          <w:rFonts w:ascii="Arial" w:hAnsi="Arial" w:cs="Arial"/>
          <w:sz w:val="24"/>
          <w:szCs w:val="24"/>
        </w:rPr>
      </w:pPr>
      <w:r w:rsidRPr="00FF6CA4">
        <w:rPr>
          <w:rFonts w:ascii="Arial" w:hAnsi="Arial" w:cs="Arial"/>
          <w:sz w:val="24"/>
          <w:szCs w:val="24"/>
        </w:rPr>
        <w:t>Case, Browning and Hampson (2024) provide particularly important evidence because they move from theory towards implementation. Their peer-reviewed study examined professional perceptions of Child First across community, custody, strategy, inspectorate and research settings. They found that Child First was well embedded within national policy and strategy but remained inconsistently implemented across local areas. This is significant for the second research objective because it demonstrates a policy-practice gap. A strategy can be formally adopted without producing consistent changes in practice.</w:t>
      </w:r>
    </w:p>
    <w:p w:rsidRPr="00FF6CA4" w:rsidR="00FF6CA4" w:rsidP="00FF6CA4" w:rsidRDefault="00FF6CA4" w14:paraId="2C253A6A" w14:textId="77777777">
      <w:pPr>
        <w:spacing w:line="360" w:lineRule="auto"/>
        <w:jc w:val="both"/>
        <w:rPr>
          <w:rFonts w:ascii="Arial" w:hAnsi="Arial" w:cs="Arial"/>
          <w:sz w:val="24"/>
          <w:szCs w:val="24"/>
        </w:rPr>
      </w:pPr>
      <w:r w:rsidRPr="00FF6CA4">
        <w:rPr>
          <w:rFonts w:ascii="Arial" w:hAnsi="Arial" w:cs="Arial"/>
          <w:sz w:val="24"/>
          <w:szCs w:val="24"/>
        </w:rPr>
        <w:t>The distinction between policy and practice is reinforced by Hampson, Creaney and Burns (2024), academics working across law, criminology and youth studies. Their conceptual analysis identifies collaboration as a central principle of Child First but highlights difficulties caused by unequal power relationships between professionals and children. This is particularly important because children subject to youth justice interventions may be required to participate in services rather than freely choosing to do so. The language of collaboration therefore does not automatically mean that power has been equally distributed.</w:t>
      </w:r>
    </w:p>
    <w:p w:rsidRPr="00FF6CA4" w:rsidR="00FF6CA4" w:rsidP="00FF6CA4" w:rsidRDefault="00FF6CA4" w14:paraId="2B3EC5A8" w14:textId="77777777">
      <w:pPr>
        <w:spacing w:line="360" w:lineRule="auto"/>
        <w:jc w:val="both"/>
        <w:rPr>
          <w:rFonts w:ascii="Arial" w:hAnsi="Arial" w:cs="Arial"/>
          <w:sz w:val="24"/>
          <w:szCs w:val="24"/>
        </w:rPr>
      </w:pPr>
      <w:r w:rsidRPr="00FF6CA4">
        <w:rPr>
          <w:rFonts w:ascii="Arial" w:hAnsi="Arial" w:cs="Arial"/>
          <w:sz w:val="24"/>
          <w:szCs w:val="24"/>
        </w:rPr>
        <w:t>This argument is developed further by Hampson (2026), whose recent work examines the meaning of collaboration between children and adults within youth justice. Her position as a UK academic specialising in law and youth justice provides a critical perspective on the relationship between Child First policy and actual professional practice. The value of this research lies in its attention to the power relationship underlying supposedly collaborative interventions. This is relevant to the research question because an intervention can be child-centred in language while still failing to address the underlying educational or socioeconomic circumstances affecting a child's life.</w:t>
      </w:r>
    </w:p>
    <w:p w:rsidRPr="00FF6CA4" w:rsidR="00FF6CA4" w:rsidP="00FF6CA4" w:rsidRDefault="00FF6CA4" w14:paraId="22318D02" w14:textId="77777777">
      <w:pPr>
        <w:spacing w:line="360" w:lineRule="auto"/>
        <w:jc w:val="both"/>
        <w:rPr>
          <w:rFonts w:ascii="Arial" w:hAnsi="Arial" w:cs="Arial"/>
          <w:sz w:val="24"/>
          <w:szCs w:val="24"/>
        </w:rPr>
      </w:pPr>
      <w:r w:rsidRPr="00FF6CA4">
        <w:rPr>
          <w:rFonts w:ascii="Arial" w:hAnsi="Arial" w:cs="Arial"/>
          <w:sz w:val="24"/>
          <w:szCs w:val="24"/>
        </w:rPr>
        <w:lastRenderedPageBreak/>
        <w:t>Marshall (2023) provides another important challenge to an overly positive interpretation of Child First. Her peer-reviewed analysis of child criminal exploitation argues that responses can sometimes continue to involve children in the justice system even when the language of vulnerability and victimisation is used. This demonstrates that child-centred terminology does not automatically produce child-centred practice. Marshall's contribution is particularly valuable because it complicates the dominant policy narrative rather than simply supporting it.</w:t>
      </w:r>
    </w:p>
    <w:p w:rsidRPr="00FF6CA4" w:rsidR="00FF6CA4" w:rsidP="00FF6CA4" w:rsidRDefault="00FF6CA4" w14:paraId="61FB4A6F" w14:textId="77777777">
      <w:pPr>
        <w:spacing w:line="360" w:lineRule="auto"/>
        <w:jc w:val="both"/>
        <w:rPr>
          <w:rFonts w:ascii="Arial" w:hAnsi="Arial" w:cs="Arial"/>
          <w:sz w:val="24"/>
          <w:szCs w:val="24"/>
        </w:rPr>
      </w:pPr>
      <w:r w:rsidRPr="00FF6CA4">
        <w:rPr>
          <w:rFonts w:ascii="Arial" w:hAnsi="Arial" w:cs="Arial"/>
          <w:sz w:val="24"/>
          <w:szCs w:val="24"/>
        </w:rPr>
        <w:t>The literature therefore demonstrates broad agreement that children should be understood within their social and developmental context, but there is disagreement about whether policy has successfully translated this principle into practice. This distinction is central to the present research question. The evidence suggests substantial progress in the philosophy of prevention but less certainty regarding its impact upon the circumstances associated with offending.</w:t>
      </w:r>
    </w:p>
    <w:p w:rsidRPr="00FF6CA4" w:rsidR="00FF6CA4" w:rsidP="00FF6CA4" w:rsidRDefault="00FF6CA4" w14:paraId="006373D2" w14:textId="77777777">
      <w:pPr>
        <w:spacing w:line="360" w:lineRule="auto"/>
        <w:jc w:val="both"/>
        <w:rPr>
          <w:rFonts w:ascii="Arial" w:hAnsi="Arial" w:cs="Arial"/>
          <w:sz w:val="24"/>
          <w:szCs w:val="24"/>
        </w:rPr>
      </w:pPr>
      <w:r w:rsidRPr="00FF6CA4">
        <w:rPr>
          <w:rFonts w:ascii="Arial" w:hAnsi="Arial" w:cs="Arial"/>
          <w:sz w:val="24"/>
          <w:szCs w:val="24"/>
        </w:rPr>
        <w:t>2.3 The post-pandemic context</w:t>
      </w:r>
    </w:p>
    <w:p w:rsidRPr="00FF6CA4" w:rsidR="00FF6CA4" w:rsidP="00FF6CA4" w:rsidRDefault="00FF6CA4" w14:paraId="025EFD8F" w14:textId="77777777">
      <w:pPr>
        <w:spacing w:line="360" w:lineRule="auto"/>
        <w:jc w:val="both"/>
        <w:rPr>
          <w:rFonts w:ascii="Arial" w:hAnsi="Arial" w:cs="Arial"/>
          <w:sz w:val="24"/>
          <w:szCs w:val="24"/>
        </w:rPr>
      </w:pPr>
      <w:r w:rsidRPr="00FF6CA4">
        <w:rPr>
          <w:rFonts w:ascii="Arial" w:hAnsi="Arial" w:cs="Arial"/>
          <w:sz w:val="24"/>
          <w:szCs w:val="24"/>
        </w:rPr>
        <w:t>The COVID-19 pandemic provides an important context for understanding recent youth offending prevention. During periods of lockdown, children experienced significant disruption to education, peer relationships, youth services and family support. The YJB's statistics for 2020/21 explicitly caution that reductions in youth justice contact were affected by pandemic restrictions, including changes in behaviour, reduced social contact and court disruption (Youth Justice Board, 2022).</w:t>
      </w:r>
    </w:p>
    <w:p w:rsidRPr="00FF6CA4" w:rsidR="00FF6CA4" w:rsidP="00FF6CA4" w:rsidRDefault="00FF6CA4" w14:paraId="11320842" w14:textId="77777777">
      <w:pPr>
        <w:spacing w:line="360" w:lineRule="auto"/>
        <w:jc w:val="both"/>
        <w:rPr>
          <w:rFonts w:ascii="Arial" w:hAnsi="Arial" w:cs="Arial"/>
          <w:sz w:val="24"/>
          <w:szCs w:val="24"/>
        </w:rPr>
      </w:pPr>
      <w:r w:rsidRPr="00FF6CA4">
        <w:rPr>
          <w:rFonts w:ascii="Arial" w:hAnsi="Arial" w:cs="Arial"/>
          <w:sz w:val="24"/>
          <w:szCs w:val="24"/>
        </w:rPr>
        <w:t>This is important because it demonstrates why post-pandemic statistics cannot simply be compared with pre-pandemic figures without considering the exceptional circumstances of 2020 and 2021. The YJB's 2021/22 statistics similarly identified continuing pandemic effects, including court delays and disruption to youth justice processes (Youth Justice Board, 2023).</w:t>
      </w:r>
    </w:p>
    <w:p w:rsidRPr="00FF6CA4" w:rsidR="00FF6CA4" w:rsidP="00FF6CA4" w:rsidRDefault="00FF6CA4" w14:paraId="47737B65" w14:textId="77777777">
      <w:pPr>
        <w:spacing w:line="360" w:lineRule="auto"/>
        <w:jc w:val="both"/>
        <w:rPr>
          <w:rFonts w:ascii="Arial" w:hAnsi="Arial" w:cs="Arial"/>
          <w:sz w:val="24"/>
          <w:szCs w:val="24"/>
        </w:rPr>
      </w:pPr>
      <w:r w:rsidRPr="00FF6CA4">
        <w:rPr>
          <w:rFonts w:ascii="Arial" w:hAnsi="Arial" w:cs="Arial"/>
          <w:sz w:val="24"/>
          <w:szCs w:val="24"/>
        </w:rPr>
        <w:t>The pandemic also affected education. Department for Education (DfE) data demonstrate that although school absence has subsequently declined, it remains substantially higher than before COVID-19. In 2024/25, overall absence in England was 6.78 per cent compared with 4.73 per cent in 2018/19, while persistent absence was 18.14 per cent compared with 10.86 per cent before the pandemic (Department for Education, 2026).</w:t>
      </w:r>
    </w:p>
    <w:p w:rsidRPr="00FF6CA4" w:rsidR="00FF6CA4" w:rsidP="00FF6CA4" w:rsidRDefault="00FF6CA4" w14:paraId="3451AAD2" w14:textId="77777777">
      <w:pPr>
        <w:spacing w:line="360" w:lineRule="auto"/>
        <w:jc w:val="both"/>
        <w:rPr>
          <w:rFonts w:ascii="Arial" w:hAnsi="Arial" w:cs="Arial"/>
          <w:sz w:val="24"/>
          <w:szCs w:val="24"/>
        </w:rPr>
      </w:pPr>
      <w:r w:rsidRPr="00FF6CA4">
        <w:rPr>
          <w:rFonts w:ascii="Arial" w:hAnsi="Arial" w:cs="Arial"/>
          <w:sz w:val="24"/>
          <w:szCs w:val="24"/>
        </w:rPr>
        <w:lastRenderedPageBreak/>
        <w:t>These figures are particularly relevant to Objective Three. They demonstrate that educational disengagement remains a significant post-pandemic issue even though attendance has improved. The evidence therefore does not support the conclusion that educational disruption has simply returned to normal. Instead, it indicates a partial recovery alongside continuing structural inequalities.</w:t>
      </w:r>
    </w:p>
    <w:p w:rsidRPr="00FF6CA4" w:rsidR="00FF6CA4" w:rsidP="00FF6CA4" w:rsidRDefault="00FF6CA4" w14:paraId="3C130345" w14:textId="77777777">
      <w:pPr>
        <w:spacing w:line="360" w:lineRule="auto"/>
        <w:jc w:val="both"/>
        <w:rPr>
          <w:rFonts w:ascii="Arial" w:hAnsi="Arial" w:cs="Arial"/>
          <w:sz w:val="24"/>
          <w:szCs w:val="24"/>
        </w:rPr>
      </w:pPr>
      <w:r w:rsidRPr="00FF6CA4">
        <w:rPr>
          <w:rFonts w:ascii="Arial" w:hAnsi="Arial" w:cs="Arial"/>
          <w:sz w:val="24"/>
          <w:szCs w:val="24"/>
        </w:rPr>
        <w:t>The post-pandemic period has consequently produced a policy environment in which prevention has increasingly emphasised early intervention and multi-agency support. However, it is important not to assume that because policies were introduced after COVID-19 they necessarily responded effectively to pandemic-related disadvantage. Some interventions were developed from pre-existing youth justice reforms, while others were intensified because of concerns about serious violence, attendance and vulnerability.</w:t>
      </w:r>
    </w:p>
    <w:p w:rsidRPr="00FF6CA4" w:rsidR="00FF6CA4" w:rsidP="00FF6CA4" w:rsidRDefault="00FF6CA4" w14:paraId="407144C2" w14:textId="77777777">
      <w:pPr>
        <w:spacing w:line="360" w:lineRule="auto"/>
        <w:jc w:val="both"/>
        <w:rPr>
          <w:rFonts w:ascii="Arial" w:hAnsi="Arial" w:cs="Arial"/>
          <w:sz w:val="24"/>
          <w:szCs w:val="24"/>
        </w:rPr>
      </w:pPr>
      <w:r w:rsidRPr="00FF6CA4">
        <w:rPr>
          <w:rFonts w:ascii="Arial" w:hAnsi="Arial" w:cs="Arial"/>
          <w:sz w:val="24"/>
          <w:szCs w:val="24"/>
        </w:rPr>
        <w:t>This distinction strengthens the argument that the review must evaluate policy in context rather than treating every post-pandemic intervention as a direct response to COVID-19.</w:t>
      </w:r>
    </w:p>
    <w:p w:rsidRPr="00FF6CA4" w:rsidR="00FF6CA4" w:rsidP="00FF6CA4" w:rsidRDefault="00FF6CA4" w14:paraId="5467A662" w14:textId="77777777">
      <w:pPr>
        <w:spacing w:line="360" w:lineRule="auto"/>
        <w:jc w:val="both"/>
        <w:rPr>
          <w:rFonts w:ascii="Arial" w:hAnsi="Arial" w:cs="Arial"/>
          <w:sz w:val="24"/>
          <w:szCs w:val="24"/>
        </w:rPr>
      </w:pPr>
      <w:r w:rsidRPr="00FF6CA4">
        <w:rPr>
          <w:rFonts w:ascii="Arial" w:hAnsi="Arial" w:cs="Arial"/>
          <w:sz w:val="24"/>
          <w:szCs w:val="24"/>
        </w:rPr>
        <w:t>2.4 Educational disengagement</w:t>
      </w:r>
    </w:p>
    <w:p w:rsidRPr="00FF6CA4" w:rsidR="00FF6CA4" w:rsidP="00FF6CA4" w:rsidRDefault="00FF6CA4" w14:paraId="2766EAA0" w14:textId="77777777">
      <w:pPr>
        <w:spacing w:line="360" w:lineRule="auto"/>
        <w:jc w:val="both"/>
        <w:rPr>
          <w:rFonts w:ascii="Arial" w:hAnsi="Arial" w:cs="Arial"/>
          <w:sz w:val="24"/>
          <w:szCs w:val="24"/>
        </w:rPr>
      </w:pPr>
      <w:r w:rsidRPr="00FF6CA4">
        <w:rPr>
          <w:rFonts w:ascii="Arial" w:hAnsi="Arial" w:cs="Arial"/>
          <w:sz w:val="24"/>
          <w:szCs w:val="24"/>
        </w:rPr>
        <w:t>Educational disengagement is central to the research question because education can operate as both a protective factor and a mechanism through which disadvantage is reproduced. School attendance provides routine, social relationships, qualifications, access to support and opportunities for employment. Conversely, persistent absence, exclusion and disengagement can reduce access to these protective factors.</w:t>
      </w:r>
    </w:p>
    <w:p w:rsidRPr="00FF6CA4" w:rsidR="00FF6CA4" w:rsidP="00FF6CA4" w:rsidRDefault="00FF6CA4" w14:paraId="3243BA9E" w14:textId="77777777">
      <w:pPr>
        <w:spacing w:line="360" w:lineRule="auto"/>
        <w:jc w:val="both"/>
        <w:rPr>
          <w:rFonts w:ascii="Arial" w:hAnsi="Arial" w:cs="Arial"/>
          <w:sz w:val="24"/>
          <w:szCs w:val="24"/>
        </w:rPr>
      </w:pPr>
      <w:r w:rsidRPr="00FF6CA4">
        <w:rPr>
          <w:rFonts w:ascii="Arial" w:hAnsi="Arial" w:cs="Arial"/>
          <w:sz w:val="24"/>
          <w:szCs w:val="24"/>
        </w:rPr>
        <w:t>Recent DfE evidence demonstrates that educational disengagement remains substantial. Although overall and persistent absence declined in 2024/25, both remained well above pre-pandemic levels (Department for Education, 2026). The situation is particularly concerning in alternative provision, where overall absence reached 42.85 per cent in 2024/25 (Department for Education, 2026).</w:t>
      </w:r>
    </w:p>
    <w:p w:rsidRPr="00FF6CA4" w:rsidR="00FF6CA4" w:rsidP="00FF6CA4" w:rsidRDefault="00FF6CA4" w14:paraId="6B5B059B" w14:textId="77777777">
      <w:pPr>
        <w:spacing w:line="360" w:lineRule="auto"/>
        <w:jc w:val="both"/>
        <w:rPr>
          <w:rFonts w:ascii="Arial" w:hAnsi="Arial" w:cs="Arial"/>
          <w:sz w:val="24"/>
          <w:szCs w:val="24"/>
        </w:rPr>
      </w:pPr>
      <w:r w:rsidRPr="00FF6CA4">
        <w:rPr>
          <w:rFonts w:ascii="Arial" w:hAnsi="Arial" w:cs="Arial"/>
          <w:sz w:val="24"/>
          <w:szCs w:val="24"/>
        </w:rPr>
        <w:t>Alternative provision is particularly relevant to youth offending prevention because it often includes children who have already experienced exclusion or significant difficulties within mainstream education. Ofsted's 2024 thematic review found considerable variation in the quality and strategic planning of alternative provision across local areas (Ofsted, 2024).</w:t>
      </w:r>
    </w:p>
    <w:p w:rsidRPr="00FF6CA4" w:rsidR="00FF6CA4" w:rsidP="00FF6CA4" w:rsidRDefault="00FF6CA4" w14:paraId="1DF2ECB8" w14:textId="77777777">
      <w:pPr>
        <w:spacing w:line="360" w:lineRule="auto"/>
        <w:jc w:val="both"/>
        <w:rPr>
          <w:rFonts w:ascii="Arial" w:hAnsi="Arial" w:cs="Arial"/>
          <w:sz w:val="24"/>
          <w:szCs w:val="24"/>
        </w:rPr>
      </w:pPr>
      <w:r w:rsidRPr="00FF6CA4">
        <w:rPr>
          <w:rFonts w:ascii="Arial" w:hAnsi="Arial" w:cs="Arial"/>
          <w:sz w:val="24"/>
          <w:szCs w:val="24"/>
        </w:rPr>
        <w:lastRenderedPageBreak/>
        <w:t xml:space="preserve">The relationship between exclusion and serious violence has received particularly strong recent attention. A 2025 study published in the </w:t>
      </w:r>
      <w:r w:rsidRPr="00FF6CA4">
        <w:rPr>
          <w:rFonts w:ascii="Arial" w:hAnsi="Arial" w:cs="Arial"/>
          <w:i/>
          <w:iCs/>
          <w:sz w:val="24"/>
          <w:szCs w:val="24"/>
        </w:rPr>
        <w:t>British Journal of Criminology</w:t>
      </w:r>
      <w:r w:rsidRPr="00FF6CA4">
        <w:rPr>
          <w:rFonts w:ascii="Arial" w:hAnsi="Arial" w:cs="Arial"/>
          <w:sz w:val="24"/>
          <w:szCs w:val="24"/>
        </w:rPr>
        <w:t xml:space="preserve"> used target-trial emulation to examine whether permanent exclusion was associated with subsequent serious violence. The researchers found that permanently excluded children were approximately twice as likely to receive a conviction or caution for serious violence within the subsequent 12 months. However, the authors explicitly caution that the findings cannot establish causation because unmeasured confounding remains possible (Cathro et al., 2025).</w:t>
      </w:r>
    </w:p>
    <w:p w:rsidRPr="00FF6CA4" w:rsidR="00FF6CA4" w:rsidP="00FF6CA4" w:rsidRDefault="00FF6CA4" w14:paraId="0B70076B" w14:textId="77777777">
      <w:pPr>
        <w:spacing w:line="360" w:lineRule="auto"/>
        <w:jc w:val="both"/>
        <w:rPr>
          <w:rFonts w:ascii="Arial" w:hAnsi="Arial" w:cs="Arial"/>
          <w:sz w:val="24"/>
          <w:szCs w:val="24"/>
        </w:rPr>
      </w:pPr>
      <w:r w:rsidRPr="00FF6CA4">
        <w:rPr>
          <w:rFonts w:ascii="Arial" w:hAnsi="Arial" w:cs="Arial"/>
          <w:sz w:val="24"/>
          <w:szCs w:val="24"/>
        </w:rPr>
        <w:t>This is an important example of high-quality critical evidence. Rather than simply stating that exclusion causes offending, the researchers acknowledge the methodological limitations. Children who are excluded may already experience multiple disadvantages, including behavioural difficulties, poverty, ALN or SEND depending on the national context, low attainment and family difficulties. These factors may contribute both to exclusion and offending. Therefore, exclusion may be part of a broader pathway rather than a single causal explanation.</w:t>
      </w:r>
    </w:p>
    <w:p w:rsidRPr="00FF6CA4" w:rsidR="00FF6CA4" w:rsidP="00FF6CA4" w:rsidRDefault="00FF6CA4" w14:paraId="63D94CAA" w14:textId="77777777">
      <w:pPr>
        <w:spacing w:line="360" w:lineRule="auto"/>
        <w:jc w:val="both"/>
        <w:rPr>
          <w:rFonts w:ascii="Arial" w:hAnsi="Arial" w:cs="Arial"/>
          <w:sz w:val="24"/>
          <w:szCs w:val="24"/>
        </w:rPr>
      </w:pPr>
      <w:r w:rsidRPr="00FF6CA4">
        <w:rPr>
          <w:rFonts w:ascii="Arial" w:hAnsi="Arial" w:cs="Arial"/>
          <w:sz w:val="24"/>
          <w:szCs w:val="24"/>
        </w:rPr>
        <w:t>This evidence is supported by Fuller and McNally (2023), whose analysis of linked education and justice data similarly examined the relationship between permanent exclusion and serious violence. Their findings demonstrate the importance of considering the direction of causality rather than assuming a simple relationship.</w:t>
      </w:r>
    </w:p>
    <w:p w:rsidRPr="00FF6CA4" w:rsidR="00FF6CA4" w:rsidP="00FF6CA4" w:rsidRDefault="00FF6CA4" w14:paraId="225F09D3" w14:textId="77777777">
      <w:pPr>
        <w:spacing w:line="360" w:lineRule="auto"/>
        <w:jc w:val="both"/>
        <w:rPr>
          <w:rFonts w:ascii="Arial" w:hAnsi="Arial" w:cs="Arial"/>
          <w:sz w:val="24"/>
          <w:szCs w:val="24"/>
        </w:rPr>
      </w:pPr>
      <w:r w:rsidRPr="00FF6CA4">
        <w:rPr>
          <w:rFonts w:ascii="Arial" w:hAnsi="Arial" w:cs="Arial"/>
          <w:sz w:val="24"/>
          <w:szCs w:val="24"/>
        </w:rPr>
        <w:t>The relationship between education and offending is also highlighted by the Home Office's Violence Reduction Unit (VRU) evaluation. The 2024 evaluation found that almost all VRUs identified education as either a risk or protective factor, particularly school exclusion and repeated absence. However, it also identified difficulties in fully involving education because of the fragmented nature of schools, particularly academies (Home Office, 2025).</w:t>
      </w:r>
    </w:p>
    <w:p w:rsidRPr="00FF6CA4" w:rsidR="00FF6CA4" w:rsidP="00FF6CA4" w:rsidRDefault="00FF6CA4" w14:paraId="3308A4FE" w14:textId="77777777">
      <w:pPr>
        <w:spacing w:line="360" w:lineRule="auto"/>
        <w:jc w:val="both"/>
        <w:rPr>
          <w:rFonts w:ascii="Arial" w:hAnsi="Arial" w:cs="Arial"/>
          <w:sz w:val="24"/>
          <w:szCs w:val="24"/>
        </w:rPr>
      </w:pPr>
      <w:r w:rsidRPr="00FF6CA4">
        <w:rPr>
          <w:rFonts w:ascii="Arial" w:hAnsi="Arial" w:cs="Arial"/>
          <w:sz w:val="24"/>
          <w:szCs w:val="24"/>
        </w:rPr>
        <w:t>This is significant because it demonstrates a practical limitation of whole-system prevention. Policymakers may recognise education as central, but organisational fragmentation can make it difficult to coordinate intervention.</w:t>
      </w:r>
    </w:p>
    <w:p w:rsidRPr="00FF6CA4" w:rsidR="00FF6CA4" w:rsidP="00FF6CA4" w:rsidRDefault="00FF6CA4" w14:paraId="6DAE66BB" w14:textId="77777777">
      <w:pPr>
        <w:spacing w:line="360" w:lineRule="auto"/>
        <w:jc w:val="both"/>
        <w:rPr>
          <w:rFonts w:ascii="Arial" w:hAnsi="Arial" w:cs="Arial"/>
          <w:sz w:val="24"/>
          <w:szCs w:val="24"/>
        </w:rPr>
      </w:pPr>
      <w:r w:rsidRPr="00FF6CA4">
        <w:rPr>
          <w:rFonts w:ascii="Arial" w:hAnsi="Arial" w:cs="Arial"/>
          <w:sz w:val="24"/>
          <w:szCs w:val="24"/>
        </w:rPr>
        <w:t xml:space="preserve">The evidence therefore suggests that educational disengagement has been increasingly recognised by prevention policy, but the extent to which it has </w:t>
      </w:r>
      <w:proofErr w:type="gramStart"/>
      <w:r w:rsidRPr="00FF6CA4">
        <w:rPr>
          <w:rFonts w:ascii="Arial" w:hAnsi="Arial" w:cs="Arial"/>
          <w:sz w:val="24"/>
          <w:szCs w:val="24"/>
        </w:rPr>
        <w:t>actually been</w:t>
      </w:r>
      <w:proofErr w:type="gramEnd"/>
      <w:r w:rsidRPr="00FF6CA4">
        <w:rPr>
          <w:rFonts w:ascii="Arial" w:hAnsi="Arial" w:cs="Arial"/>
          <w:sz w:val="24"/>
          <w:szCs w:val="24"/>
        </w:rPr>
        <w:t xml:space="preserve"> addressed is more limited. Attendance remains above pre-pandemic levels, exclusion remains associated with serious violence risk, and alternative provision </w:t>
      </w:r>
      <w:r w:rsidRPr="00FF6CA4">
        <w:rPr>
          <w:rFonts w:ascii="Arial" w:hAnsi="Arial" w:cs="Arial"/>
          <w:sz w:val="24"/>
          <w:szCs w:val="24"/>
        </w:rPr>
        <w:lastRenderedPageBreak/>
        <w:t>continues to experience high absence. Therefore, Objective Three is supported by evidence of substantial policy recognition but only partial evidence of improvement.</w:t>
      </w:r>
    </w:p>
    <w:p w:rsidRPr="00FF6CA4" w:rsidR="00FF6CA4" w:rsidP="00FF6CA4" w:rsidRDefault="00FF6CA4" w14:paraId="56A8188E" w14:textId="77777777">
      <w:pPr>
        <w:spacing w:line="360" w:lineRule="auto"/>
        <w:jc w:val="both"/>
        <w:rPr>
          <w:rFonts w:ascii="Arial" w:hAnsi="Arial" w:cs="Arial"/>
          <w:sz w:val="24"/>
          <w:szCs w:val="24"/>
        </w:rPr>
      </w:pPr>
      <w:r w:rsidRPr="00FF6CA4">
        <w:rPr>
          <w:rFonts w:ascii="Arial" w:hAnsi="Arial" w:cs="Arial"/>
          <w:sz w:val="24"/>
          <w:szCs w:val="24"/>
        </w:rPr>
        <w:t>2.5 Educational inequality, deprivation and exclusion</w:t>
      </w:r>
    </w:p>
    <w:p w:rsidRPr="00FF6CA4" w:rsidR="00FF6CA4" w:rsidP="00FF6CA4" w:rsidRDefault="00FF6CA4" w14:paraId="09C2ECE9" w14:textId="77777777">
      <w:pPr>
        <w:spacing w:line="360" w:lineRule="auto"/>
        <w:jc w:val="both"/>
        <w:rPr>
          <w:rFonts w:ascii="Arial" w:hAnsi="Arial" w:cs="Arial"/>
          <w:sz w:val="24"/>
          <w:szCs w:val="24"/>
        </w:rPr>
      </w:pPr>
      <w:r w:rsidRPr="00FF6CA4">
        <w:rPr>
          <w:rFonts w:ascii="Arial" w:hAnsi="Arial" w:cs="Arial"/>
          <w:sz w:val="24"/>
          <w:szCs w:val="24"/>
        </w:rPr>
        <w:t>Educational disengagement cannot be separated from socioeconomic inequality. The DfE's 2024/25 attendance data demonstrate differences according to pupil characteristics, while wider research repeatedly identifies poverty as a factor associated with educational disadvantage.</w:t>
      </w:r>
    </w:p>
    <w:p w:rsidRPr="00FF6CA4" w:rsidR="00FF6CA4" w:rsidP="00FF6CA4" w:rsidRDefault="00FF6CA4" w14:paraId="16075AA6" w14:textId="77777777">
      <w:pPr>
        <w:spacing w:line="360" w:lineRule="auto"/>
        <w:jc w:val="both"/>
        <w:rPr>
          <w:rFonts w:ascii="Arial" w:hAnsi="Arial" w:cs="Arial"/>
          <w:sz w:val="24"/>
          <w:szCs w:val="24"/>
        </w:rPr>
      </w:pPr>
      <w:r w:rsidRPr="00FF6CA4">
        <w:rPr>
          <w:rFonts w:ascii="Arial" w:hAnsi="Arial" w:cs="Arial"/>
          <w:sz w:val="24"/>
          <w:szCs w:val="24"/>
        </w:rPr>
        <w:t>The significance of socioeconomic inequality is particularly clear when considering exclusion. Children experiencing poverty, ALN in Wales, SEND in England and other forms of vulnerability are disproportionately represented among those experiencing educational difficulties. Consequently, treating disengagement simply as a matter of individual choice risks ignoring the structural circumstances that influence attendance and behaviour.</w:t>
      </w:r>
    </w:p>
    <w:p w:rsidRPr="00FF6CA4" w:rsidR="00FF6CA4" w:rsidP="00FF6CA4" w:rsidRDefault="00FF6CA4" w14:paraId="332D4808" w14:textId="77777777">
      <w:pPr>
        <w:spacing w:line="360" w:lineRule="auto"/>
        <w:jc w:val="both"/>
        <w:rPr>
          <w:rFonts w:ascii="Arial" w:hAnsi="Arial" w:cs="Arial"/>
          <w:sz w:val="24"/>
          <w:szCs w:val="24"/>
        </w:rPr>
      </w:pPr>
      <w:r w:rsidRPr="00FF6CA4">
        <w:rPr>
          <w:rFonts w:ascii="Arial" w:hAnsi="Arial" w:cs="Arial"/>
          <w:sz w:val="24"/>
          <w:szCs w:val="24"/>
        </w:rPr>
        <w:t>The recent target-trial study discussed above is particularly valuable because it demonstrates that researchers are increasingly attempting to use sophisticated causal methods rather than relying solely on correlation. This strengthens the literature base but also highlights the difficulty of establishing causality in youth justice research.</w:t>
      </w:r>
    </w:p>
    <w:p w:rsidRPr="00FF6CA4" w:rsidR="00FF6CA4" w:rsidP="00FF6CA4" w:rsidRDefault="00FF6CA4" w14:paraId="6B311772" w14:textId="77777777">
      <w:pPr>
        <w:spacing w:line="360" w:lineRule="auto"/>
        <w:jc w:val="both"/>
        <w:rPr>
          <w:rFonts w:ascii="Arial" w:hAnsi="Arial" w:cs="Arial"/>
          <w:sz w:val="24"/>
          <w:szCs w:val="24"/>
        </w:rPr>
      </w:pPr>
      <w:r w:rsidRPr="00FF6CA4">
        <w:rPr>
          <w:rFonts w:ascii="Arial" w:hAnsi="Arial" w:cs="Arial"/>
          <w:sz w:val="24"/>
          <w:szCs w:val="24"/>
        </w:rPr>
        <w:t>The literature therefore supports an ecological understanding of youth offending. Individual behaviour occurs within family, school, neighbourhood and socioeconomic environments. This perspective is compatible with the public-health model increasingly adopted by VRUs and Welsh violence prevention services.</w:t>
      </w:r>
    </w:p>
    <w:p w:rsidRPr="00FF6CA4" w:rsidR="00FF6CA4" w:rsidP="00FF6CA4" w:rsidRDefault="00FF6CA4" w14:paraId="555D67A0" w14:textId="77777777">
      <w:pPr>
        <w:spacing w:line="360" w:lineRule="auto"/>
        <w:jc w:val="both"/>
        <w:rPr>
          <w:rFonts w:ascii="Arial" w:hAnsi="Arial" w:cs="Arial"/>
          <w:sz w:val="24"/>
          <w:szCs w:val="24"/>
        </w:rPr>
      </w:pPr>
      <w:r w:rsidRPr="00FF6CA4">
        <w:rPr>
          <w:rFonts w:ascii="Arial" w:hAnsi="Arial" w:cs="Arial"/>
          <w:sz w:val="24"/>
          <w:szCs w:val="24"/>
        </w:rPr>
        <w:t>However, there is an important limitation. Much education research measures attendance, exclusion and attainment, while youth justice research measures first-time entrants, reoffending and custody. There is comparatively less longitudinal research directly connecting post-pandemic educational interventions with youth offending outcomes. This represents one of the clearest gaps in the literature.</w:t>
      </w:r>
    </w:p>
    <w:p w:rsidRPr="00FF6CA4" w:rsidR="00FF6CA4" w:rsidP="00FF6CA4" w:rsidRDefault="00FF6CA4" w14:paraId="7B5D3EA9" w14:textId="77777777">
      <w:pPr>
        <w:spacing w:line="360" w:lineRule="auto"/>
        <w:jc w:val="both"/>
        <w:rPr>
          <w:rFonts w:ascii="Arial" w:hAnsi="Arial" w:cs="Arial"/>
          <w:sz w:val="24"/>
          <w:szCs w:val="24"/>
        </w:rPr>
      </w:pPr>
      <w:r w:rsidRPr="00FF6CA4">
        <w:rPr>
          <w:rFonts w:ascii="Arial" w:hAnsi="Arial" w:cs="Arial"/>
          <w:sz w:val="24"/>
          <w:szCs w:val="24"/>
        </w:rPr>
        <w:t>2.6 Economic deprivation and youth offending</w:t>
      </w:r>
    </w:p>
    <w:p w:rsidRPr="00FF6CA4" w:rsidR="00FF6CA4" w:rsidP="00FF6CA4" w:rsidRDefault="00FF6CA4" w14:paraId="4339DBEB" w14:textId="77777777">
      <w:pPr>
        <w:spacing w:line="360" w:lineRule="auto"/>
        <w:jc w:val="both"/>
        <w:rPr>
          <w:rFonts w:ascii="Arial" w:hAnsi="Arial" w:cs="Arial"/>
          <w:sz w:val="24"/>
          <w:szCs w:val="24"/>
        </w:rPr>
      </w:pPr>
      <w:r w:rsidRPr="00FF6CA4">
        <w:rPr>
          <w:rFonts w:ascii="Arial" w:hAnsi="Arial" w:cs="Arial"/>
          <w:sz w:val="24"/>
          <w:szCs w:val="24"/>
        </w:rPr>
        <w:t xml:space="preserve">Economic deprivation represents the second major structural issue in the research question. The literature does not suggest that poverty directly causes offending in a simple deterministic manner. Rather, poverty can contribute to a combination of </w:t>
      </w:r>
      <w:r w:rsidRPr="00FF6CA4">
        <w:rPr>
          <w:rFonts w:ascii="Arial" w:hAnsi="Arial" w:cs="Arial"/>
          <w:sz w:val="24"/>
          <w:szCs w:val="24"/>
        </w:rPr>
        <w:lastRenderedPageBreak/>
        <w:t>pressures including housing insecurity, family stress, reduced access to opportunities, educational disadvantage and exposure to unsafe environments.</w:t>
      </w:r>
    </w:p>
    <w:p w:rsidRPr="00FF6CA4" w:rsidR="00FF6CA4" w:rsidP="00FF6CA4" w:rsidRDefault="00FF6CA4" w14:paraId="1DB6B066" w14:textId="77777777">
      <w:pPr>
        <w:spacing w:line="360" w:lineRule="auto"/>
        <w:jc w:val="both"/>
        <w:rPr>
          <w:rFonts w:ascii="Arial" w:hAnsi="Arial" w:cs="Arial"/>
          <w:sz w:val="24"/>
          <w:szCs w:val="24"/>
        </w:rPr>
      </w:pPr>
      <w:r w:rsidRPr="00FF6CA4">
        <w:rPr>
          <w:rFonts w:ascii="Arial" w:hAnsi="Arial" w:cs="Arial"/>
          <w:sz w:val="24"/>
          <w:szCs w:val="24"/>
        </w:rPr>
        <w:t>This distinction is important because the language of “risk factors” can sometimes individualise structural disadvantage. If poverty is simply recorded as a characteristic of a child assessed as high risk, the policy response may focus on changing the child rather than addressing the environment.</w:t>
      </w:r>
    </w:p>
    <w:p w:rsidRPr="00FF6CA4" w:rsidR="00FF6CA4" w:rsidP="00FF6CA4" w:rsidRDefault="00FF6CA4" w14:paraId="0499ED5C" w14:textId="77777777">
      <w:pPr>
        <w:spacing w:line="360" w:lineRule="auto"/>
        <w:jc w:val="both"/>
        <w:rPr>
          <w:rFonts w:ascii="Arial" w:hAnsi="Arial" w:cs="Arial"/>
          <w:sz w:val="24"/>
          <w:szCs w:val="24"/>
        </w:rPr>
      </w:pPr>
      <w:r w:rsidRPr="00FF6CA4">
        <w:rPr>
          <w:rFonts w:ascii="Arial" w:hAnsi="Arial" w:cs="Arial"/>
          <w:sz w:val="24"/>
          <w:szCs w:val="24"/>
        </w:rPr>
        <w:t>Goldson (2020), a UK academic specialising in youth justice, provides an important critical perspective by situating youth justice within wider political and economic structures. His work demonstrates that youth justice policy does not operate independently from wider social policy. This provides a useful theoretical basis for the present research because it suggests that prevention cannot be evaluated solely through criminal justice outcomes.</w:t>
      </w:r>
    </w:p>
    <w:p w:rsidRPr="00FF6CA4" w:rsidR="00FF6CA4" w:rsidP="00FF6CA4" w:rsidRDefault="00FF6CA4" w14:paraId="20338DA8" w14:textId="77777777">
      <w:pPr>
        <w:spacing w:line="360" w:lineRule="auto"/>
        <w:jc w:val="both"/>
        <w:rPr>
          <w:rFonts w:ascii="Arial" w:hAnsi="Arial" w:cs="Arial"/>
          <w:sz w:val="24"/>
          <w:szCs w:val="24"/>
        </w:rPr>
      </w:pPr>
      <w:r w:rsidRPr="00FF6CA4">
        <w:rPr>
          <w:rFonts w:ascii="Arial" w:hAnsi="Arial" w:cs="Arial"/>
          <w:sz w:val="24"/>
          <w:szCs w:val="24"/>
        </w:rPr>
        <w:t>Welsh evidence is particularly important. Welsh Government statistics show continuing levels of child poverty, while the Welsh Prevention Framework explicitly identifies poverty, inequality, education, family circumstances and wider social conditions as relevant to youth offending prevention (Welsh Government, 2025).</w:t>
      </w:r>
    </w:p>
    <w:p w:rsidRPr="00FF6CA4" w:rsidR="00FF6CA4" w:rsidP="00FF6CA4" w:rsidRDefault="00FF6CA4" w14:paraId="74CE3873" w14:textId="77777777">
      <w:pPr>
        <w:spacing w:line="360" w:lineRule="auto"/>
        <w:jc w:val="both"/>
        <w:rPr>
          <w:rFonts w:ascii="Arial" w:hAnsi="Arial" w:cs="Arial"/>
          <w:sz w:val="24"/>
          <w:szCs w:val="24"/>
        </w:rPr>
      </w:pPr>
      <w:r w:rsidRPr="00FF6CA4">
        <w:rPr>
          <w:rFonts w:ascii="Arial" w:hAnsi="Arial" w:cs="Arial"/>
          <w:sz w:val="24"/>
          <w:szCs w:val="24"/>
        </w:rPr>
        <w:t>The significance of Wales is that youth justice operates within a partially devolved constitutional structure. Criminal justice remains reserved to the UK Government, while education, health and many children's services are devolved. Consequently, Wales provides a distinctive environment in which youth justice prevention depends upon cooperation between devolved Welsh services and non-devolved criminal justice agencies.</w:t>
      </w:r>
    </w:p>
    <w:p w:rsidRPr="00FF6CA4" w:rsidR="00FF6CA4" w:rsidP="00FF6CA4" w:rsidRDefault="00FF6CA4" w14:paraId="26588C7D" w14:textId="77777777">
      <w:pPr>
        <w:spacing w:line="360" w:lineRule="auto"/>
        <w:jc w:val="both"/>
        <w:rPr>
          <w:rFonts w:ascii="Arial" w:hAnsi="Arial" w:cs="Arial"/>
          <w:sz w:val="24"/>
          <w:szCs w:val="24"/>
        </w:rPr>
      </w:pPr>
      <w:r w:rsidRPr="00FF6CA4">
        <w:rPr>
          <w:rFonts w:ascii="Arial" w:hAnsi="Arial" w:cs="Arial"/>
          <w:sz w:val="24"/>
          <w:szCs w:val="24"/>
        </w:rPr>
        <w:t>The Welsh Government's Prevention Framework was created specifically to bring together services involved in preventing youth offending into a joined-up vision. It places Child First principles within Welsh Government services and identifies the Wales Violence Prevention Unit as part of the wider public-health approach to violence prevention (Welsh Government, 2025).</w:t>
      </w:r>
    </w:p>
    <w:p w:rsidRPr="00FF6CA4" w:rsidR="00FF6CA4" w:rsidP="00FF6CA4" w:rsidRDefault="00FF6CA4" w14:paraId="2E1262DD" w14:textId="77777777">
      <w:pPr>
        <w:spacing w:line="360" w:lineRule="auto"/>
        <w:jc w:val="both"/>
        <w:rPr>
          <w:rFonts w:ascii="Arial" w:hAnsi="Arial" w:cs="Arial"/>
          <w:sz w:val="24"/>
          <w:szCs w:val="24"/>
        </w:rPr>
      </w:pPr>
      <w:r w:rsidRPr="00FF6CA4">
        <w:rPr>
          <w:rFonts w:ascii="Arial" w:hAnsi="Arial" w:cs="Arial"/>
          <w:sz w:val="24"/>
          <w:szCs w:val="24"/>
        </w:rPr>
        <w:t xml:space="preserve">This is highly relevant to the research aim because Wales arguably provides a stronger example of policy integration than a model focused exclusively upon youth justice. However, the Framework is a policy document rather than a longitudinal impact </w:t>
      </w:r>
      <w:r w:rsidRPr="00FF6CA4">
        <w:rPr>
          <w:rFonts w:ascii="Arial" w:hAnsi="Arial" w:cs="Arial"/>
          <w:sz w:val="24"/>
          <w:szCs w:val="24"/>
        </w:rPr>
        <w:lastRenderedPageBreak/>
        <w:t>evaluation. It demonstrates what Welsh Government intends to achieve but cannot by itself prove that poverty or offending has been reduced.</w:t>
      </w:r>
    </w:p>
    <w:p w:rsidRPr="00FF6CA4" w:rsidR="00FF6CA4" w:rsidP="00FF6CA4" w:rsidRDefault="00FF6CA4" w14:paraId="12678EC1" w14:textId="77777777">
      <w:pPr>
        <w:spacing w:line="360" w:lineRule="auto"/>
        <w:jc w:val="both"/>
        <w:rPr>
          <w:rFonts w:ascii="Arial" w:hAnsi="Arial" w:cs="Arial"/>
          <w:sz w:val="24"/>
          <w:szCs w:val="24"/>
        </w:rPr>
      </w:pPr>
      <w:r w:rsidRPr="00FF6CA4">
        <w:rPr>
          <w:rFonts w:ascii="Arial" w:hAnsi="Arial" w:cs="Arial"/>
          <w:sz w:val="24"/>
          <w:szCs w:val="24"/>
        </w:rPr>
        <w:t>The distinction between policy intention and effectiveness is therefore essential. Wales has recognised economic deprivation as part of prevention, but the evidence does not yet demonstrate that youth justice prevention has substantially reduced the underlying economic conditions associated with offending.</w:t>
      </w:r>
    </w:p>
    <w:p w:rsidRPr="00FF6CA4" w:rsidR="00FF6CA4" w:rsidP="00FF6CA4" w:rsidRDefault="00FF6CA4" w14:paraId="29DC4D1E" w14:textId="77777777">
      <w:pPr>
        <w:spacing w:line="360" w:lineRule="auto"/>
        <w:jc w:val="both"/>
        <w:rPr>
          <w:rFonts w:ascii="Arial" w:hAnsi="Arial" w:cs="Arial"/>
          <w:sz w:val="24"/>
          <w:szCs w:val="24"/>
        </w:rPr>
      </w:pPr>
      <w:r w:rsidRPr="00FF6CA4">
        <w:rPr>
          <w:rFonts w:ascii="Arial" w:hAnsi="Arial" w:cs="Arial"/>
          <w:sz w:val="24"/>
          <w:szCs w:val="24"/>
        </w:rPr>
        <w:t>2.7 Prevention, diversion and early intervention</w:t>
      </w:r>
    </w:p>
    <w:p w:rsidRPr="00FF6CA4" w:rsidR="00FF6CA4" w:rsidP="00FF6CA4" w:rsidRDefault="00FF6CA4" w14:paraId="03874AEC" w14:textId="77777777">
      <w:pPr>
        <w:spacing w:line="360" w:lineRule="auto"/>
        <w:jc w:val="both"/>
        <w:rPr>
          <w:rFonts w:ascii="Arial" w:hAnsi="Arial" w:cs="Arial"/>
          <w:sz w:val="24"/>
          <w:szCs w:val="24"/>
        </w:rPr>
      </w:pPr>
      <w:r w:rsidRPr="00FF6CA4">
        <w:rPr>
          <w:rFonts w:ascii="Arial" w:hAnsi="Arial" w:cs="Arial"/>
          <w:sz w:val="24"/>
          <w:szCs w:val="24"/>
        </w:rPr>
        <w:t>One of the clearest changes in post-pandemic youth justice has been the increasing use of prevention and diversion. YJB statistics show sustained reductions in first-time entrants. In 2024, there were just over 8,100 first-time entrants, a four per cent reduction from the previous year and the lowest level in the time series (Youth Justice Board, 2026).</w:t>
      </w:r>
    </w:p>
    <w:p w:rsidRPr="00FF6CA4" w:rsidR="00FF6CA4" w:rsidP="00FF6CA4" w:rsidRDefault="00FF6CA4" w14:paraId="7851FD19" w14:textId="77777777">
      <w:pPr>
        <w:spacing w:line="360" w:lineRule="auto"/>
        <w:jc w:val="both"/>
        <w:rPr>
          <w:rFonts w:ascii="Arial" w:hAnsi="Arial" w:cs="Arial"/>
          <w:sz w:val="24"/>
          <w:szCs w:val="24"/>
        </w:rPr>
      </w:pPr>
      <w:r w:rsidRPr="00FF6CA4">
        <w:rPr>
          <w:rFonts w:ascii="Arial" w:hAnsi="Arial" w:cs="Arial"/>
          <w:sz w:val="24"/>
          <w:szCs w:val="24"/>
        </w:rPr>
        <w:t>The YJB interprets the decline in first-time entrants and youth cautions as evidence suggesting increased use of diversion. However, the YJB is also the organisation responsible for monitoring and overseeing the youth justice system. Its statistics are authoritative for administrative trends, but its interpretation should be triangulated with independent academic and inspection evidence.</w:t>
      </w:r>
    </w:p>
    <w:p w:rsidRPr="00FF6CA4" w:rsidR="00FF6CA4" w:rsidP="00FF6CA4" w:rsidRDefault="00FF6CA4" w14:paraId="7C679F37" w14:textId="77777777">
      <w:pPr>
        <w:spacing w:line="360" w:lineRule="auto"/>
        <w:jc w:val="both"/>
        <w:rPr>
          <w:rFonts w:ascii="Arial" w:hAnsi="Arial" w:cs="Arial"/>
          <w:sz w:val="24"/>
          <w:szCs w:val="24"/>
        </w:rPr>
      </w:pPr>
      <w:r w:rsidRPr="00FF6CA4">
        <w:rPr>
          <w:rFonts w:ascii="Arial" w:hAnsi="Arial" w:cs="Arial"/>
          <w:sz w:val="24"/>
          <w:szCs w:val="24"/>
        </w:rPr>
        <w:t>The YJB's prevention and diversion project found that more than half of an average Youth Justice Service caseload consisted of children receiving preventative or diversionary support. However, the project also identified confusion about definitions, inconsistent practice and significant gaps in data (Youth Justice Board, 2023).</w:t>
      </w:r>
    </w:p>
    <w:p w:rsidRPr="00FF6CA4" w:rsidR="00FF6CA4" w:rsidP="00FF6CA4" w:rsidRDefault="00FF6CA4" w14:paraId="2E53F9FE" w14:textId="77777777">
      <w:pPr>
        <w:spacing w:line="360" w:lineRule="auto"/>
        <w:jc w:val="both"/>
        <w:rPr>
          <w:rFonts w:ascii="Arial" w:hAnsi="Arial" w:cs="Arial"/>
          <w:sz w:val="24"/>
          <w:szCs w:val="24"/>
        </w:rPr>
      </w:pPr>
      <w:r w:rsidRPr="00FF6CA4">
        <w:rPr>
          <w:rFonts w:ascii="Arial" w:hAnsi="Arial" w:cs="Arial"/>
          <w:sz w:val="24"/>
          <w:szCs w:val="24"/>
        </w:rPr>
        <w:t>This is highly significant because it demonstrates that prevention is not necessarily a standardised national intervention. Different Youth Justice Services can interpret and deliver prevention differently. Therefore, the national policy commitment does not necessarily translate into equal provision for children.</w:t>
      </w:r>
    </w:p>
    <w:p w:rsidRPr="00FF6CA4" w:rsidR="00FF6CA4" w:rsidP="00FF6CA4" w:rsidRDefault="00FF6CA4" w14:paraId="66AA463C" w14:textId="77777777">
      <w:pPr>
        <w:spacing w:line="360" w:lineRule="auto"/>
        <w:jc w:val="both"/>
        <w:rPr>
          <w:rFonts w:ascii="Arial" w:hAnsi="Arial" w:cs="Arial"/>
          <w:sz w:val="24"/>
          <w:szCs w:val="24"/>
        </w:rPr>
      </w:pPr>
      <w:r w:rsidRPr="00FF6CA4">
        <w:rPr>
          <w:rFonts w:ascii="Arial" w:hAnsi="Arial" w:cs="Arial"/>
          <w:sz w:val="24"/>
          <w:szCs w:val="24"/>
        </w:rPr>
        <w:t>The Youth Justice Board's out-of-court resolution guidance explicitly states that diversion should reduce children's exposure to the formal justice system, partly because criminal justice contact can produce stigma and negative labelling (Youth Justice Board, 2024).</w:t>
      </w:r>
    </w:p>
    <w:p w:rsidRPr="00FF6CA4" w:rsidR="00FF6CA4" w:rsidP="00FF6CA4" w:rsidRDefault="00FF6CA4" w14:paraId="2D555825" w14:textId="77777777">
      <w:pPr>
        <w:spacing w:line="360" w:lineRule="auto"/>
        <w:jc w:val="both"/>
        <w:rPr>
          <w:rFonts w:ascii="Arial" w:hAnsi="Arial" w:cs="Arial"/>
          <w:sz w:val="24"/>
          <w:szCs w:val="24"/>
        </w:rPr>
      </w:pPr>
      <w:r w:rsidRPr="00FF6CA4">
        <w:rPr>
          <w:rFonts w:ascii="Arial" w:hAnsi="Arial" w:cs="Arial"/>
          <w:sz w:val="24"/>
          <w:szCs w:val="24"/>
        </w:rPr>
        <w:lastRenderedPageBreak/>
        <w:t>However, diversion also presents a potential risk of net-widening. If children who would previously have received no intervention are instead referred to formal youth justice services, diversion may increase rather than reduce system contact. Banwell-Moore (2022), a UK academic researching restorative justice, demonstrates a related implementation problem. Her study of seven Youth Offending Teams found substantial variation in restorative justice practice and limited victim participation.</w:t>
      </w:r>
    </w:p>
    <w:p w:rsidRPr="00FF6CA4" w:rsidR="00FF6CA4" w:rsidP="00FF6CA4" w:rsidRDefault="00FF6CA4" w14:paraId="3E234FF2" w14:textId="77777777">
      <w:pPr>
        <w:spacing w:line="360" w:lineRule="auto"/>
        <w:jc w:val="both"/>
        <w:rPr>
          <w:rFonts w:ascii="Arial" w:hAnsi="Arial" w:cs="Arial"/>
          <w:sz w:val="24"/>
          <w:szCs w:val="24"/>
        </w:rPr>
      </w:pPr>
      <w:r w:rsidRPr="00FF6CA4">
        <w:rPr>
          <w:rFonts w:ascii="Arial" w:hAnsi="Arial" w:cs="Arial"/>
          <w:sz w:val="24"/>
          <w:szCs w:val="24"/>
        </w:rPr>
        <w:t>The Criminal Justice Joint Inspectorates' recent inspection further demonstrates that diversion requires consistent decision-making and appropriate assessment of children's circumstances. The inspection identified the Prevention and Diversion Assessment Tool, introduced nationally in 2024, as an important development, but also identified continuing concerns about disproportionality.</w:t>
      </w:r>
    </w:p>
    <w:p w:rsidRPr="00FF6CA4" w:rsidR="00FF6CA4" w:rsidP="00FF6CA4" w:rsidRDefault="00FF6CA4" w14:paraId="6BBEBBD9" w14:textId="77777777">
      <w:pPr>
        <w:spacing w:line="360" w:lineRule="auto"/>
        <w:jc w:val="both"/>
        <w:rPr>
          <w:rFonts w:ascii="Arial" w:hAnsi="Arial" w:cs="Arial"/>
          <w:sz w:val="24"/>
          <w:szCs w:val="24"/>
        </w:rPr>
      </w:pPr>
      <w:r w:rsidRPr="00FF6CA4">
        <w:rPr>
          <w:rFonts w:ascii="Arial" w:hAnsi="Arial" w:cs="Arial"/>
          <w:sz w:val="24"/>
          <w:szCs w:val="24"/>
        </w:rPr>
        <w:t>This is important for the research question because a successful prevention system should not merely reduce the number of children entering court. It should also provide appropriate support, reduce reoffending and address unmet educational and socioeconomic needs.</w:t>
      </w:r>
    </w:p>
    <w:p w:rsidRPr="00FF6CA4" w:rsidR="00FF6CA4" w:rsidP="00FF6CA4" w:rsidRDefault="00FF6CA4" w14:paraId="0F3951DF" w14:textId="77777777">
      <w:pPr>
        <w:spacing w:line="360" w:lineRule="auto"/>
        <w:jc w:val="both"/>
        <w:rPr>
          <w:rFonts w:ascii="Arial" w:hAnsi="Arial" w:cs="Arial"/>
          <w:sz w:val="24"/>
          <w:szCs w:val="24"/>
        </w:rPr>
      </w:pPr>
      <w:r w:rsidRPr="00FF6CA4">
        <w:rPr>
          <w:rFonts w:ascii="Arial" w:hAnsi="Arial" w:cs="Arial"/>
          <w:sz w:val="24"/>
          <w:szCs w:val="24"/>
        </w:rPr>
        <w:t>2.8 Turnaround and the post-pandemic prevention model</w:t>
      </w:r>
    </w:p>
    <w:p w:rsidRPr="00FF6CA4" w:rsidR="00FF6CA4" w:rsidP="00FF6CA4" w:rsidRDefault="00FF6CA4" w14:paraId="250689FE" w14:textId="77777777">
      <w:pPr>
        <w:spacing w:line="360" w:lineRule="auto"/>
        <w:jc w:val="both"/>
        <w:rPr>
          <w:rFonts w:ascii="Arial" w:hAnsi="Arial" w:cs="Arial"/>
          <w:sz w:val="24"/>
          <w:szCs w:val="24"/>
        </w:rPr>
      </w:pPr>
      <w:r w:rsidRPr="00FF6CA4">
        <w:rPr>
          <w:rFonts w:ascii="Arial" w:hAnsi="Arial" w:cs="Arial"/>
          <w:sz w:val="24"/>
          <w:szCs w:val="24"/>
        </w:rPr>
        <w:t>Turnaround represents one of the most significant post-pandemic prevention initiatives. The programme began delivery in December 2022 and provides funding to Youth Justice Services across England and Wales to intervene earlier with children at risk of entering the formal youth justice system (Ministry of Justice, 2026).</w:t>
      </w:r>
    </w:p>
    <w:p w:rsidRPr="00FF6CA4" w:rsidR="00FF6CA4" w:rsidP="00FF6CA4" w:rsidRDefault="00FF6CA4" w14:paraId="06E88EAC" w14:textId="77777777">
      <w:pPr>
        <w:spacing w:line="360" w:lineRule="auto"/>
        <w:jc w:val="both"/>
        <w:rPr>
          <w:rFonts w:ascii="Arial" w:hAnsi="Arial" w:cs="Arial"/>
          <w:sz w:val="24"/>
          <w:szCs w:val="24"/>
        </w:rPr>
      </w:pPr>
      <w:r w:rsidRPr="00FF6CA4">
        <w:rPr>
          <w:rFonts w:ascii="Arial" w:hAnsi="Arial" w:cs="Arial"/>
          <w:sz w:val="24"/>
          <w:szCs w:val="24"/>
        </w:rPr>
        <w:t>The programme is important because it reflects a shift from reacting to offending towards preventing escalation. It is therefore directly aligned with Objective One.</w:t>
      </w:r>
    </w:p>
    <w:p w:rsidRPr="00FF6CA4" w:rsidR="00FF6CA4" w:rsidP="00FF6CA4" w:rsidRDefault="00FF6CA4" w14:paraId="22B61535" w14:textId="77777777">
      <w:pPr>
        <w:spacing w:line="360" w:lineRule="auto"/>
        <w:jc w:val="both"/>
        <w:rPr>
          <w:rFonts w:ascii="Arial" w:hAnsi="Arial" w:cs="Arial"/>
          <w:sz w:val="24"/>
          <w:szCs w:val="24"/>
        </w:rPr>
      </w:pPr>
      <w:r w:rsidRPr="00FF6CA4">
        <w:rPr>
          <w:rFonts w:ascii="Arial" w:hAnsi="Arial" w:cs="Arial"/>
          <w:sz w:val="24"/>
          <w:szCs w:val="24"/>
        </w:rPr>
        <w:t>The 2026 independent process and implementation evaluation is particularly valuable because it was undertaken independently rather than being merely a government description of the programme. It examined implementation across England and Wales and considered how Youth Justice Services delivered support to children outside their statutory caseload (Ministry of Justice, 2026).</w:t>
      </w:r>
    </w:p>
    <w:p w:rsidRPr="00FF6CA4" w:rsidR="00FF6CA4" w:rsidP="00FF6CA4" w:rsidRDefault="00FF6CA4" w14:paraId="3E5858FD" w14:textId="77777777">
      <w:pPr>
        <w:spacing w:line="360" w:lineRule="auto"/>
        <w:jc w:val="both"/>
        <w:rPr>
          <w:rFonts w:ascii="Arial" w:hAnsi="Arial" w:cs="Arial"/>
          <w:sz w:val="24"/>
          <w:szCs w:val="24"/>
        </w:rPr>
      </w:pPr>
      <w:r w:rsidRPr="00FF6CA4">
        <w:rPr>
          <w:rFonts w:ascii="Arial" w:hAnsi="Arial" w:cs="Arial"/>
          <w:sz w:val="24"/>
          <w:szCs w:val="24"/>
        </w:rPr>
        <w:t xml:space="preserve">However, the evaluation's methodological limitations are equally important. It is primarily a process and implementation evaluation. Evidence that a programme has been delivered successfully does not establish that it caused reductions in offending. The evaluation therefore supports the conclusion that Turnaround has been </w:t>
      </w:r>
      <w:r w:rsidRPr="00FF6CA4">
        <w:rPr>
          <w:rFonts w:ascii="Arial" w:hAnsi="Arial" w:cs="Arial"/>
          <w:sz w:val="24"/>
          <w:szCs w:val="24"/>
        </w:rPr>
        <w:lastRenderedPageBreak/>
        <w:t>implemented as an important prevention mechanism, but it does not provide sufficient evidence to claim that it has definitively reduced offending or economic deprivation.</w:t>
      </w:r>
    </w:p>
    <w:p w:rsidRPr="00FF6CA4" w:rsidR="00FF6CA4" w:rsidP="00FF6CA4" w:rsidRDefault="00FF6CA4" w14:paraId="5E5AA75E" w14:textId="77777777">
      <w:pPr>
        <w:spacing w:line="360" w:lineRule="auto"/>
        <w:jc w:val="both"/>
        <w:rPr>
          <w:rFonts w:ascii="Arial" w:hAnsi="Arial" w:cs="Arial"/>
          <w:sz w:val="24"/>
          <w:szCs w:val="24"/>
        </w:rPr>
      </w:pPr>
      <w:r w:rsidRPr="00FF6CA4">
        <w:rPr>
          <w:rFonts w:ascii="Arial" w:hAnsi="Arial" w:cs="Arial"/>
          <w:sz w:val="24"/>
          <w:szCs w:val="24"/>
        </w:rPr>
        <w:t>This distinction is precisely the type of evaluation required by Objective Two. The question is not “does Turnaround exist?” but “what evidence demonstrates that Turnaround works, for whom, and through what mechanism?”</w:t>
      </w:r>
    </w:p>
    <w:p w:rsidRPr="00FF6CA4" w:rsidR="00FF6CA4" w:rsidP="00FF6CA4" w:rsidRDefault="00FF6CA4" w14:paraId="56D3A999" w14:textId="77777777">
      <w:pPr>
        <w:spacing w:line="360" w:lineRule="auto"/>
        <w:jc w:val="both"/>
        <w:rPr>
          <w:rFonts w:ascii="Arial" w:hAnsi="Arial" w:cs="Arial"/>
          <w:sz w:val="24"/>
          <w:szCs w:val="24"/>
        </w:rPr>
      </w:pPr>
      <w:r w:rsidRPr="00FF6CA4">
        <w:rPr>
          <w:rFonts w:ascii="Arial" w:hAnsi="Arial" w:cs="Arial"/>
          <w:sz w:val="24"/>
          <w:szCs w:val="24"/>
        </w:rPr>
        <w:t>The answer remains developing. Turnaround can identify children experiencing educational, family and social difficulties and connect them with support. However, it cannot independently remove structural poverty. Its effectiveness is therefore partly dependent upon the availability and quality of wider education, health, family, employment and community services.</w:t>
      </w:r>
    </w:p>
    <w:p w:rsidRPr="00FF6CA4" w:rsidR="00FF6CA4" w:rsidP="00FF6CA4" w:rsidRDefault="00FF6CA4" w14:paraId="111E345E" w14:textId="77777777">
      <w:pPr>
        <w:spacing w:line="360" w:lineRule="auto"/>
        <w:jc w:val="both"/>
        <w:rPr>
          <w:rFonts w:ascii="Arial" w:hAnsi="Arial" w:cs="Arial"/>
          <w:sz w:val="24"/>
          <w:szCs w:val="24"/>
        </w:rPr>
      </w:pPr>
      <w:r w:rsidRPr="00FF6CA4">
        <w:rPr>
          <w:rFonts w:ascii="Arial" w:hAnsi="Arial" w:cs="Arial"/>
          <w:sz w:val="24"/>
          <w:szCs w:val="24"/>
        </w:rPr>
        <w:t>This demonstrates a broader point within the literature: youth justice prevention can act as a gateway to support, but it cannot substitute for broader social policy.</w:t>
      </w:r>
    </w:p>
    <w:p w:rsidRPr="00FF6CA4" w:rsidR="00FF6CA4" w:rsidP="00FF6CA4" w:rsidRDefault="00FF6CA4" w14:paraId="4ECBAF32" w14:textId="77777777">
      <w:pPr>
        <w:spacing w:line="360" w:lineRule="auto"/>
        <w:jc w:val="both"/>
        <w:rPr>
          <w:rFonts w:ascii="Arial" w:hAnsi="Arial" w:cs="Arial"/>
          <w:sz w:val="24"/>
          <w:szCs w:val="24"/>
        </w:rPr>
      </w:pPr>
      <w:r w:rsidRPr="00FF6CA4">
        <w:rPr>
          <w:rFonts w:ascii="Arial" w:hAnsi="Arial" w:cs="Arial"/>
          <w:sz w:val="24"/>
          <w:szCs w:val="24"/>
        </w:rPr>
        <w:t>2.9 Child First and the problem of implementation</w:t>
      </w:r>
    </w:p>
    <w:p w:rsidRPr="00FF6CA4" w:rsidR="00FF6CA4" w:rsidP="00FF6CA4" w:rsidRDefault="00FF6CA4" w14:paraId="770D0214" w14:textId="77777777">
      <w:pPr>
        <w:spacing w:line="360" w:lineRule="auto"/>
        <w:jc w:val="both"/>
        <w:rPr>
          <w:rFonts w:ascii="Arial" w:hAnsi="Arial" w:cs="Arial"/>
          <w:sz w:val="24"/>
          <w:szCs w:val="24"/>
        </w:rPr>
      </w:pPr>
      <w:r w:rsidRPr="00FF6CA4">
        <w:rPr>
          <w:rFonts w:ascii="Arial" w:hAnsi="Arial" w:cs="Arial"/>
          <w:sz w:val="24"/>
          <w:szCs w:val="24"/>
        </w:rPr>
        <w:t>Child First represents perhaps the most significant philosophical change in contemporary youth justice policy. It aims to ensure that children are understood as children, that strengths and positive identities are developed, that children are actively involved and that unnecessary stigma is avoided.</w:t>
      </w:r>
    </w:p>
    <w:p w:rsidRPr="00FF6CA4" w:rsidR="00FF6CA4" w:rsidP="00FF6CA4" w:rsidRDefault="00FF6CA4" w14:paraId="4915AF34" w14:textId="77777777">
      <w:pPr>
        <w:spacing w:line="360" w:lineRule="auto"/>
        <w:jc w:val="both"/>
        <w:rPr>
          <w:rFonts w:ascii="Arial" w:hAnsi="Arial" w:cs="Arial"/>
          <w:sz w:val="24"/>
          <w:szCs w:val="24"/>
        </w:rPr>
      </w:pPr>
      <w:r w:rsidRPr="00FF6CA4">
        <w:rPr>
          <w:rFonts w:ascii="Arial" w:hAnsi="Arial" w:cs="Arial"/>
          <w:sz w:val="24"/>
          <w:szCs w:val="24"/>
        </w:rPr>
        <w:t>The approach has considerable theoretical strength because it challenges risk-led and deficit-based models. Case and Smith (2023) argue that Child First can move youth justice away from the historical division between welfare and punishment. Their position is particularly relevant because England and Wales have historically moved between welfare-based and punitive approaches depending upon political context.</w:t>
      </w:r>
    </w:p>
    <w:p w:rsidRPr="00FF6CA4" w:rsidR="00FF6CA4" w:rsidP="00FF6CA4" w:rsidRDefault="00FF6CA4" w14:paraId="5FEF3422" w14:textId="77777777">
      <w:pPr>
        <w:spacing w:line="360" w:lineRule="auto"/>
        <w:jc w:val="both"/>
        <w:rPr>
          <w:rFonts w:ascii="Arial" w:hAnsi="Arial" w:cs="Arial"/>
          <w:sz w:val="24"/>
          <w:szCs w:val="24"/>
        </w:rPr>
      </w:pPr>
      <w:r w:rsidRPr="00FF6CA4">
        <w:rPr>
          <w:rFonts w:ascii="Arial" w:hAnsi="Arial" w:cs="Arial"/>
          <w:sz w:val="24"/>
          <w:szCs w:val="24"/>
        </w:rPr>
        <w:t>However, the implementation evidence is more cautious. Case, Browning and Hampson (2024) found a significant gap between policy and consistent practice. This means that the strongest evidence supporting Child First may currently concern its philosophical and strategic value rather than its demonstrated long-term impact upon offending.</w:t>
      </w:r>
    </w:p>
    <w:p w:rsidRPr="00FF6CA4" w:rsidR="00FF6CA4" w:rsidP="00FF6CA4" w:rsidRDefault="00FF6CA4" w14:paraId="76AFD8CF" w14:textId="77777777">
      <w:pPr>
        <w:spacing w:line="360" w:lineRule="auto"/>
        <w:jc w:val="both"/>
        <w:rPr>
          <w:rFonts w:ascii="Arial" w:hAnsi="Arial" w:cs="Arial"/>
          <w:sz w:val="24"/>
          <w:szCs w:val="24"/>
        </w:rPr>
      </w:pPr>
      <w:r w:rsidRPr="00FF6CA4">
        <w:rPr>
          <w:rFonts w:ascii="Arial" w:hAnsi="Arial" w:cs="Arial"/>
          <w:sz w:val="24"/>
          <w:szCs w:val="24"/>
        </w:rPr>
        <w:t xml:space="preserve">The YJB's 2025 independent research into applying Child First similarly examined how the framework is implemented across Youth Justice Services. The research was commissioned by the YJB and undertaken by Crest Advisory, making it important to </w:t>
      </w:r>
      <w:r w:rsidRPr="00FF6CA4">
        <w:rPr>
          <w:rFonts w:ascii="Arial" w:hAnsi="Arial" w:cs="Arial"/>
          <w:sz w:val="24"/>
          <w:szCs w:val="24"/>
        </w:rPr>
        <w:lastRenderedPageBreak/>
        <w:t>recognise both its value and its institutional context. It provides practice-based evidence but was commissioned by the body responsible for youth justice oversight (Youth Justice Board, 2025).</w:t>
      </w:r>
    </w:p>
    <w:p w:rsidRPr="00FF6CA4" w:rsidR="00FF6CA4" w:rsidP="00FF6CA4" w:rsidRDefault="00FF6CA4" w14:paraId="531D82F2" w14:textId="77777777">
      <w:pPr>
        <w:spacing w:line="360" w:lineRule="auto"/>
        <w:jc w:val="both"/>
        <w:rPr>
          <w:rFonts w:ascii="Arial" w:hAnsi="Arial" w:cs="Arial"/>
          <w:sz w:val="24"/>
          <w:szCs w:val="24"/>
        </w:rPr>
      </w:pPr>
      <w:r w:rsidRPr="00FF6CA4">
        <w:rPr>
          <w:rFonts w:ascii="Arial" w:hAnsi="Arial" w:cs="Arial"/>
          <w:sz w:val="24"/>
          <w:szCs w:val="24"/>
        </w:rPr>
        <w:t>This does not invalidate the research. Instead, it demonstrates why source analysis matters. A commissioned evaluation can provide access to national practice that independent academics may struggle to obtain, but its findings should be compared with external academic research.</w:t>
      </w:r>
    </w:p>
    <w:p w:rsidRPr="00FF6CA4" w:rsidR="00FF6CA4" w:rsidP="00FF6CA4" w:rsidRDefault="00FF6CA4" w14:paraId="2E356099" w14:textId="77777777">
      <w:pPr>
        <w:spacing w:line="360" w:lineRule="auto"/>
        <w:jc w:val="both"/>
        <w:rPr>
          <w:rFonts w:ascii="Arial" w:hAnsi="Arial" w:cs="Arial"/>
          <w:sz w:val="24"/>
          <w:szCs w:val="24"/>
        </w:rPr>
      </w:pPr>
      <w:r w:rsidRPr="00FF6CA4">
        <w:rPr>
          <w:rFonts w:ascii="Arial" w:hAnsi="Arial" w:cs="Arial"/>
          <w:sz w:val="24"/>
          <w:szCs w:val="24"/>
        </w:rPr>
        <w:t>Hampson et al. (2024) and Hampson (2026) provide that critical comparison by examining power and collaboration. Their work suggests that Child First implementation cannot simply be measured through whether practitioners use child-centred terminology. The quality of the relationship between professionals and children matters.</w:t>
      </w:r>
    </w:p>
    <w:p w:rsidRPr="00FF6CA4" w:rsidR="00FF6CA4" w:rsidP="00FF6CA4" w:rsidRDefault="00FF6CA4" w14:paraId="50C78986" w14:textId="77777777">
      <w:pPr>
        <w:spacing w:line="360" w:lineRule="auto"/>
        <w:jc w:val="both"/>
        <w:rPr>
          <w:rFonts w:ascii="Arial" w:hAnsi="Arial" w:cs="Arial"/>
          <w:sz w:val="24"/>
          <w:szCs w:val="24"/>
        </w:rPr>
      </w:pPr>
      <w:r w:rsidRPr="00FF6CA4">
        <w:rPr>
          <w:rFonts w:ascii="Arial" w:hAnsi="Arial" w:cs="Arial"/>
          <w:sz w:val="24"/>
          <w:szCs w:val="24"/>
        </w:rPr>
        <w:t>Consequently, Child First can be judged as a strong policy framework but an incompletely evaluated intervention. This distinction should be retained throughout the dissertation.</w:t>
      </w:r>
    </w:p>
    <w:p w:rsidRPr="00FF6CA4" w:rsidR="00FF6CA4" w:rsidP="00FF6CA4" w:rsidRDefault="00FF6CA4" w14:paraId="11F3BF83" w14:textId="77777777">
      <w:pPr>
        <w:spacing w:line="360" w:lineRule="auto"/>
        <w:jc w:val="both"/>
        <w:rPr>
          <w:rFonts w:ascii="Arial" w:hAnsi="Arial" w:cs="Arial"/>
          <w:sz w:val="24"/>
          <w:szCs w:val="24"/>
        </w:rPr>
      </w:pPr>
      <w:r w:rsidRPr="00FF6CA4">
        <w:rPr>
          <w:rFonts w:ascii="Arial" w:hAnsi="Arial" w:cs="Arial"/>
          <w:sz w:val="24"/>
          <w:szCs w:val="24"/>
        </w:rPr>
        <w:t>2.10 Policing, serious violence and prevention</w:t>
      </w:r>
    </w:p>
    <w:p w:rsidRPr="00FF6CA4" w:rsidR="00FF6CA4" w:rsidP="00FF6CA4" w:rsidRDefault="00FF6CA4" w14:paraId="4F06B24C" w14:textId="77777777">
      <w:pPr>
        <w:spacing w:line="360" w:lineRule="auto"/>
        <w:jc w:val="both"/>
        <w:rPr>
          <w:rFonts w:ascii="Arial" w:hAnsi="Arial" w:cs="Arial"/>
          <w:sz w:val="24"/>
          <w:szCs w:val="24"/>
        </w:rPr>
      </w:pPr>
      <w:r w:rsidRPr="00FF6CA4">
        <w:rPr>
          <w:rFonts w:ascii="Arial" w:hAnsi="Arial" w:cs="Arial"/>
          <w:sz w:val="24"/>
          <w:szCs w:val="24"/>
        </w:rPr>
        <w:t>Policing remains central to youth offending prevention because police officers frequently represent the first formal agency to encounter children displaying concerning behaviour. The development of diversion and prevention therefore changes the police role from one focused primarily on enforcement towards one involving assessment, safeguarding and referral.</w:t>
      </w:r>
    </w:p>
    <w:p w:rsidRPr="00FF6CA4" w:rsidR="00FF6CA4" w:rsidP="00FF6CA4" w:rsidRDefault="00FF6CA4" w14:paraId="4EF2DFCE" w14:textId="77777777">
      <w:pPr>
        <w:spacing w:line="360" w:lineRule="auto"/>
        <w:jc w:val="both"/>
        <w:rPr>
          <w:rFonts w:ascii="Arial" w:hAnsi="Arial" w:cs="Arial"/>
          <w:sz w:val="24"/>
          <w:szCs w:val="24"/>
        </w:rPr>
      </w:pPr>
      <w:r w:rsidRPr="00FF6CA4">
        <w:rPr>
          <w:rFonts w:ascii="Arial" w:hAnsi="Arial" w:cs="Arial"/>
          <w:sz w:val="24"/>
          <w:szCs w:val="24"/>
        </w:rPr>
        <w:t>The Serious Violence Duty represents an important legislative development. Introduced through the Police, Crime, Sentencing and Courts Act 2022, it requires specified authorities, including police, local authorities, youth offending teams and health bodies, to work together to prevent and reduce serious violence (Home Office, 2026).</w:t>
      </w:r>
    </w:p>
    <w:p w:rsidRPr="00FF6CA4" w:rsidR="00FF6CA4" w:rsidP="00FF6CA4" w:rsidRDefault="00FF6CA4" w14:paraId="5680C5A4" w14:textId="77777777">
      <w:pPr>
        <w:spacing w:line="360" w:lineRule="auto"/>
        <w:jc w:val="both"/>
        <w:rPr>
          <w:rFonts w:ascii="Arial" w:hAnsi="Arial" w:cs="Arial"/>
          <w:sz w:val="24"/>
          <w:szCs w:val="24"/>
        </w:rPr>
      </w:pPr>
      <w:r w:rsidRPr="00FF6CA4">
        <w:rPr>
          <w:rFonts w:ascii="Arial" w:hAnsi="Arial" w:cs="Arial"/>
          <w:sz w:val="24"/>
          <w:szCs w:val="24"/>
        </w:rPr>
        <w:t>The legislative context is important. The Duty emerged from political concern about serious violence and knife crime and represented a government attempt to institutionalise multi-agency prevention. The Home Office therefore has an obvious policy interest in demonstrating that the legislation has improved partnership working.</w:t>
      </w:r>
    </w:p>
    <w:p w:rsidRPr="00FF6CA4" w:rsidR="00FF6CA4" w:rsidP="00FF6CA4" w:rsidRDefault="00FF6CA4" w14:paraId="252AFC52" w14:textId="77777777">
      <w:pPr>
        <w:spacing w:line="360" w:lineRule="auto"/>
        <w:jc w:val="both"/>
        <w:rPr>
          <w:rFonts w:ascii="Arial" w:hAnsi="Arial" w:cs="Arial"/>
          <w:sz w:val="24"/>
          <w:szCs w:val="24"/>
        </w:rPr>
      </w:pPr>
      <w:r w:rsidRPr="00FF6CA4">
        <w:rPr>
          <w:rFonts w:ascii="Arial" w:hAnsi="Arial" w:cs="Arial"/>
          <w:sz w:val="24"/>
          <w:szCs w:val="24"/>
        </w:rPr>
        <w:lastRenderedPageBreak/>
        <w:t>The 2026 evaluation provides a more nuanced picture. The evaluation found that the Duty had generally been well implemented and that its legislative status encouraged partner engagement. However, it also found that it was too early to determine its impact upon serious violence and that funding sustainability was a significant concern (Home Office, 2026).</w:t>
      </w:r>
    </w:p>
    <w:p w:rsidRPr="00FF6CA4" w:rsidR="00FF6CA4" w:rsidP="00FF6CA4" w:rsidRDefault="00FF6CA4" w14:paraId="7D1EA429" w14:textId="77777777">
      <w:pPr>
        <w:spacing w:line="360" w:lineRule="auto"/>
        <w:jc w:val="both"/>
        <w:rPr>
          <w:rFonts w:ascii="Arial" w:hAnsi="Arial" w:cs="Arial"/>
          <w:sz w:val="24"/>
          <w:szCs w:val="24"/>
        </w:rPr>
      </w:pPr>
      <w:r w:rsidRPr="00FF6CA4">
        <w:rPr>
          <w:rFonts w:ascii="Arial" w:hAnsi="Arial" w:cs="Arial"/>
          <w:sz w:val="24"/>
          <w:szCs w:val="24"/>
        </w:rPr>
        <w:t>This is highly relevant to the dissertation because it demonstrates exactly why effectiveness should not be assumed. The Duty created the structures necessary for multi-agency prevention, but the evaluation cannot yet establish that the legislation caused reductions in violence.</w:t>
      </w:r>
    </w:p>
    <w:p w:rsidRPr="00FF6CA4" w:rsidR="00FF6CA4" w:rsidP="00FF6CA4" w:rsidRDefault="00FF6CA4" w14:paraId="1B8CB8F3" w14:textId="77777777">
      <w:pPr>
        <w:spacing w:line="360" w:lineRule="auto"/>
        <w:jc w:val="both"/>
        <w:rPr>
          <w:rFonts w:ascii="Arial" w:hAnsi="Arial" w:cs="Arial"/>
          <w:sz w:val="24"/>
          <w:szCs w:val="24"/>
        </w:rPr>
      </w:pPr>
      <w:r w:rsidRPr="00FF6CA4">
        <w:rPr>
          <w:rFonts w:ascii="Arial" w:hAnsi="Arial" w:cs="Arial"/>
          <w:sz w:val="24"/>
          <w:szCs w:val="24"/>
        </w:rPr>
        <w:t>The evaluation also identified weaknesses in education and health engagement and variation in the quality of local Strategic Needs Assessments. This supports the argument that a whole-system model is promising but dependent upon meaningful participation across agencies.</w:t>
      </w:r>
    </w:p>
    <w:p w:rsidRPr="00FF6CA4" w:rsidR="00FF6CA4" w:rsidP="00FF6CA4" w:rsidRDefault="00FF6CA4" w14:paraId="00A00617" w14:textId="77777777">
      <w:pPr>
        <w:spacing w:line="360" w:lineRule="auto"/>
        <w:jc w:val="both"/>
        <w:rPr>
          <w:rFonts w:ascii="Arial" w:hAnsi="Arial" w:cs="Arial"/>
          <w:sz w:val="24"/>
          <w:szCs w:val="24"/>
        </w:rPr>
      </w:pPr>
      <w:r w:rsidRPr="00FF6CA4">
        <w:rPr>
          <w:rFonts w:ascii="Arial" w:hAnsi="Arial" w:cs="Arial"/>
          <w:sz w:val="24"/>
          <w:szCs w:val="24"/>
        </w:rPr>
        <w:t>The Violence Reduction Unit model provides another example. VRUs were established in 2019 and expanded subsequently, using a public-health approach to violence prevention. The 2024 evaluation found that almost all VRUs recognised education as a risk or protective factor and identified exclusion and repeated absence as important concerns (Home Office, 2025).</w:t>
      </w:r>
    </w:p>
    <w:p w:rsidRPr="00FF6CA4" w:rsidR="00FF6CA4" w:rsidP="00FF6CA4" w:rsidRDefault="00FF6CA4" w14:paraId="16166298" w14:textId="77777777">
      <w:pPr>
        <w:spacing w:line="360" w:lineRule="auto"/>
        <w:jc w:val="both"/>
        <w:rPr>
          <w:rFonts w:ascii="Arial" w:hAnsi="Arial" w:cs="Arial"/>
          <w:sz w:val="24"/>
          <w:szCs w:val="24"/>
        </w:rPr>
      </w:pPr>
      <w:r w:rsidRPr="00FF6CA4">
        <w:rPr>
          <w:rFonts w:ascii="Arial" w:hAnsi="Arial" w:cs="Arial"/>
          <w:sz w:val="24"/>
          <w:szCs w:val="24"/>
        </w:rPr>
        <w:t>The VRU evidence is particularly valuable because it links education directly to serious violence prevention. However, the evaluation also found variation in implementation and difficulty fully integrating education partners.</w:t>
      </w:r>
    </w:p>
    <w:p w:rsidRPr="00FF6CA4" w:rsidR="00FF6CA4" w:rsidP="00FF6CA4" w:rsidRDefault="00FF6CA4" w14:paraId="73D12A92" w14:textId="77777777">
      <w:pPr>
        <w:spacing w:line="360" w:lineRule="auto"/>
        <w:jc w:val="both"/>
        <w:rPr>
          <w:rFonts w:ascii="Arial" w:hAnsi="Arial" w:cs="Arial"/>
          <w:sz w:val="24"/>
          <w:szCs w:val="24"/>
        </w:rPr>
      </w:pPr>
      <w:r w:rsidRPr="00FF6CA4">
        <w:rPr>
          <w:rFonts w:ascii="Arial" w:hAnsi="Arial" w:cs="Arial"/>
          <w:sz w:val="24"/>
          <w:szCs w:val="24"/>
        </w:rPr>
        <w:t>Therefore, policing and public-health approaches have increasingly recognised the social causes of violence, but implementation remains uneven. This supports Objective One while also reinforcing Objective Two's focus on effectiveness.</w:t>
      </w:r>
    </w:p>
    <w:p w:rsidRPr="00FF6CA4" w:rsidR="00FF6CA4" w:rsidP="00FF6CA4" w:rsidRDefault="00FF6CA4" w14:paraId="3A5B2813" w14:textId="77777777">
      <w:pPr>
        <w:spacing w:line="360" w:lineRule="auto"/>
        <w:jc w:val="both"/>
        <w:rPr>
          <w:rFonts w:ascii="Arial" w:hAnsi="Arial" w:cs="Arial"/>
          <w:sz w:val="24"/>
          <w:szCs w:val="24"/>
        </w:rPr>
      </w:pPr>
      <w:r w:rsidRPr="00FF6CA4">
        <w:rPr>
          <w:rFonts w:ascii="Arial" w:hAnsi="Arial" w:cs="Arial"/>
          <w:sz w:val="24"/>
          <w:szCs w:val="24"/>
        </w:rPr>
        <w:t>2.11 Education-based violence prevention</w:t>
      </w:r>
    </w:p>
    <w:p w:rsidRPr="00FF6CA4" w:rsidR="00FF6CA4" w:rsidP="00FF6CA4" w:rsidRDefault="00FF6CA4" w14:paraId="561D3AE4" w14:textId="77777777">
      <w:pPr>
        <w:spacing w:line="360" w:lineRule="auto"/>
        <w:jc w:val="both"/>
        <w:rPr>
          <w:rFonts w:ascii="Arial" w:hAnsi="Arial" w:cs="Arial"/>
          <w:sz w:val="24"/>
          <w:szCs w:val="24"/>
        </w:rPr>
      </w:pPr>
      <w:r w:rsidRPr="00FF6CA4">
        <w:rPr>
          <w:rFonts w:ascii="Arial" w:hAnsi="Arial" w:cs="Arial"/>
          <w:sz w:val="24"/>
          <w:szCs w:val="24"/>
        </w:rPr>
        <w:t>Education-based prevention has become increasingly prominent through initiatives such as SAFE Taskforces and Alternative Provision Specialist Taskforces. SAFE Taskforces aim to provide early support, improve engagement with education and reduce vulnerability to serious violence, while Alternative Provision Specialist Taskforces bring together professionals including education, health, youth justice and family support workers.</w:t>
      </w:r>
    </w:p>
    <w:p w:rsidRPr="00FF6CA4" w:rsidR="00FF6CA4" w:rsidP="00FF6CA4" w:rsidRDefault="00FF6CA4" w14:paraId="3A691C70" w14:textId="77777777">
      <w:pPr>
        <w:spacing w:line="360" w:lineRule="auto"/>
        <w:jc w:val="both"/>
        <w:rPr>
          <w:rFonts w:ascii="Arial" w:hAnsi="Arial" w:cs="Arial"/>
          <w:sz w:val="24"/>
          <w:szCs w:val="24"/>
        </w:rPr>
      </w:pPr>
      <w:r w:rsidRPr="00FF6CA4">
        <w:rPr>
          <w:rFonts w:ascii="Arial" w:hAnsi="Arial" w:cs="Arial"/>
          <w:sz w:val="24"/>
          <w:szCs w:val="24"/>
        </w:rPr>
        <w:lastRenderedPageBreak/>
        <w:t>The policy rationale is strong. If education provides protective relationships and opportunities, then improving attendance, engagement and attainment may reduce vulnerability to violence. However, the causal chain is complex.</w:t>
      </w:r>
    </w:p>
    <w:p w:rsidRPr="00FF6CA4" w:rsidR="00FF6CA4" w:rsidP="00FF6CA4" w:rsidRDefault="00FF6CA4" w14:paraId="6D74C5D5" w14:textId="77777777">
      <w:pPr>
        <w:spacing w:line="360" w:lineRule="auto"/>
        <w:jc w:val="both"/>
        <w:rPr>
          <w:rFonts w:ascii="Arial" w:hAnsi="Arial" w:cs="Arial"/>
          <w:sz w:val="24"/>
          <w:szCs w:val="24"/>
        </w:rPr>
      </w:pPr>
      <w:r w:rsidRPr="00FF6CA4">
        <w:rPr>
          <w:rFonts w:ascii="Arial" w:hAnsi="Arial" w:cs="Arial"/>
          <w:sz w:val="24"/>
          <w:szCs w:val="24"/>
        </w:rPr>
        <w:t>The DfE's latest attendance data demonstrate why this remains an urgent issue. Overall absence improved in 2024/25 but remained significantly above pre-pandemic levels, while alternative provision experienced exceptionally high absence (Department for Education, 2026).</w:t>
      </w:r>
    </w:p>
    <w:p w:rsidRPr="00FF6CA4" w:rsidR="00FF6CA4" w:rsidP="00FF6CA4" w:rsidRDefault="00FF6CA4" w14:paraId="33D671B8" w14:textId="77777777">
      <w:pPr>
        <w:spacing w:line="360" w:lineRule="auto"/>
        <w:jc w:val="both"/>
        <w:rPr>
          <w:rFonts w:ascii="Arial" w:hAnsi="Arial" w:cs="Arial"/>
          <w:sz w:val="24"/>
          <w:szCs w:val="24"/>
        </w:rPr>
      </w:pPr>
      <w:r w:rsidRPr="00FF6CA4">
        <w:rPr>
          <w:rFonts w:ascii="Arial" w:hAnsi="Arial" w:cs="Arial"/>
          <w:sz w:val="24"/>
          <w:szCs w:val="24"/>
        </w:rPr>
        <w:t>The VRU evaluation provides further evidence that education is increasingly considered part of violence prevention. However, the evaluation also highlights that education systems can be fragmented and difficult to integrate into local violence reduction partnerships (Home Office, 2025).</w:t>
      </w:r>
    </w:p>
    <w:p w:rsidRPr="00FF6CA4" w:rsidR="00FF6CA4" w:rsidP="00FF6CA4" w:rsidRDefault="00FF6CA4" w14:paraId="44D564B4" w14:textId="77777777">
      <w:pPr>
        <w:spacing w:line="360" w:lineRule="auto"/>
        <w:jc w:val="both"/>
        <w:rPr>
          <w:rFonts w:ascii="Arial" w:hAnsi="Arial" w:cs="Arial"/>
          <w:sz w:val="24"/>
          <w:szCs w:val="24"/>
        </w:rPr>
      </w:pPr>
      <w:r w:rsidRPr="00FF6CA4">
        <w:rPr>
          <w:rFonts w:ascii="Arial" w:hAnsi="Arial" w:cs="Arial"/>
          <w:sz w:val="24"/>
          <w:szCs w:val="24"/>
        </w:rPr>
        <w:t>This suggests that prevention policy has correctly identified education as important, but implementation requires structural cooperation. Youth justice cannot improve attendance without schools, families and education services being able to address the reasons for absence.</w:t>
      </w:r>
    </w:p>
    <w:p w:rsidRPr="00FF6CA4" w:rsidR="00FF6CA4" w:rsidP="00FF6CA4" w:rsidRDefault="00FF6CA4" w14:paraId="49852475" w14:textId="77777777">
      <w:pPr>
        <w:spacing w:line="360" w:lineRule="auto"/>
        <w:jc w:val="both"/>
        <w:rPr>
          <w:rFonts w:ascii="Arial" w:hAnsi="Arial" w:cs="Arial"/>
          <w:sz w:val="24"/>
          <w:szCs w:val="24"/>
        </w:rPr>
      </w:pPr>
      <w:r w:rsidRPr="00FF6CA4">
        <w:rPr>
          <w:rFonts w:ascii="Arial" w:hAnsi="Arial" w:cs="Arial"/>
          <w:sz w:val="24"/>
          <w:szCs w:val="24"/>
        </w:rPr>
        <w:t>Therefore, the extent to which post-pandemic strategies have addressed educational disengagement can be judged as moderate rather than complete. Education has moved from the margins of youth violence policy towards the centre, but attendance and exclusion outcomes demonstrate that the underlying problem remains substantial.</w:t>
      </w:r>
    </w:p>
    <w:p w:rsidRPr="00FF6CA4" w:rsidR="00FF6CA4" w:rsidP="00FF6CA4" w:rsidRDefault="00FF6CA4" w14:paraId="13D478E5" w14:textId="77777777">
      <w:pPr>
        <w:spacing w:line="360" w:lineRule="auto"/>
        <w:jc w:val="both"/>
        <w:rPr>
          <w:rFonts w:ascii="Arial" w:hAnsi="Arial" w:cs="Arial"/>
          <w:sz w:val="24"/>
          <w:szCs w:val="24"/>
        </w:rPr>
      </w:pPr>
      <w:r w:rsidRPr="00FF6CA4">
        <w:rPr>
          <w:rFonts w:ascii="Arial" w:hAnsi="Arial" w:cs="Arial"/>
          <w:sz w:val="24"/>
          <w:szCs w:val="24"/>
        </w:rPr>
        <w:t>2.12 Wales as a distinct case</w:t>
      </w:r>
    </w:p>
    <w:p w:rsidRPr="00FF6CA4" w:rsidR="00FF6CA4" w:rsidP="00FF6CA4" w:rsidRDefault="00FF6CA4" w14:paraId="592E9B3E" w14:textId="77777777">
      <w:pPr>
        <w:spacing w:line="360" w:lineRule="auto"/>
        <w:jc w:val="both"/>
        <w:rPr>
          <w:rFonts w:ascii="Arial" w:hAnsi="Arial" w:cs="Arial"/>
          <w:sz w:val="24"/>
          <w:szCs w:val="24"/>
        </w:rPr>
      </w:pPr>
      <w:r w:rsidRPr="00FF6CA4">
        <w:rPr>
          <w:rFonts w:ascii="Arial" w:hAnsi="Arial" w:cs="Arial"/>
          <w:sz w:val="24"/>
          <w:szCs w:val="24"/>
        </w:rPr>
        <w:t>England and Wales should not be treated as identical throughout this review. Although youth justice legislation is largely a matter for the UK Government, Wales has devolved responsibility for education, health and children's services. This makes Wales particularly relevant to a research question concerned with the interaction between youth justice and social conditions.</w:t>
      </w:r>
    </w:p>
    <w:p w:rsidRPr="00FF6CA4" w:rsidR="00FF6CA4" w:rsidP="00FF6CA4" w:rsidRDefault="00FF6CA4" w14:paraId="6C06803F" w14:textId="77777777">
      <w:pPr>
        <w:spacing w:line="360" w:lineRule="auto"/>
        <w:jc w:val="both"/>
        <w:rPr>
          <w:rFonts w:ascii="Arial" w:hAnsi="Arial" w:cs="Arial"/>
          <w:sz w:val="24"/>
          <w:szCs w:val="24"/>
        </w:rPr>
      </w:pPr>
      <w:r w:rsidRPr="00FF6CA4">
        <w:rPr>
          <w:rFonts w:ascii="Arial" w:hAnsi="Arial" w:cs="Arial"/>
          <w:sz w:val="24"/>
          <w:szCs w:val="24"/>
        </w:rPr>
        <w:t>The Welsh Government's Prevention Framework, published in June 2025, explicitly aims to bring together services involved in preventing youth offending into a single joined-up vision. It identifies Child First practice, trauma-informed approaches, violence prevention and the wider Welsh context as central components (Welsh Government, 2025).</w:t>
      </w:r>
    </w:p>
    <w:p w:rsidRPr="00FF6CA4" w:rsidR="00FF6CA4" w:rsidP="00FF6CA4" w:rsidRDefault="00FF6CA4" w14:paraId="5072F236" w14:textId="77777777">
      <w:pPr>
        <w:spacing w:line="360" w:lineRule="auto"/>
        <w:jc w:val="both"/>
        <w:rPr>
          <w:rFonts w:ascii="Arial" w:hAnsi="Arial" w:cs="Arial"/>
          <w:sz w:val="24"/>
          <w:szCs w:val="24"/>
        </w:rPr>
      </w:pPr>
      <w:r w:rsidRPr="00FF6CA4">
        <w:rPr>
          <w:rFonts w:ascii="Arial" w:hAnsi="Arial" w:cs="Arial"/>
          <w:sz w:val="24"/>
          <w:szCs w:val="24"/>
        </w:rPr>
        <w:lastRenderedPageBreak/>
        <w:t>The Framework is particularly relevant because it recognises that children who encounter youth justice often have wider needs. Its emphasis upon education, health, family circumstances and poverty therefore aligns closely with the present research aim.</w:t>
      </w:r>
    </w:p>
    <w:p w:rsidRPr="00FF6CA4" w:rsidR="00FF6CA4" w:rsidP="00FF6CA4" w:rsidRDefault="00FF6CA4" w14:paraId="64C2EF3C" w14:textId="77777777">
      <w:pPr>
        <w:spacing w:line="360" w:lineRule="auto"/>
        <w:jc w:val="both"/>
        <w:rPr>
          <w:rFonts w:ascii="Arial" w:hAnsi="Arial" w:cs="Arial"/>
          <w:sz w:val="24"/>
          <w:szCs w:val="24"/>
        </w:rPr>
      </w:pPr>
      <w:r w:rsidRPr="00FF6CA4">
        <w:rPr>
          <w:rFonts w:ascii="Arial" w:hAnsi="Arial" w:cs="Arial"/>
          <w:sz w:val="24"/>
          <w:szCs w:val="24"/>
        </w:rPr>
        <w:t>The Wales Violence Prevention Unit provides another distinctive element. It applies a public-health approach to violence prevention, involving policing, Public Health Wales, Welsh Government and voluntary-sector partners. This model reflects an understanding that violence has multiple causes requiring prevention at different levels (Welsh Government, 2025).</w:t>
      </w:r>
    </w:p>
    <w:p w:rsidRPr="00FF6CA4" w:rsidR="00FF6CA4" w:rsidP="00FF6CA4" w:rsidRDefault="00FF6CA4" w14:paraId="2560C709" w14:textId="77777777">
      <w:pPr>
        <w:spacing w:line="360" w:lineRule="auto"/>
        <w:jc w:val="both"/>
        <w:rPr>
          <w:rFonts w:ascii="Arial" w:hAnsi="Arial" w:cs="Arial"/>
          <w:sz w:val="24"/>
          <w:szCs w:val="24"/>
        </w:rPr>
      </w:pPr>
      <w:r w:rsidRPr="00FF6CA4">
        <w:rPr>
          <w:rFonts w:ascii="Arial" w:hAnsi="Arial" w:cs="Arial"/>
          <w:sz w:val="24"/>
          <w:szCs w:val="24"/>
        </w:rPr>
        <w:t>However, the Welsh model should not be idealised. The Framework is evidence-informed policy, but it is not itself proof of effectiveness. Wales continues to experience substantial socioeconomic inequality, and educational disengagement remains a concern.</w:t>
      </w:r>
    </w:p>
    <w:p w:rsidRPr="00FF6CA4" w:rsidR="00FF6CA4" w:rsidP="00FF6CA4" w:rsidRDefault="00FF6CA4" w14:paraId="0CC06FE0" w14:textId="77777777">
      <w:pPr>
        <w:spacing w:line="360" w:lineRule="auto"/>
        <w:jc w:val="both"/>
        <w:rPr>
          <w:rFonts w:ascii="Arial" w:hAnsi="Arial" w:cs="Arial"/>
          <w:sz w:val="24"/>
          <w:szCs w:val="24"/>
        </w:rPr>
      </w:pPr>
      <w:r w:rsidRPr="00FF6CA4">
        <w:rPr>
          <w:rFonts w:ascii="Arial" w:hAnsi="Arial" w:cs="Arial"/>
          <w:sz w:val="24"/>
          <w:szCs w:val="24"/>
        </w:rPr>
        <w:t xml:space="preserve">The Wales Without Violence framework also illustrates this issue. An evaluability assessment conducted by </w:t>
      </w:r>
      <w:proofErr w:type="spellStart"/>
      <w:r w:rsidRPr="00FF6CA4">
        <w:rPr>
          <w:rFonts w:ascii="Arial" w:hAnsi="Arial" w:cs="Arial"/>
          <w:sz w:val="24"/>
          <w:szCs w:val="24"/>
        </w:rPr>
        <w:t>DECIPHer</w:t>
      </w:r>
      <w:proofErr w:type="spellEnd"/>
      <w:r w:rsidRPr="00FF6CA4">
        <w:rPr>
          <w:rFonts w:ascii="Arial" w:hAnsi="Arial" w:cs="Arial"/>
          <w:sz w:val="24"/>
          <w:szCs w:val="24"/>
        </w:rPr>
        <w:t xml:space="preserve"> at Cardiff University examined whether the framework was sufficiently developed to support future impact evaluation. This is significant because it demonstrates that evaluation capacity is still being developed rather than there already being definitive evidence of long-term impact (Wales Without Violence, 2024).</w:t>
      </w:r>
    </w:p>
    <w:p w:rsidRPr="00FF6CA4" w:rsidR="00FF6CA4" w:rsidP="00FF6CA4" w:rsidRDefault="00FF6CA4" w14:paraId="4D90A26A" w14:textId="77777777">
      <w:pPr>
        <w:spacing w:line="360" w:lineRule="auto"/>
        <w:jc w:val="both"/>
        <w:rPr>
          <w:rFonts w:ascii="Arial" w:hAnsi="Arial" w:cs="Arial"/>
          <w:sz w:val="24"/>
          <w:szCs w:val="24"/>
        </w:rPr>
      </w:pPr>
      <w:r w:rsidRPr="00FF6CA4">
        <w:rPr>
          <w:rFonts w:ascii="Arial" w:hAnsi="Arial" w:cs="Arial"/>
          <w:sz w:val="24"/>
          <w:szCs w:val="24"/>
        </w:rPr>
        <w:t>This is a useful finding for the dissertation. Wales may have developed a particularly comprehensive policy architecture, but the evidence base has not yet caught up with the ambition of the framework.</w:t>
      </w:r>
    </w:p>
    <w:p w:rsidRPr="00FF6CA4" w:rsidR="00FF6CA4" w:rsidP="00FF6CA4" w:rsidRDefault="00FF6CA4" w14:paraId="40B3A5A2" w14:textId="77777777">
      <w:pPr>
        <w:spacing w:line="360" w:lineRule="auto"/>
        <w:jc w:val="both"/>
        <w:rPr>
          <w:rFonts w:ascii="Arial" w:hAnsi="Arial" w:cs="Arial"/>
          <w:sz w:val="24"/>
          <w:szCs w:val="24"/>
        </w:rPr>
      </w:pPr>
      <w:r w:rsidRPr="00FF6CA4">
        <w:rPr>
          <w:rFonts w:ascii="Arial" w:hAnsi="Arial" w:cs="Arial"/>
          <w:sz w:val="24"/>
          <w:szCs w:val="24"/>
        </w:rPr>
        <w:t>2.13 Welsh diversion and policing</w:t>
      </w:r>
    </w:p>
    <w:p w:rsidRPr="00FF6CA4" w:rsidR="00FF6CA4" w:rsidP="00FF6CA4" w:rsidRDefault="00FF6CA4" w14:paraId="46E60B9F" w14:textId="77777777">
      <w:pPr>
        <w:spacing w:line="360" w:lineRule="auto"/>
        <w:jc w:val="both"/>
        <w:rPr>
          <w:rFonts w:ascii="Arial" w:hAnsi="Arial" w:cs="Arial"/>
          <w:sz w:val="24"/>
          <w:szCs w:val="24"/>
        </w:rPr>
      </w:pPr>
      <w:r w:rsidRPr="00FF6CA4">
        <w:rPr>
          <w:rFonts w:ascii="Arial" w:hAnsi="Arial" w:cs="Arial"/>
          <w:sz w:val="24"/>
          <w:szCs w:val="24"/>
        </w:rPr>
        <w:t>Wales has also developed specific guidance concerning diversion and out-of-court resolutions. Welsh Government guidance identifies inconsistencies in terminology and practice between areas and seeks to establish greater consistency in the use of community resolutions and restorative approaches (Welsh Government, 2026).</w:t>
      </w:r>
    </w:p>
    <w:p w:rsidRPr="00FF6CA4" w:rsidR="00FF6CA4" w:rsidP="00FF6CA4" w:rsidRDefault="00FF6CA4" w14:paraId="0258AF74" w14:textId="77777777">
      <w:pPr>
        <w:spacing w:line="360" w:lineRule="auto"/>
        <w:jc w:val="both"/>
        <w:rPr>
          <w:rFonts w:ascii="Arial" w:hAnsi="Arial" w:cs="Arial"/>
          <w:sz w:val="24"/>
          <w:szCs w:val="24"/>
        </w:rPr>
      </w:pPr>
      <w:r w:rsidRPr="00FF6CA4">
        <w:rPr>
          <w:rFonts w:ascii="Arial" w:hAnsi="Arial" w:cs="Arial"/>
          <w:sz w:val="24"/>
          <w:szCs w:val="24"/>
        </w:rPr>
        <w:t>This is important because it demonstrates that even where there is national agreement about diversion, local practice can vary.</w:t>
      </w:r>
    </w:p>
    <w:p w:rsidRPr="00FF6CA4" w:rsidR="00FF6CA4" w:rsidP="00FF6CA4" w:rsidRDefault="00FF6CA4" w14:paraId="1F4F9CB5" w14:textId="77777777">
      <w:pPr>
        <w:spacing w:line="360" w:lineRule="auto"/>
        <w:jc w:val="both"/>
        <w:rPr>
          <w:rFonts w:ascii="Arial" w:hAnsi="Arial" w:cs="Arial"/>
          <w:sz w:val="24"/>
          <w:szCs w:val="24"/>
        </w:rPr>
      </w:pPr>
      <w:r w:rsidRPr="00FF6CA4">
        <w:rPr>
          <w:rFonts w:ascii="Arial" w:hAnsi="Arial" w:cs="Arial"/>
          <w:sz w:val="24"/>
          <w:szCs w:val="24"/>
        </w:rPr>
        <w:lastRenderedPageBreak/>
        <w:t xml:space="preserve">The guidance also recognises that children in residential care may experience increased police contact for behaviour that might be treated differently in other circumstances. The </w:t>
      </w:r>
      <w:proofErr w:type="gramStart"/>
      <w:r w:rsidRPr="00FF6CA4">
        <w:rPr>
          <w:rFonts w:ascii="Arial" w:hAnsi="Arial" w:cs="Arial"/>
          <w:sz w:val="24"/>
          <w:szCs w:val="24"/>
        </w:rPr>
        <w:t>All Wales</w:t>
      </w:r>
      <w:proofErr w:type="gramEnd"/>
      <w:r w:rsidRPr="00FF6CA4">
        <w:rPr>
          <w:rFonts w:ascii="Arial" w:hAnsi="Arial" w:cs="Arial"/>
          <w:sz w:val="24"/>
          <w:szCs w:val="24"/>
        </w:rPr>
        <w:t xml:space="preserve"> Protocol seeks to reduce the criminalisation of care-experienced children by encouraging alternative responses.</w:t>
      </w:r>
    </w:p>
    <w:p w:rsidRPr="00FF6CA4" w:rsidR="00FF6CA4" w:rsidP="00FF6CA4" w:rsidRDefault="00FF6CA4" w14:paraId="4C3B7BA3" w14:textId="77777777">
      <w:pPr>
        <w:spacing w:line="360" w:lineRule="auto"/>
        <w:jc w:val="both"/>
        <w:rPr>
          <w:rFonts w:ascii="Arial" w:hAnsi="Arial" w:cs="Arial"/>
          <w:sz w:val="24"/>
          <w:szCs w:val="24"/>
        </w:rPr>
      </w:pPr>
      <w:r w:rsidRPr="00FF6CA4">
        <w:rPr>
          <w:rFonts w:ascii="Arial" w:hAnsi="Arial" w:cs="Arial"/>
          <w:sz w:val="24"/>
          <w:szCs w:val="24"/>
        </w:rPr>
        <w:t>This is directly relevant to the research question because it illustrates how social circumstances can increase exposure to the justice system. If a child's living environment increases the likelihood of police involvement, then prevention requires more than changing the child's behaviour.</w:t>
      </w:r>
    </w:p>
    <w:p w:rsidRPr="00FF6CA4" w:rsidR="00FF6CA4" w:rsidP="00FF6CA4" w:rsidRDefault="00FF6CA4" w14:paraId="2102E951" w14:textId="77777777">
      <w:pPr>
        <w:spacing w:line="360" w:lineRule="auto"/>
        <w:jc w:val="both"/>
        <w:rPr>
          <w:rFonts w:ascii="Arial" w:hAnsi="Arial" w:cs="Arial"/>
          <w:sz w:val="24"/>
          <w:szCs w:val="24"/>
        </w:rPr>
      </w:pPr>
      <w:r w:rsidRPr="00FF6CA4">
        <w:rPr>
          <w:rFonts w:ascii="Arial" w:hAnsi="Arial" w:cs="Arial"/>
          <w:sz w:val="24"/>
          <w:szCs w:val="24"/>
        </w:rPr>
        <w:t>The Welsh approach therefore provides a useful example of how education, care, policing and youth justice can be connected. However, it again demonstrates the importance of implementation and outcome evaluation.</w:t>
      </w:r>
    </w:p>
    <w:p w:rsidRPr="00FF6CA4" w:rsidR="00FF6CA4" w:rsidP="00FF6CA4" w:rsidRDefault="00FF6CA4" w14:paraId="07BD9EBF" w14:textId="77777777">
      <w:pPr>
        <w:spacing w:line="360" w:lineRule="auto"/>
        <w:jc w:val="both"/>
        <w:rPr>
          <w:rFonts w:ascii="Arial" w:hAnsi="Arial" w:cs="Arial"/>
          <w:sz w:val="24"/>
          <w:szCs w:val="24"/>
        </w:rPr>
      </w:pPr>
      <w:r w:rsidRPr="00FF6CA4">
        <w:rPr>
          <w:rFonts w:ascii="Arial" w:hAnsi="Arial" w:cs="Arial"/>
          <w:sz w:val="24"/>
          <w:szCs w:val="24"/>
        </w:rPr>
        <w:t>2.14 International comparison: Scotland</w:t>
      </w:r>
    </w:p>
    <w:p w:rsidRPr="00FF6CA4" w:rsidR="00FF6CA4" w:rsidP="00FF6CA4" w:rsidRDefault="00FF6CA4" w14:paraId="107FC275" w14:textId="77777777">
      <w:pPr>
        <w:spacing w:line="360" w:lineRule="auto"/>
        <w:jc w:val="both"/>
        <w:rPr>
          <w:rFonts w:ascii="Arial" w:hAnsi="Arial" w:cs="Arial"/>
          <w:sz w:val="24"/>
          <w:szCs w:val="24"/>
        </w:rPr>
      </w:pPr>
      <w:r w:rsidRPr="00FF6CA4">
        <w:rPr>
          <w:rFonts w:ascii="Arial" w:hAnsi="Arial" w:cs="Arial"/>
          <w:sz w:val="24"/>
          <w:szCs w:val="24"/>
        </w:rPr>
        <w:t>Scotland provides an especially relevant international comparator because it is part of the UK but operates within a different legal and institutional framework. Its Whole System Approach (WSA) emphasises early intervention, diversion, multi-agency support and keeping children away from formal criminal justice wherever possible (Scottish Government, 2026).</w:t>
      </w:r>
    </w:p>
    <w:p w:rsidRPr="00FF6CA4" w:rsidR="00FF6CA4" w:rsidP="00FF6CA4" w:rsidRDefault="00FF6CA4" w14:paraId="1053B768" w14:textId="77777777">
      <w:pPr>
        <w:spacing w:line="360" w:lineRule="auto"/>
        <w:jc w:val="both"/>
        <w:rPr>
          <w:rFonts w:ascii="Arial" w:hAnsi="Arial" w:cs="Arial"/>
          <w:sz w:val="24"/>
          <w:szCs w:val="24"/>
        </w:rPr>
      </w:pPr>
      <w:r w:rsidRPr="00FF6CA4">
        <w:rPr>
          <w:rFonts w:ascii="Arial" w:hAnsi="Arial" w:cs="Arial"/>
          <w:sz w:val="24"/>
          <w:szCs w:val="24"/>
        </w:rPr>
        <w:t>The WSA is underpinned by Getting it Right for Every Child and seeks to provide support at the earliest signs of difficulty rather than waiting until problems become crises. This provides a useful lesson for England and Wales because it demonstrates what can happen when youth justice is integrated with broader children's services.</w:t>
      </w:r>
    </w:p>
    <w:p w:rsidRPr="00FF6CA4" w:rsidR="00FF6CA4" w:rsidP="00FF6CA4" w:rsidRDefault="00FF6CA4" w14:paraId="76AFCD65" w14:textId="77777777">
      <w:pPr>
        <w:spacing w:line="360" w:lineRule="auto"/>
        <w:jc w:val="both"/>
        <w:rPr>
          <w:rFonts w:ascii="Arial" w:hAnsi="Arial" w:cs="Arial"/>
          <w:sz w:val="24"/>
          <w:szCs w:val="24"/>
        </w:rPr>
      </w:pPr>
      <w:r w:rsidRPr="00FF6CA4">
        <w:rPr>
          <w:rFonts w:ascii="Arial" w:hAnsi="Arial" w:cs="Arial"/>
          <w:sz w:val="24"/>
          <w:szCs w:val="24"/>
        </w:rPr>
        <w:t>Scotland's 2024–26 youth justice priorities continue to support the WSA and emphasise children's rights, prevention and diversion (Scottish Government, 2024).</w:t>
      </w:r>
    </w:p>
    <w:p w:rsidRPr="00FF6CA4" w:rsidR="00FF6CA4" w:rsidP="00FF6CA4" w:rsidRDefault="00FF6CA4" w14:paraId="516799DF" w14:textId="77777777">
      <w:pPr>
        <w:spacing w:line="360" w:lineRule="auto"/>
        <w:jc w:val="both"/>
        <w:rPr>
          <w:rFonts w:ascii="Arial" w:hAnsi="Arial" w:cs="Arial"/>
          <w:sz w:val="24"/>
          <w:szCs w:val="24"/>
        </w:rPr>
      </w:pPr>
      <w:r w:rsidRPr="00FF6CA4">
        <w:rPr>
          <w:rFonts w:ascii="Arial" w:hAnsi="Arial" w:cs="Arial"/>
          <w:sz w:val="24"/>
          <w:szCs w:val="24"/>
        </w:rPr>
        <w:t>The Children (Care and Justice) (Scotland) Act 2024 also strengthens Scotland's child-centred approach by supporting the move away from Young Offenders' Institutions for under-18s and towards smaller, more trauma-informed settings.</w:t>
      </w:r>
    </w:p>
    <w:p w:rsidRPr="00FF6CA4" w:rsidR="00FF6CA4" w:rsidP="00FF6CA4" w:rsidRDefault="00FF6CA4" w14:paraId="0E86D55C" w14:textId="77777777">
      <w:pPr>
        <w:spacing w:line="360" w:lineRule="auto"/>
        <w:jc w:val="both"/>
        <w:rPr>
          <w:rFonts w:ascii="Arial" w:hAnsi="Arial" w:cs="Arial"/>
          <w:sz w:val="24"/>
          <w:szCs w:val="24"/>
        </w:rPr>
      </w:pPr>
      <w:r w:rsidRPr="00FF6CA4">
        <w:rPr>
          <w:rFonts w:ascii="Arial" w:hAnsi="Arial" w:cs="Arial"/>
          <w:sz w:val="24"/>
          <w:szCs w:val="24"/>
        </w:rPr>
        <w:t xml:space="preserve">The Scottish model nevertheless cannot simply be transferred to England and Wales. Scotland has different legal structures, including the Children's Hearings System. The lesson is therefore not that England should reproduce Scottish institutions but that </w:t>
      </w:r>
      <w:r w:rsidRPr="00FF6CA4">
        <w:rPr>
          <w:rFonts w:ascii="Arial" w:hAnsi="Arial" w:cs="Arial"/>
          <w:sz w:val="24"/>
          <w:szCs w:val="24"/>
        </w:rPr>
        <w:lastRenderedPageBreak/>
        <w:t>early intervention, multi-agency support and keeping children away from formal criminal justice are principles that can potentially be adapted.</w:t>
      </w:r>
    </w:p>
    <w:p w:rsidRPr="00FF6CA4" w:rsidR="00FF6CA4" w:rsidP="00FF6CA4" w:rsidRDefault="00FF6CA4" w14:paraId="65B3D9A0" w14:textId="77777777">
      <w:pPr>
        <w:spacing w:line="360" w:lineRule="auto"/>
        <w:jc w:val="both"/>
        <w:rPr>
          <w:rFonts w:ascii="Arial" w:hAnsi="Arial" w:cs="Arial"/>
          <w:sz w:val="24"/>
          <w:szCs w:val="24"/>
        </w:rPr>
      </w:pPr>
      <w:r w:rsidRPr="00FF6CA4">
        <w:rPr>
          <w:rFonts w:ascii="Arial" w:hAnsi="Arial" w:cs="Arial"/>
          <w:sz w:val="24"/>
          <w:szCs w:val="24"/>
        </w:rPr>
        <w:t>This provides a realistic answer to Objective Four. International comparison should identify transferable principles rather than assume that institutional models can be copied without considering constitutional and cultural differences.</w:t>
      </w:r>
    </w:p>
    <w:p w:rsidRPr="00FF6CA4" w:rsidR="00FF6CA4" w:rsidP="00FF6CA4" w:rsidRDefault="00FF6CA4" w14:paraId="3FB0B999" w14:textId="77777777">
      <w:pPr>
        <w:spacing w:line="360" w:lineRule="auto"/>
        <w:jc w:val="both"/>
        <w:rPr>
          <w:rFonts w:ascii="Arial" w:hAnsi="Arial" w:cs="Arial"/>
          <w:sz w:val="24"/>
          <w:szCs w:val="24"/>
        </w:rPr>
      </w:pPr>
      <w:r w:rsidRPr="00FF6CA4">
        <w:rPr>
          <w:rFonts w:ascii="Arial" w:hAnsi="Arial" w:cs="Arial"/>
          <w:sz w:val="24"/>
          <w:szCs w:val="24"/>
        </w:rPr>
        <w:t>2.15 International comparison: New Zealand</w:t>
      </w:r>
    </w:p>
    <w:p w:rsidRPr="00FF6CA4" w:rsidR="00FF6CA4" w:rsidP="00FF6CA4" w:rsidRDefault="00FF6CA4" w14:paraId="79CD00B0" w14:textId="77777777">
      <w:pPr>
        <w:spacing w:line="360" w:lineRule="auto"/>
        <w:jc w:val="both"/>
        <w:rPr>
          <w:rFonts w:ascii="Arial" w:hAnsi="Arial" w:cs="Arial"/>
          <w:sz w:val="24"/>
          <w:szCs w:val="24"/>
        </w:rPr>
      </w:pPr>
      <w:r w:rsidRPr="00FF6CA4">
        <w:rPr>
          <w:rFonts w:ascii="Arial" w:hAnsi="Arial" w:cs="Arial"/>
          <w:sz w:val="24"/>
          <w:szCs w:val="24"/>
        </w:rPr>
        <w:t>New Zealand provides a contrasting example through Family Group Conferences (FGCs). The model places children, families and other relevant participants within decision-making processes rather than relying exclusively upon professional decisions.</w:t>
      </w:r>
    </w:p>
    <w:p w:rsidRPr="00FF6CA4" w:rsidR="00FF6CA4" w:rsidP="00FF6CA4" w:rsidRDefault="00FF6CA4" w14:paraId="48A06589" w14:textId="77777777">
      <w:pPr>
        <w:spacing w:line="360" w:lineRule="auto"/>
        <w:jc w:val="both"/>
        <w:rPr>
          <w:rFonts w:ascii="Arial" w:hAnsi="Arial" w:cs="Arial"/>
          <w:sz w:val="24"/>
          <w:szCs w:val="24"/>
        </w:rPr>
      </w:pPr>
      <w:r w:rsidRPr="00FF6CA4">
        <w:rPr>
          <w:rFonts w:ascii="Arial" w:hAnsi="Arial" w:cs="Arial"/>
          <w:sz w:val="24"/>
          <w:szCs w:val="24"/>
        </w:rPr>
        <w:t>The model is attractive because it aligns with principles of participation, restoration and family involvement. However, recent evidence demonstrates that restorative practice should not automatically be regarded as successful simply because it is participatory.</w:t>
      </w:r>
    </w:p>
    <w:p w:rsidRPr="00FF6CA4" w:rsidR="00FF6CA4" w:rsidP="00FF6CA4" w:rsidRDefault="00FF6CA4" w14:paraId="4C640D83" w14:textId="77777777">
      <w:pPr>
        <w:spacing w:line="360" w:lineRule="auto"/>
        <w:jc w:val="both"/>
        <w:rPr>
          <w:rFonts w:ascii="Arial" w:hAnsi="Arial" w:cs="Arial"/>
          <w:sz w:val="24"/>
          <w:szCs w:val="24"/>
        </w:rPr>
      </w:pPr>
      <w:proofErr w:type="spellStart"/>
      <w:r w:rsidRPr="00FF6CA4">
        <w:rPr>
          <w:rFonts w:ascii="Arial" w:hAnsi="Arial" w:cs="Arial"/>
          <w:sz w:val="24"/>
          <w:szCs w:val="24"/>
        </w:rPr>
        <w:t>Oranga</w:t>
      </w:r>
      <w:proofErr w:type="spellEnd"/>
      <w:r w:rsidRPr="00FF6CA4">
        <w:rPr>
          <w:rFonts w:ascii="Arial" w:hAnsi="Arial" w:cs="Arial"/>
          <w:sz w:val="24"/>
          <w:szCs w:val="24"/>
        </w:rPr>
        <w:t xml:space="preserve"> Tamariki research into victims' experiences of youth justice FGCs found that victim participation was limited in many cases (</w:t>
      </w:r>
      <w:proofErr w:type="spellStart"/>
      <w:r w:rsidRPr="00FF6CA4">
        <w:rPr>
          <w:rFonts w:ascii="Arial" w:hAnsi="Arial" w:cs="Arial"/>
          <w:sz w:val="24"/>
          <w:szCs w:val="24"/>
        </w:rPr>
        <w:t>Oranga</w:t>
      </w:r>
      <w:proofErr w:type="spellEnd"/>
      <w:r w:rsidRPr="00FF6CA4">
        <w:rPr>
          <w:rFonts w:ascii="Arial" w:hAnsi="Arial" w:cs="Arial"/>
          <w:sz w:val="24"/>
          <w:szCs w:val="24"/>
        </w:rPr>
        <w:t xml:space="preserve"> Tamariki, 2023). This demonstrates that the existence of a restorative mechanism does not guarantee meaningful participation.</w:t>
      </w:r>
    </w:p>
    <w:p w:rsidRPr="00FF6CA4" w:rsidR="00FF6CA4" w:rsidP="00FF6CA4" w:rsidRDefault="00FF6CA4" w14:paraId="35674524" w14:textId="77777777">
      <w:pPr>
        <w:spacing w:line="360" w:lineRule="auto"/>
        <w:jc w:val="both"/>
        <w:rPr>
          <w:rFonts w:ascii="Arial" w:hAnsi="Arial" w:cs="Arial"/>
          <w:sz w:val="24"/>
          <w:szCs w:val="24"/>
        </w:rPr>
      </w:pPr>
      <w:r w:rsidRPr="00FF6CA4">
        <w:rPr>
          <w:rFonts w:ascii="Arial" w:hAnsi="Arial" w:cs="Arial"/>
          <w:sz w:val="24"/>
          <w:szCs w:val="24"/>
        </w:rPr>
        <w:t>The Independent Children's Monitor has also identified mixed outcomes among children who have experienced FGCs, demonstrating that repeated involvement in restorative processes does not necessarily translate into consistent desistance.</w:t>
      </w:r>
    </w:p>
    <w:p w:rsidRPr="00FF6CA4" w:rsidR="00FF6CA4" w:rsidP="00FF6CA4" w:rsidRDefault="00FF6CA4" w14:paraId="55D434CB" w14:textId="77777777">
      <w:pPr>
        <w:spacing w:line="360" w:lineRule="auto"/>
        <w:jc w:val="both"/>
        <w:rPr>
          <w:rFonts w:ascii="Arial" w:hAnsi="Arial" w:cs="Arial"/>
          <w:sz w:val="24"/>
          <w:szCs w:val="24"/>
        </w:rPr>
      </w:pPr>
      <w:r w:rsidRPr="00FF6CA4">
        <w:rPr>
          <w:rFonts w:ascii="Arial" w:hAnsi="Arial" w:cs="Arial"/>
          <w:sz w:val="24"/>
          <w:szCs w:val="24"/>
        </w:rPr>
        <w:t xml:space="preserve">This is particularly valuable for the present dissertation because it provides a counterbalance to overly positive interpretations of international models. England and Wales can learn from the principle of family participation without </w:t>
      </w:r>
      <w:proofErr w:type="gramStart"/>
      <w:r w:rsidRPr="00FF6CA4">
        <w:rPr>
          <w:rFonts w:ascii="Arial" w:hAnsi="Arial" w:cs="Arial"/>
          <w:sz w:val="24"/>
          <w:szCs w:val="24"/>
        </w:rPr>
        <w:t>assuming that</w:t>
      </w:r>
      <w:proofErr w:type="gramEnd"/>
      <w:r w:rsidRPr="00FF6CA4">
        <w:rPr>
          <w:rFonts w:ascii="Arial" w:hAnsi="Arial" w:cs="Arial"/>
          <w:sz w:val="24"/>
          <w:szCs w:val="24"/>
        </w:rPr>
        <w:t xml:space="preserve"> FGCs automatically reduce offending.</w:t>
      </w:r>
    </w:p>
    <w:p w:rsidRPr="00FF6CA4" w:rsidR="00FF6CA4" w:rsidP="00FF6CA4" w:rsidRDefault="00FF6CA4" w14:paraId="48FA2ADC" w14:textId="77777777">
      <w:pPr>
        <w:spacing w:line="360" w:lineRule="auto"/>
        <w:jc w:val="both"/>
        <w:rPr>
          <w:rFonts w:ascii="Arial" w:hAnsi="Arial" w:cs="Arial"/>
          <w:sz w:val="24"/>
          <w:szCs w:val="24"/>
        </w:rPr>
      </w:pPr>
      <w:r w:rsidRPr="00FF6CA4">
        <w:rPr>
          <w:rFonts w:ascii="Arial" w:hAnsi="Arial" w:cs="Arial"/>
          <w:sz w:val="24"/>
          <w:szCs w:val="24"/>
        </w:rPr>
        <w:t>The most transferable lesson is therefore the involvement of children, families and communities in decision-making. This is compatible with Child First principles and could strengthen prevention where participation is meaningful rather than procedural.</w:t>
      </w:r>
    </w:p>
    <w:p w:rsidRPr="00FF6CA4" w:rsidR="00FF6CA4" w:rsidP="00FF6CA4" w:rsidRDefault="00FF6CA4" w14:paraId="404B0EF7" w14:textId="77777777">
      <w:pPr>
        <w:spacing w:line="360" w:lineRule="auto"/>
        <w:jc w:val="both"/>
        <w:rPr>
          <w:rFonts w:ascii="Arial" w:hAnsi="Arial" w:cs="Arial"/>
          <w:sz w:val="24"/>
          <w:szCs w:val="24"/>
        </w:rPr>
      </w:pPr>
      <w:r w:rsidRPr="00FF6CA4">
        <w:rPr>
          <w:rFonts w:ascii="Arial" w:hAnsi="Arial" w:cs="Arial"/>
          <w:sz w:val="24"/>
          <w:szCs w:val="24"/>
        </w:rPr>
        <w:t>2.16 Restorative justice and victim participation</w:t>
      </w:r>
    </w:p>
    <w:p w:rsidRPr="00FF6CA4" w:rsidR="00FF6CA4" w:rsidP="00FF6CA4" w:rsidRDefault="00FF6CA4" w14:paraId="1A89F9CB" w14:textId="77777777">
      <w:pPr>
        <w:spacing w:line="360" w:lineRule="auto"/>
        <w:jc w:val="both"/>
        <w:rPr>
          <w:rFonts w:ascii="Arial" w:hAnsi="Arial" w:cs="Arial"/>
          <w:sz w:val="24"/>
          <w:szCs w:val="24"/>
        </w:rPr>
      </w:pPr>
      <w:r w:rsidRPr="00FF6CA4">
        <w:rPr>
          <w:rFonts w:ascii="Arial" w:hAnsi="Arial" w:cs="Arial"/>
          <w:sz w:val="24"/>
          <w:szCs w:val="24"/>
        </w:rPr>
        <w:lastRenderedPageBreak/>
        <w:t>Restorative justice is relevant to both domestic and international prevention because it seeks to address harm rather than relying exclusively upon punishment. Banwell-Moore (2022) found significant variation in restorative justice delivery across Youth Offending Teams in England and Wales, including differences in victim involvement.</w:t>
      </w:r>
    </w:p>
    <w:p w:rsidRPr="00FF6CA4" w:rsidR="00FF6CA4" w:rsidP="00FF6CA4" w:rsidRDefault="00FF6CA4" w14:paraId="3A408EFA" w14:textId="77777777">
      <w:pPr>
        <w:spacing w:line="360" w:lineRule="auto"/>
        <w:jc w:val="both"/>
        <w:rPr>
          <w:rFonts w:ascii="Arial" w:hAnsi="Arial" w:cs="Arial"/>
          <w:sz w:val="24"/>
          <w:szCs w:val="24"/>
        </w:rPr>
      </w:pPr>
      <w:r w:rsidRPr="00FF6CA4">
        <w:rPr>
          <w:rFonts w:ascii="Arial" w:hAnsi="Arial" w:cs="Arial"/>
          <w:sz w:val="24"/>
          <w:szCs w:val="24"/>
        </w:rPr>
        <w:t>This is important because it demonstrates another policy-practice gap. Restorative justice may be embedded within policy while remaining inconsistent in local implementation.</w:t>
      </w:r>
    </w:p>
    <w:p w:rsidRPr="00FF6CA4" w:rsidR="00FF6CA4" w:rsidP="00FF6CA4" w:rsidRDefault="00FF6CA4" w14:paraId="59B9E96E" w14:textId="77777777">
      <w:pPr>
        <w:spacing w:line="360" w:lineRule="auto"/>
        <w:jc w:val="both"/>
        <w:rPr>
          <w:rFonts w:ascii="Arial" w:hAnsi="Arial" w:cs="Arial"/>
          <w:sz w:val="24"/>
          <w:szCs w:val="24"/>
        </w:rPr>
      </w:pPr>
      <w:r w:rsidRPr="00FF6CA4">
        <w:rPr>
          <w:rFonts w:ascii="Arial" w:hAnsi="Arial" w:cs="Arial"/>
          <w:sz w:val="24"/>
          <w:szCs w:val="24"/>
        </w:rPr>
        <w:t>Zaman (2024), an academic at the University of Greenwich researching restorative justice in education and criminology, argues that restorative justice has developed across multiple sectors but that a gap remains between theory and practice. This supports the wider argument that policy concepts cannot be judged by their stated principles alone.</w:t>
      </w:r>
    </w:p>
    <w:p w:rsidRPr="00FF6CA4" w:rsidR="00FF6CA4" w:rsidP="00FF6CA4" w:rsidRDefault="00FF6CA4" w14:paraId="4C3D0E48" w14:textId="77777777">
      <w:pPr>
        <w:spacing w:line="360" w:lineRule="auto"/>
        <w:jc w:val="both"/>
        <w:rPr>
          <w:rFonts w:ascii="Arial" w:hAnsi="Arial" w:cs="Arial"/>
          <w:sz w:val="24"/>
          <w:szCs w:val="24"/>
        </w:rPr>
      </w:pPr>
      <w:r w:rsidRPr="00FF6CA4">
        <w:rPr>
          <w:rFonts w:ascii="Arial" w:hAnsi="Arial" w:cs="Arial"/>
          <w:sz w:val="24"/>
          <w:szCs w:val="24"/>
        </w:rPr>
        <w:t>The evidence therefore supports restorative approaches as potentially valuable but not universally effective. Their success depends upon quality, consistency, victim participation and the suitability of the intervention for the child and offence.</w:t>
      </w:r>
    </w:p>
    <w:p w:rsidRPr="00FF6CA4" w:rsidR="00FF6CA4" w:rsidP="00FF6CA4" w:rsidRDefault="00FF6CA4" w14:paraId="5D59BA85" w14:textId="77777777">
      <w:pPr>
        <w:spacing w:line="360" w:lineRule="auto"/>
        <w:jc w:val="both"/>
        <w:rPr>
          <w:rFonts w:ascii="Arial" w:hAnsi="Arial" w:cs="Arial"/>
          <w:sz w:val="24"/>
          <w:szCs w:val="24"/>
        </w:rPr>
      </w:pPr>
      <w:r w:rsidRPr="00FF6CA4">
        <w:rPr>
          <w:rFonts w:ascii="Arial" w:hAnsi="Arial" w:cs="Arial"/>
          <w:sz w:val="24"/>
          <w:szCs w:val="24"/>
        </w:rPr>
        <w:t>2.17 Disproportionality and the limits of diversion</w:t>
      </w:r>
    </w:p>
    <w:p w:rsidRPr="00FF6CA4" w:rsidR="00FF6CA4" w:rsidP="00FF6CA4" w:rsidRDefault="00FF6CA4" w14:paraId="56555C67" w14:textId="77777777">
      <w:pPr>
        <w:spacing w:line="360" w:lineRule="auto"/>
        <w:jc w:val="both"/>
        <w:rPr>
          <w:rFonts w:ascii="Arial" w:hAnsi="Arial" w:cs="Arial"/>
          <w:sz w:val="24"/>
          <w:szCs w:val="24"/>
        </w:rPr>
      </w:pPr>
      <w:r w:rsidRPr="00FF6CA4">
        <w:rPr>
          <w:rFonts w:ascii="Arial" w:hAnsi="Arial" w:cs="Arial"/>
          <w:sz w:val="24"/>
          <w:szCs w:val="24"/>
        </w:rPr>
        <w:t>Another issue that must be considered when evaluating prevention is whether its benefits are equally available to all children. The reduction in overall youth justice contact has not eliminated disproportionality.</w:t>
      </w:r>
    </w:p>
    <w:p w:rsidRPr="00FF6CA4" w:rsidR="00FF6CA4" w:rsidP="00FF6CA4" w:rsidRDefault="00FF6CA4" w14:paraId="23C6BE53" w14:textId="77777777">
      <w:pPr>
        <w:spacing w:line="360" w:lineRule="auto"/>
        <w:jc w:val="both"/>
        <w:rPr>
          <w:rFonts w:ascii="Arial" w:hAnsi="Arial" w:cs="Arial"/>
          <w:sz w:val="24"/>
          <w:szCs w:val="24"/>
        </w:rPr>
      </w:pPr>
      <w:r w:rsidRPr="00FF6CA4">
        <w:rPr>
          <w:rFonts w:ascii="Arial" w:hAnsi="Arial" w:cs="Arial"/>
          <w:sz w:val="24"/>
          <w:szCs w:val="24"/>
        </w:rPr>
        <w:t>The latest youth justice statistics show that although the number of children entering the system has fallen substantially, ethnic disproportionality remains. In 2024, the number of first-time entrants among Black children increased by eight per cent while the number among White children decreased by eight per cent (Youth Justice Board, 2026).</w:t>
      </w:r>
    </w:p>
    <w:p w:rsidRPr="00FF6CA4" w:rsidR="00FF6CA4" w:rsidP="00FF6CA4" w:rsidRDefault="00FF6CA4" w14:paraId="1A804701" w14:textId="77777777">
      <w:pPr>
        <w:spacing w:line="360" w:lineRule="auto"/>
        <w:jc w:val="both"/>
        <w:rPr>
          <w:rFonts w:ascii="Arial" w:hAnsi="Arial" w:cs="Arial"/>
          <w:sz w:val="24"/>
          <w:szCs w:val="24"/>
        </w:rPr>
      </w:pPr>
      <w:r w:rsidRPr="00FF6CA4">
        <w:rPr>
          <w:rFonts w:ascii="Arial" w:hAnsi="Arial" w:cs="Arial"/>
          <w:sz w:val="24"/>
          <w:szCs w:val="24"/>
        </w:rPr>
        <w:t>The Criminal Justice Joint Inspectorates similarly identified continuing racial disproportionality within youth justice diversion. This demonstrates that diversion does not necessarily operate equally for all children (Criminal Justice Joint Inspectorates, 2026).</w:t>
      </w:r>
    </w:p>
    <w:p w:rsidRPr="00FF6CA4" w:rsidR="00FF6CA4" w:rsidP="00FF6CA4" w:rsidRDefault="00FF6CA4" w14:paraId="4630A477" w14:textId="77777777">
      <w:pPr>
        <w:spacing w:line="360" w:lineRule="auto"/>
        <w:jc w:val="both"/>
        <w:rPr>
          <w:rFonts w:ascii="Arial" w:hAnsi="Arial" w:cs="Arial"/>
          <w:sz w:val="24"/>
          <w:szCs w:val="24"/>
        </w:rPr>
      </w:pPr>
      <w:r w:rsidRPr="00FF6CA4">
        <w:rPr>
          <w:rFonts w:ascii="Arial" w:hAnsi="Arial" w:cs="Arial"/>
          <w:sz w:val="24"/>
          <w:szCs w:val="24"/>
        </w:rPr>
        <w:t>This is important because a policy cannot be considered fully effective if it reduces overall system contact while inequalities in access to diversion remain.</w:t>
      </w:r>
    </w:p>
    <w:p w:rsidRPr="00FF6CA4" w:rsidR="00FF6CA4" w:rsidP="00FF6CA4" w:rsidRDefault="00FF6CA4" w14:paraId="53223E6C" w14:textId="77777777">
      <w:pPr>
        <w:spacing w:line="360" w:lineRule="auto"/>
        <w:jc w:val="both"/>
        <w:rPr>
          <w:rFonts w:ascii="Arial" w:hAnsi="Arial" w:cs="Arial"/>
          <w:sz w:val="24"/>
          <w:szCs w:val="24"/>
        </w:rPr>
      </w:pPr>
      <w:r w:rsidRPr="00FF6CA4">
        <w:rPr>
          <w:rFonts w:ascii="Arial" w:hAnsi="Arial" w:cs="Arial"/>
          <w:sz w:val="24"/>
          <w:szCs w:val="24"/>
        </w:rPr>
        <w:lastRenderedPageBreak/>
        <w:t xml:space="preserve">The Nuffield-funded research by Pitts, Bateman, Brodie, Day and </w:t>
      </w:r>
      <w:proofErr w:type="spellStart"/>
      <w:r w:rsidRPr="00FF6CA4">
        <w:rPr>
          <w:rFonts w:ascii="Arial" w:hAnsi="Arial" w:cs="Arial"/>
          <w:sz w:val="24"/>
          <w:szCs w:val="24"/>
        </w:rPr>
        <w:t>Osidipe</w:t>
      </w:r>
      <w:proofErr w:type="spellEnd"/>
      <w:r w:rsidRPr="00FF6CA4">
        <w:rPr>
          <w:rFonts w:ascii="Arial" w:hAnsi="Arial" w:cs="Arial"/>
          <w:sz w:val="24"/>
          <w:szCs w:val="24"/>
        </w:rPr>
        <w:t xml:space="preserve"> provides further evidence that racial disparity in diversion requires continued investigation. Their work is particularly valuable because it brings together academic researchers and policy engagement with organisations including the YJB, National Police Chiefs' Council, College of Policing and HM Inspectorate of Probation (Nuffield Foundation, 2025).</w:t>
      </w:r>
    </w:p>
    <w:p w:rsidRPr="00FF6CA4" w:rsidR="00FF6CA4" w:rsidP="00FF6CA4" w:rsidRDefault="00FF6CA4" w14:paraId="63C1A33A" w14:textId="77777777">
      <w:pPr>
        <w:spacing w:line="360" w:lineRule="auto"/>
        <w:jc w:val="both"/>
        <w:rPr>
          <w:rFonts w:ascii="Arial" w:hAnsi="Arial" w:cs="Arial"/>
          <w:sz w:val="24"/>
          <w:szCs w:val="24"/>
        </w:rPr>
      </w:pPr>
      <w:r w:rsidRPr="00FF6CA4">
        <w:rPr>
          <w:rFonts w:ascii="Arial" w:hAnsi="Arial" w:cs="Arial"/>
          <w:sz w:val="24"/>
          <w:szCs w:val="24"/>
        </w:rPr>
        <w:t>The relevance to this dissertation is that educational and economic disadvantage do not operate independently of ethnicity, care experience, disability or other forms of inequality. Prevention must therefore be evaluated according to both overall outcomes and distributional outcomes.</w:t>
      </w:r>
    </w:p>
    <w:p w:rsidRPr="00FF6CA4" w:rsidR="00FF6CA4" w:rsidP="00FF6CA4" w:rsidRDefault="00FF6CA4" w14:paraId="169FDACA" w14:textId="77777777">
      <w:pPr>
        <w:spacing w:line="360" w:lineRule="auto"/>
        <w:jc w:val="both"/>
        <w:rPr>
          <w:rFonts w:ascii="Arial" w:hAnsi="Arial" w:cs="Arial"/>
          <w:sz w:val="24"/>
          <w:szCs w:val="24"/>
        </w:rPr>
      </w:pPr>
      <w:r w:rsidRPr="00FF6CA4">
        <w:rPr>
          <w:rFonts w:ascii="Arial" w:hAnsi="Arial" w:cs="Arial"/>
          <w:sz w:val="24"/>
          <w:szCs w:val="24"/>
        </w:rPr>
        <w:t>2.18 Neurodivergence, vulnerability and educational disengagement</w:t>
      </w:r>
    </w:p>
    <w:p w:rsidRPr="00FF6CA4" w:rsidR="00FF6CA4" w:rsidP="00FF6CA4" w:rsidRDefault="00FF6CA4" w14:paraId="0D992E62" w14:textId="77777777">
      <w:pPr>
        <w:spacing w:line="360" w:lineRule="auto"/>
        <w:jc w:val="both"/>
        <w:rPr>
          <w:rFonts w:ascii="Arial" w:hAnsi="Arial" w:cs="Arial"/>
          <w:sz w:val="24"/>
          <w:szCs w:val="24"/>
        </w:rPr>
      </w:pPr>
      <w:r w:rsidRPr="00FF6CA4">
        <w:rPr>
          <w:rFonts w:ascii="Arial" w:hAnsi="Arial" w:cs="Arial"/>
          <w:sz w:val="24"/>
          <w:szCs w:val="24"/>
        </w:rPr>
        <w:t>The relationship between education and youth justice is also affected by additional learning needs (ALN) in Wales, special educational needs and disabilities (SEND) in England, and neurodivergence more broadly. Research by Hughes and colleagues (2022) examined the experiences of neurodivergent children within education and youth justice in England. Through interviews with 19 children, the study found experiences of labelling, isolation and institutional failure across education and youth justice systems.</w:t>
      </w:r>
    </w:p>
    <w:p w:rsidRPr="00FF6CA4" w:rsidR="00FF6CA4" w:rsidP="00FF6CA4" w:rsidRDefault="00FF6CA4" w14:paraId="48952584" w14:textId="77777777">
      <w:pPr>
        <w:spacing w:line="360" w:lineRule="auto"/>
        <w:jc w:val="both"/>
        <w:rPr>
          <w:rFonts w:ascii="Arial" w:hAnsi="Arial" w:cs="Arial"/>
          <w:sz w:val="24"/>
          <w:szCs w:val="24"/>
        </w:rPr>
      </w:pPr>
      <w:r w:rsidRPr="00FF6CA4">
        <w:rPr>
          <w:rFonts w:ascii="Arial" w:hAnsi="Arial" w:cs="Arial"/>
          <w:sz w:val="24"/>
          <w:szCs w:val="24"/>
        </w:rPr>
        <w:t>The value of this study lies in its use of children's own experiences. Unlike administrative statistics, qualitative interviews can demonstrate how children experience institutional processes. However, the sample is small and cannot establish population-level prevalence.</w:t>
      </w:r>
    </w:p>
    <w:p w:rsidRPr="00FF6CA4" w:rsidR="00FF6CA4" w:rsidP="00FF6CA4" w:rsidRDefault="00FF6CA4" w14:paraId="1CCD1079" w14:textId="77777777">
      <w:pPr>
        <w:spacing w:line="360" w:lineRule="auto"/>
        <w:jc w:val="both"/>
        <w:rPr>
          <w:rFonts w:ascii="Arial" w:hAnsi="Arial" w:cs="Arial"/>
          <w:sz w:val="24"/>
          <w:szCs w:val="24"/>
        </w:rPr>
      </w:pPr>
      <w:r w:rsidRPr="00FF6CA4">
        <w:rPr>
          <w:rFonts w:ascii="Arial" w:hAnsi="Arial" w:cs="Arial"/>
          <w:sz w:val="24"/>
          <w:szCs w:val="24"/>
        </w:rPr>
        <w:t>This illustrates why triangulation is important. Official statistics demonstrate scale; academic quantitative studies can identify relationships; qualitative research can explain lived experiences.</w:t>
      </w:r>
    </w:p>
    <w:p w:rsidRPr="00FF6CA4" w:rsidR="00FF6CA4" w:rsidP="00FF6CA4" w:rsidRDefault="00FF6CA4" w14:paraId="01FDAB6E" w14:textId="77777777">
      <w:pPr>
        <w:spacing w:line="360" w:lineRule="auto"/>
        <w:jc w:val="both"/>
        <w:rPr>
          <w:rFonts w:ascii="Arial" w:hAnsi="Arial" w:cs="Arial"/>
          <w:sz w:val="24"/>
          <w:szCs w:val="24"/>
        </w:rPr>
      </w:pPr>
      <w:r w:rsidRPr="00FF6CA4">
        <w:rPr>
          <w:rFonts w:ascii="Arial" w:hAnsi="Arial" w:cs="Arial"/>
          <w:sz w:val="24"/>
          <w:szCs w:val="24"/>
        </w:rPr>
        <w:t>The evidence also strengthens the argument that educational disengagement cannot be reduced to attendance. A child may physically attend school but still be disengaged because of unmet ALN or SEND needs, depending on the education system in which they are receiving support, alongside bullying, exclusionary practices or weak relationships with staff.</w:t>
      </w:r>
    </w:p>
    <w:p w:rsidRPr="00FF6CA4" w:rsidR="00FF6CA4" w:rsidP="00FF6CA4" w:rsidRDefault="00FF6CA4" w14:paraId="7BA65AA6" w14:textId="77777777">
      <w:pPr>
        <w:spacing w:line="360" w:lineRule="auto"/>
        <w:jc w:val="both"/>
        <w:rPr>
          <w:rFonts w:ascii="Arial" w:hAnsi="Arial" w:cs="Arial"/>
          <w:sz w:val="24"/>
          <w:szCs w:val="24"/>
        </w:rPr>
      </w:pPr>
      <w:r w:rsidRPr="00FF6CA4">
        <w:rPr>
          <w:rFonts w:ascii="Arial" w:hAnsi="Arial" w:cs="Arial"/>
          <w:sz w:val="24"/>
          <w:szCs w:val="24"/>
        </w:rPr>
        <w:lastRenderedPageBreak/>
        <w:t>Therefore, effective prevention should consider the quality of educational engagement rather than simply attendance figures.</w:t>
      </w:r>
    </w:p>
    <w:p w:rsidRPr="00FF6CA4" w:rsidR="00FF6CA4" w:rsidP="00FF6CA4" w:rsidRDefault="00FF6CA4" w14:paraId="37F07B48" w14:textId="77777777">
      <w:pPr>
        <w:spacing w:line="360" w:lineRule="auto"/>
        <w:jc w:val="both"/>
        <w:rPr>
          <w:rFonts w:ascii="Arial" w:hAnsi="Arial" w:cs="Arial"/>
          <w:sz w:val="24"/>
          <w:szCs w:val="24"/>
        </w:rPr>
      </w:pPr>
      <w:r w:rsidRPr="00FF6CA4">
        <w:rPr>
          <w:rFonts w:ascii="Arial" w:hAnsi="Arial" w:cs="Arial"/>
          <w:sz w:val="24"/>
          <w:szCs w:val="24"/>
        </w:rPr>
        <w:t xml:space="preserve">2.19 Critical evaluation: what does the literature </w:t>
      </w:r>
      <w:proofErr w:type="gramStart"/>
      <w:r w:rsidRPr="00FF6CA4">
        <w:rPr>
          <w:rFonts w:ascii="Arial" w:hAnsi="Arial" w:cs="Arial"/>
          <w:sz w:val="24"/>
          <w:szCs w:val="24"/>
        </w:rPr>
        <w:t>actually demonstrate</w:t>
      </w:r>
      <w:proofErr w:type="gramEnd"/>
      <w:r w:rsidRPr="00FF6CA4">
        <w:rPr>
          <w:rFonts w:ascii="Arial" w:hAnsi="Arial" w:cs="Arial"/>
          <w:sz w:val="24"/>
          <w:szCs w:val="24"/>
        </w:rPr>
        <w:t>?</w:t>
      </w:r>
    </w:p>
    <w:p w:rsidRPr="00FF6CA4" w:rsidR="00FF6CA4" w:rsidP="00FF6CA4" w:rsidRDefault="00FF6CA4" w14:paraId="1FB655FF" w14:textId="77777777">
      <w:pPr>
        <w:spacing w:line="360" w:lineRule="auto"/>
        <w:jc w:val="both"/>
        <w:rPr>
          <w:rFonts w:ascii="Arial" w:hAnsi="Arial" w:cs="Arial"/>
          <w:sz w:val="24"/>
          <w:szCs w:val="24"/>
        </w:rPr>
      </w:pPr>
      <w:r w:rsidRPr="00FF6CA4">
        <w:rPr>
          <w:rFonts w:ascii="Arial" w:hAnsi="Arial" w:cs="Arial"/>
          <w:sz w:val="24"/>
          <w:szCs w:val="24"/>
        </w:rPr>
        <w:t>The literature demonstrates considerable agreement that youth offending is influenced by multiple interacting factors. Academic research, government policy, policing evidence and international models increasingly recognise education, family circumstances, poverty, vulnerability and social relationships as relevant.</w:t>
      </w:r>
    </w:p>
    <w:p w:rsidRPr="00FF6CA4" w:rsidR="00FF6CA4" w:rsidP="00FF6CA4" w:rsidRDefault="00FF6CA4" w14:paraId="310DCD23" w14:textId="77777777">
      <w:pPr>
        <w:spacing w:line="360" w:lineRule="auto"/>
        <w:jc w:val="both"/>
        <w:rPr>
          <w:rFonts w:ascii="Arial" w:hAnsi="Arial" w:cs="Arial"/>
          <w:sz w:val="24"/>
          <w:szCs w:val="24"/>
        </w:rPr>
      </w:pPr>
      <w:r w:rsidRPr="00FF6CA4">
        <w:rPr>
          <w:rFonts w:ascii="Arial" w:hAnsi="Arial" w:cs="Arial"/>
          <w:sz w:val="24"/>
          <w:szCs w:val="24"/>
        </w:rPr>
        <w:t xml:space="preserve">However, the evidence is considerably less conclusive regarding what </w:t>
      </w:r>
      <w:proofErr w:type="gramStart"/>
      <w:r w:rsidRPr="00FF6CA4">
        <w:rPr>
          <w:rFonts w:ascii="Arial" w:hAnsi="Arial" w:cs="Arial"/>
          <w:sz w:val="24"/>
          <w:szCs w:val="24"/>
        </w:rPr>
        <w:t>actually works</w:t>
      </w:r>
      <w:proofErr w:type="gramEnd"/>
      <w:r w:rsidRPr="00FF6CA4">
        <w:rPr>
          <w:rFonts w:ascii="Arial" w:hAnsi="Arial" w:cs="Arial"/>
          <w:sz w:val="24"/>
          <w:szCs w:val="24"/>
        </w:rPr>
        <w:t>.</w:t>
      </w:r>
    </w:p>
    <w:p w:rsidRPr="00FF6CA4" w:rsidR="00FF6CA4" w:rsidP="00FF6CA4" w:rsidRDefault="00FF6CA4" w14:paraId="798385B6" w14:textId="77777777">
      <w:pPr>
        <w:spacing w:line="360" w:lineRule="auto"/>
        <w:jc w:val="both"/>
        <w:rPr>
          <w:rFonts w:ascii="Arial" w:hAnsi="Arial" w:cs="Arial"/>
          <w:sz w:val="24"/>
          <w:szCs w:val="24"/>
        </w:rPr>
      </w:pPr>
      <w:r w:rsidRPr="00FF6CA4">
        <w:rPr>
          <w:rFonts w:ascii="Arial" w:hAnsi="Arial" w:cs="Arial"/>
          <w:sz w:val="24"/>
          <w:szCs w:val="24"/>
        </w:rPr>
        <w:t>The first area of agreement concerns diversion. YJB statistics demonstrate declining first-time entrants, and government guidance promotes diversion as a means of reducing stigma and preventing escalation. Academic literature also generally supports proportionate responses. However, concerns remain about net-widening and unequal access to diversion.</w:t>
      </w:r>
    </w:p>
    <w:p w:rsidRPr="00FF6CA4" w:rsidR="00FF6CA4" w:rsidP="00FF6CA4" w:rsidRDefault="00FF6CA4" w14:paraId="45AD9AB1" w14:textId="77777777">
      <w:pPr>
        <w:spacing w:line="360" w:lineRule="auto"/>
        <w:jc w:val="both"/>
        <w:rPr>
          <w:rFonts w:ascii="Arial" w:hAnsi="Arial" w:cs="Arial"/>
          <w:sz w:val="24"/>
          <w:szCs w:val="24"/>
        </w:rPr>
      </w:pPr>
      <w:r w:rsidRPr="00FF6CA4">
        <w:rPr>
          <w:rFonts w:ascii="Arial" w:hAnsi="Arial" w:cs="Arial"/>
          <w:sz w:val="24"/>
          <w:szCs w:val="24"/>
        </w:rPr>
        <w:t>The second area concerns Child First. Academic and policy literature strongly supports the principle of treating children as children. Yet Case, Browning and Hampson (2024) demonstrate that implementation remains inconsistent. Therefore, the evidence supports Child First as a guiding philosophy more strongly than it supports a conclusion that Child First has independently reduced offending.</w:t>
      </w:r>
    </w:p>
    <w:p w:rsidRPr="00FF6CA4" w:rsidR="00FF6CA4" w:rsidP="00FF6CA4" w:rsidRDefault="00FF6CA4" w14:paraId="301450A4" w14:textId="77777777">
      <w:pPr>
        <w:spacing w:line="360" w:lineRule="auto"/>
        <w:jc w:val="both"/>
        <w:rPr>
          <w:rFonts w:ascii="Arial" w:hAnsi="Arial" w:cs="Arial"/>
          <w:sz w:val="24"/>
          <w:szCs w:val="24"/>
        </w:rPr>
      </w:pPr>
      <w:r w:rsidRPr="00FF6CA4">
        <w:rPr>
          <w:rFonts w:ascii="Arial" w:hAnsi="Arial" w:cs="Arial"/>
          <w:sz w:val="24"/>
          <w:szCs w:val="24"/>
        </w:rPr>
        <w:t xml:space="preserve">The third area concerns education. Government and VRU evidence increasingly </w:t>
      </w:r>
      <w:proofErr w:type="gramStart"/>
      <w:r w:rsidRPr="00FF6CA4">
        <w:rPr>
          <w:rFonts w:ascii="Arial" w:hAnsi="Arial" w:cs="Arial"/>
          <w:sz w:val="24"/>
          <w:szCs w:val="24"/>
        </w:rPr>
        <w:t>identifies</w:t>
      </w:r>
      <w:proofErr w:type="gramEnd"/>
      <w:r w:rsidRPr="00FF6CA4">
        <w:rPr>
          <w:rFonts w:ascii="Arial" w:hAnsi="Arial" w:cs="Arial"/>
          <w:sz w:val="24"/>
          <w:szCs w:val="24"/>
        </w:rPr>
        <w:t xml:space="preserve"> attendance and exclusion as important risk or protective factors. The 2025 target-trial study provides particularly strong evidence of an association between permanent exclusion and later serious violence. However, the researchers explicitly avoid claiming causality. This means prevention should target the wider conditions associated with exclusion rather than simply </w:t>
      </w:r>
      <w:proofErr w:type="gramStart"/>
      <w:r w:rsidRPr="00FF6CA4">
        <w:rPr>
          <w:rFonts w:ascii="Arial" w:hAnsi="Arial" w:cs="Arial"/>
          <w:sz w:val="24"/>
          <w:szCs w:val="24"/>
        </w:rPr>
        <w:t>assuming that</w:t>
      </w:r>
      <w:proofErr w:type="gramEnd"/>
      <w:r w:rsidRPr="00FF6CA4">
        <w:rPr>
          <w:rFonts w:ascii="Arial" w:hAnsi="Arial" w:cs="Arial"/>
          <w:sz w:val="24"/>
          <w:szCs w:val="24"/>
        </w:rPr>
        <w:t xml:space="preserve"> removing exclusion will automatically eliminate violence.</w:t>
      </w:r>
    </w:p>
    <w:p w:rsidRPr="00FF6CA4" w:rsidR="00FF6CA4" w:rsidP="00FF6CA4" w:rsidRDefault="00FF6CA4" w14:paraId="16668357" w14:textId="77777777">
      <w:pPr>
        <w:spacing w:line="360" w:lineRule="auto"/>
        <w:jc w:val="both"/>
        <w:rPr>
          <w:rFonts w:ascii="Arial" w:hAnsi="Arial" w:cs="Arial"/>
          <w:sz w:val="24"/>
          <w:szCs w:val="24"/>
        </w:rPr>
      </w:pPr>
      <w:r w:rsidRPr="00FF6CA4">
        <w:rPr>
          <w:rFonts w:ascii="Arial" w:hAnsi="Arial" w:cs="Arial"/>
          <w:sz w:val="24"/>
          <w:szCs w:val="24"/>
        </w:rPr>
        <w:t>The fourth area concerns deprivation. The literature strongly supports an association between disadvantage and poorer developmental and educational outcomes. However, youth justice programmes have limited capacity to alter structural poverty. Therefore, youth justice prevention can address consequences of deprivation more readily than its underlying causes.</w:t>
      </w:r>
    </w:p>
    <w:p w:rsidRPr="00FF6CA4" w:rsidR="00FF6CA4" w:rsidP="00FF6CA4" w:rsidRDefault="00FF6CA4" w14:paraId="75C95953" w14:textId="77777777">
      <w:pPr>
        <w:spacing w:line="360" w:lineRule="auto"/>
        <w:jc w:val="both"/>
        <w:rPr>
          <w:rFonts w:ascii="Arial" w:hAnsi="Arial" w:cs="Arial"/>
          <w:sz w:val="24"/>
          <w:szCs w:val="24"/>
        </w:rPr>
      </w:pPr>
      <w:r w:rsidRPr="00FF6CA4">
        <w:rPr>
          <w:rFonts w:ascii="Arial" w:hAnsi="Arial" w:cs="Arial"/>
          <w:sz w:val="24"/>
          <w:szCs w:val="24"/>
        </w:rPr>
        <w:lastRenderedPageBreak/>
        <w:t>This leads to an important distinction between proximal and structural prevention. Proximal prevention includes diversion, mentoring, family work and behavioural support. Structural prevention includes poverty reduction, housing, educational equality and employment opportunities. Post-pandemic youth justice policy has become stronger in proximal prevention but remains dependent upon wider public policy for structural prevention.</w:t>
      </w:r>
    </w:p>
    <w:p w:rsidRPr="00FF6CA4" w:rsidR="00FF6CA4" w:rsidP="00FF6CA4" w:rsidRDefault="00FF6CA4" w14:paraId="4874B23F" w14:textId="77777777">
      <w:pPr>
        <w:spacing w:line="360" w:lineRule="auto"/>
        <w:jc w:val="both"/>
        <w:rPr>
          <w:rFonts w:ascii="Arial" w:hAnsi="Arial" w:cs="Arial"/>
          <w:sz w:val="24"/>
          <w:szCs w:val="24"/>
        </w:rPr>
      </w:pPr>
      <w:r w:rsidRPr="00FF6CA4">
        <w:rPr>
          <w:rFonts w:ascii="Arial" w:hAnsi="Arial" w:cs="Arial"/>
          <w:sz w:val="24"/>
          <w:szCs w:val="24"/>
        </w:rPr>
        <w:t>2.20 Who is saying what? Critical source analysis</w:t>
      </w:r>
    </w:p>
    <w:p w:rsidRPr="00FF6CA4" w:rsidR="00FF6CA4" w:rsidP="00FF6CA4" w:rsidRDefault="00FF6CA4" w14:paraId="3FE706B5" w14:textId="77777777">
      <w:pPr>
        <w:spacing w:line="360" w:lineRule="auto"/>
        <w:jc w:val="both"/>
        <w:rPr>
          <w:rFonts w:ascii="Arial" w:hAnsi="Arial" w:cs="Arial"/>
          <w:sz w:val="24"/>
          <w:szCs w:val="24"/>
        </w:rPr>
      </w:pPr>
      <w:r w:rsidRPr="00FF6CA4">
        <w:rPr>
          <w:rFonts w:ascii="Arial" w:hAnsi="Arial" w:cs="Arial"/>
          <w:sz w:val="24"/>
          <w:szCs w:val="24"/>
        </w:rPr>
        <w:t>The evidence used in this review comes from different professional and institutional positions, and this affects its value.</w:t>
      </w:r>
    </w:p>
    <w:p w:rsidRPr="00FF6CA4" w:rsidR="00FF6CA4" w:rsidP="00FF6CA4" w:rsidRDefault="00FF6CA4" w14:paraId="1CF93635" w14:textId="77777777">
      <w:pPr>
        <w:spacing w:line="360" w:lineRule="auto"/>
        <w:jc w:val="both"/>
        <w:rPr>
          <w:rFonts w:ascii="Arial" w:hAnsi="Arial" w:cs="Arial"/>
          <w:sz w:val="24"/>
          <w:szCs w:val="24"/>
        </w:rPr>
      </w:pPr>
      <w:r w:rsidRPr="00FF6CA4">
        <w:rPr>
          <w:rFonts w:ascii="Arial" w:hAnsi="Arial" w:cs="Arial"/>
          <w:sz w:val="24"/>
          <w:szCs w:val="24"/>
        </w:rPr>
        <w:t>Academic researchers such as Case, Hampson, Smithson, Marshall and Banwell-Moore generally provide critical distance from government policy and use theoretical or empirical research methods. Their strength lies in critique, methodological transparency and peer review. Their limitations can include small samples, theoretical commitments or difficulty establishing long-term causal effects.</w:t>
      </w:r>
    </w:p>
    <w:p w:rsidRPr="00FF6CA4" w:rsidR="00FF6CA4" w:rsidP="00FF6CA4" w:rsidRDefault="00FF6CA4" w14:paraId="1FA14AAD" w14:textId="77777777">
      <w:pPr>
        <w:spacing w:line="360" w:lineRule="auto"/>
        <w:jc w:val="both"/>
        <w:rPr>
          <w:rFonts w:ascii="Arial" w:hAnsi="Arial" w:cs="Arial"/>
          <w:sz w:val="24"/>
          <w:szCs w:val="24"/>
        </w:rPr>
      </w:pPr>
      <w:r w:rsidRPr="00FF6CA4">
        <w:rPr>
          <w:rFonts w:ascii="Arial" w:hAnsi="Arial" w:cs="Arial"/>
          <w:sz w:val="24"/>
          <w:szCs w:val="24"/>
        </w:rPr>
        <w:t>Government departments such as the Ministry of Justice, Home Office and Department for Education provide authoritative administrative data and policy information. Their strength is access to national datasets and detailed information about programme implementation. Their limitation is that they are also responsible for policy development or delivery, meaning that their reports should be interpreted in their institutional context.</w:t>
      </w:r>
    </w:p>
    <w:p w:rsidRPr="00FF6CA4" w:rsidR="00FF6CA4" w:rsidP="00FF6CA4" w:rsidRDefault="00FF6CA4" w14:paraId="09BA83E7" w14:textId="77777777">
      <w:pPr>
        <w:spacing w:line="360" w:lineRule="auto"/>
        <w:jc w:val="both"/>
        <w:rPr>
          <w:rFonts w:ascii="Arial" w:hAnsi="Arial" w:cs="Arial"/>
          <w:sz w:val="24"/>
          <w:szCs w:val="24"/>
        </w:rPr>
      </w:pPr>
      <w:r w:rsidRPr="00FF6CA4">
        <w:rPr>
          <w:rFonts w:ascii="Arial" w:hAnsi="Arial" w:cs="Arial"/>
          <w:sz w:val="24"/>
          <w:szCs w:val="24"/>
        </w:rPr>
        <w:t>The Youth Justice Board occupies a different position. It is an arm's-length body with statutory responsibilities for youth justice oversight and produces accredited official statistics. Its data are therefore highly authoritative for trends, but its interpretation of improvement should be triangulated with independent academic and inspection evidence.</w:t>
      </w:r>
    </w:p>
    <w:p w:rsidRPr="00FF6CA4" w:rsidR="00FF6CA4" w:rsidP="00FF6CA4" w:rsidRDefault="00FF6CA4" w14:paraId="5362D91C" w14:textId="77777777">
      <w:pPr>
        <w:spacing w:line="360" w:lineRule="auto"/>
        <w:jc w:val="both"/>
        <w:rPr>
          <w:rFonts w:ascii="Arial" w:hAnsi="Arial" w:cs="Arial"/>
          <w:sz w:val="24"/>
          <w:szCs w:val="24"/>
        </w:rPr>
      </w:pPr>
      <w:r w:rsidRPr="00FF6CA4">
        <w:rPr>
          <w:rFonts w:ascii="Arial" w:hAnsi="Arial" w:cs="Arial"/>
          <w:sz w:val="24"/>
          <w:szCs w:val="24"/>
        </w:rPr>
        <w:t>Welsh Government sources are particularly important because they represent the devolved policy context. Their purpose is not simply to describe youth justice but to coordinate Welsh services and support implementation. This makes them valuable for understanding policy intention and the Welsh institutional environment, but they cannot alone establish long-term effectiveness.</w:t>
      </w:r>
    </w:p>
    <w:p w:rsidRPr="00FF6CA4" w:rsidR="00FF6CA4" w:rsidP="00FF6CA4" w:rsidRDefault="00FF6CA4" w14:paraId="122FD6C0" w14:textId="77777777">
      <w:pPr>
        <w:spacing w:line="360" w:lineRule="auto"/>
        <w:jc w:val="both"/>
        <w:rPr>
          <w:rFonts w:ascii="Arial" w:hAnsi="Arial" w:cs="Arial"/>
          <w:sz w:val="24"/>
          <w:szCs w:val="24"/>
        </w:rPr>
      </w:pPr>
      <w:r w:rsidRPr="00FF6CA4">
        <w:rPr>
          <w:rFonts w:ascii="Arial" w:hAnsi="Arial" w:cs="Arial"/>
          <w:sz w:val="24"/>
          <w:szCs w:val="24"/>
        </w:rPr>
        <w:lastRenderedPageBreak/>
        <w:t>Policing evidence provides operational knowledge about serious violence, diversion and partnership working. However, policing organisations necessarily focus upon public safety, recorded incidents and operational outcomes. Their evidence therefore needs to be considered alongside education, health, social care and children's perspectives.</w:t>
      </w:r>
    </w:p>
    <w:p w:rsidRPr="00FF6CA4" w:rsidR="00FF6CA4" w:rsidP="00FF6CA4" w:rsidRDefault="00FF6CA4" w14:paraId="504E337B" w14:textId="77777777">
      <w:pPr>
        <w:spacing w:line="360" w:lineRule="auto"/>
        <w:jc w:val="both"/>
        <w:rPr>
          <w:rFonts w:ascii="Arial" w:hAnsi="Arial" w:cs="Arial"/>
          <w:sz w:val="24"/>
          <w:szCs w:val="24"/>
        </w:rPr>
      </w:pPr>
      <w:r w:rsidRPr="00FF6CA4">
        <w:rPr>
          <w:rFonts w:ascii="Arial" w:hAnsi="Arial" w:cs="Arial"/>
          <w:sz w:val="24"/>
          <w:szCs w:val="24"/>
        </w:rPr>
        <w:t>International government sources provide evidence of alternative policy models but are subject to similar institutional limitations. Scotland's government, for example, has an interest in demonstrating progress within the Whole System Approach. New Zealand's children's services organisations similarly have institutional responsibilities for the operation of Family Group Conferences.</w:t>
      </w:r>
    </w:p>
    <w:p w:rsidRPr="00FF6CA4" w:rsidR="00FF6CA4" w:rsidP="00FF6CA4" w:rsidRDefault="00FF6CA4" w14:paraId="6319C435" w14:textId="77777777">
      <w:pPr>
        <w:spacing w:line="360" w:lineRule="auto"/>
        <w:jc w:val="both"/>
        <w:rPr>
          <w:rFonts w:ascii="Arial" w:hAnsi="Arial" w:cs="Arial"/>
          <w:sz w:val="24"/>
          <w:szCs w:val="24"/>
        </w:rPr>
      </w:pPr>
      <w:r w:rsidRPr="00FF6CA4">
        <w:rPr>
          <w:rFonts w:ascii="Arial" w:hAnsi="Arial" w:cs="Arial"/>
          <w:sz w:val="24"/>
          <w:szCs w:val="24"/>
        </w:rPr>
        <w:t>Consequently, the review does not treat all references as equivalent. A government policy document demonstrates what policymakers intend; an official statistic demonstrates a trend; an academic article provides research-based interpretation; an independent evaluation assesses implementation or outcomes; and children's qualitative accounts provide lived experience. The strength of the review lies in comparing these forms of evidence.</w:t>
      </w:r>
    </w:p>
    <w:p w:rsidRPr="00FF6CA4" w:rsidR="00FF6CA4" w:rsidP="00FF6CA4" w:rsidRDefault="00FF6CA4" w14:paraId="6E890CE1" w14:textId="77777777">
      <w:pPr>
        <w:spacing w:line="360" w:lineRule="auto"/>
        <w:jc w:val="both"/>
        <w:rPr>
          <w:rFonts w:ascii="Arial" w:hAnsi="Arial" w:cs="Arial"/>
          <w:sz w:val="24"/>
          <w:szCs w:val="24"/>
        </w:rPr>
      </w:pPr>
      <w:r w:rsidRPr="00FF6CA4">
        <w:rPr>
          <w:rFonts w:ascii="Arial" w:hAnsi="Arial" w:cs="Arial"/>
          <w:sz w:val="24"/>
          <w:szCs w:val="24"/>
        </w:rPr>
        <w:t>2.21 Gaps in the literature</w:t>
      </w:r>
    </w:p>
    <w:p w:rsidRPr="00FF6CA4" w:rsidR="00FF6CA4" w:rsidP="00FF6CA4" w:rsidRDefault="00FF6CA4" w14:paraId="1ABFF599" w14:textId="77777777">
      <w:pPr>
        <w:spacing w:line="360" w:lineRule="auto"/>
        <w:jc w:val="both"/>
        <w:rPr>
          <w:rFonts w:ascii="Arial" w:hAnsi="Arial" w:cs="Arial"/>
          <w:sz w:val="24"/>
          <w:szCs w:val="24"/>
        </w:rPr>
      </w:pPr>
      <w:r w:rsidRPr="00FF6CA4">
        <w:rPr>
          <w:rFonts w:ascii="Arial" w:hAnsi="Arial" w:cs="Arial"/>
          <w:sz w:val="24"/>
          <w:szCs w:val="24"/>
        </w:rPr>
        <w:t>Several important gaps emerge.</w:t>
      </w:r>
    </w:p>
    <w:p w:rsidRPr="00FF6CA4" w:rsidR="00FF6CA4" w:rsidP="00FF6CA4" w:rsidRDefault="00FF6CA4" w14:paraId="513DAAC0" w14:textId="77777777">
      <w:pPr>
        <w:spacing w:line="360" w:lineRule="auto"/>
        <w:jc w:val="both"/>
        <w:rPr>
          <w:rFonts w:ascii="Arial" w:hAnsi="Arial" w:cs="Arial"/>
          <w:sz w:val="24"/>
          <w:szCs w:val="24"/>
        </w:rPr>
      </w:pPr>
      <w:r w:rsidRPr="00FF6CA4">
        <w:rPr>
          <w:rFonts w:ascii="Arial" w:hAnsi="Arial" w:cs="Arial"/>
          <w:sz w:val="24"/>
          <w:szCs w:val="24"/>
        </w:rPr>
        <w:t>First, there is insufficient longitudinal evidence demonstrating whether post-pandemic prevention interventions produce sustained reductions in offending. Many evaluations measure implementation or short-term outcomes rather than long-term desistance.</w:t>
      </w:r>
    </w:p>
    <w:p w:rsidRPr="00FF6CA4" w:rsidR="00FF6CA4" w:rsidP="00FF6CA4" w:rsidRDefault="00FF6CA4" w14:paraId="45CC5C1F" w14:textId="77777777">
      <w:pPr>
        <w:spacing w:line="360" w:lineRule="auto"/>
        <w:jc w:val="both"/>
        <w:rPr>
          <w:rFonts w:ascii="Arial" w:hAnsi="Arial" w:cs="Arial"/>
          <w:sz w:val="24"/>
          <w:szCs w:val="24"/>
        </w:rPr>
      </w:pPr>
      <w:r w:rsidRPr="00FF6CA4">
        <w:rPr>
          <w:rFonts w:ascii="Arial" w:hAnsi="Arial" w:cs="Arial"/>
          <w:sz w:val="24"/>
          <w:szCs w:val="24"/>
        </w:rPr>
        <w:t>Second, there is a lack of research connecting educational outcomes and youth justice outcomes within the same longitudinal studies. Attendance, exclusion and attainment are frequently studied within education research, while offending and reoffending are studied within criminal justice research. More research is required to understand how interventions affecting education influence offending over time.</w:t>
      </w:r>
    </w:p>
    <w:p w:rsidRPr="00FF6CA4" w:rsidR="00FF6CA4" w:rsidP="00FF6CA4" w:rsidRDefault="00FF6CA4" w14:paraId="4BF6D8F8" w14:textId="77777777">
      <w:pPr>
        <w:spacing w:line="360" w:lineRule="auto"/>
        <w:jc w:val="both"/>
        <w:rPr>
          <w:rFonts w:ascii="Arial" w:hAnsi="Arial" w:cs="Arial"/>
          <w:sz w:val="24"/>
          <w:szCs w:val="24"/>
        </w:rPr>
      </w:pPr>
      <w:r w:rsidRPr="00FF6CA4">
        <w:rPr>
          <w:rFonts w:ascii="Arial" w:hAnsi="Arial" w:cs="Arial"/>
          <w:sz w:val="24"/>
          <w:szCs w:val="24"/>
        </w:rPr>
        <w:t>Third, there remains insufficient independent evidence concerning economic deprivation as an intervention target. Poverty is frequently identified as a risk factor but is rarely measured as an outcome of youth justice prevention.</w:t>
      </w:r>
    </w:p>
    <w:p w:rsidRPr="00FF6CA4" w:rsidR="00FF6CA4" w:rsidP="00FF6CA4" w:rsidRDefault="00FF6CA4" w14:paraId="57EE756A" w14:textId="77777777">
      <w:pPr>
        <w:spacing w:line="360" w:lineRule="auto"/>
        <w:jc w:val="both"/>
        <w:rPr>
          <w:rFonts w:ascii="Arial" w:hAnsi="Arial" w:cs="Arial"/>
          <w:sz w:val="24"/>
          <w:szCs w:val="24"/>
        </w:rPr>
      </w:pPr>
      <w:r w:rsidRPr="00FF6CA4">
        <w:rPr>
          <w:rFonts w:ascii="Arial" w:hAnsi="Arial" w:cs="Arial"/>
          <w:sz w:val="24"/>
          <w:szCs w:val="24"/>
        </w:rPr>
        <w:lastRenderedPageBreak/>
        <w:t>Fourth, the Welsh evidence base remains comparatively limited. Wales has developed an increasingly distinctive prevention framework, but independent longitudinal evaluations connecting Welsh prevention strategies with educational and offending outcomes remain limited.</w:t>
      </w:r>
    </w:p>
    <w:p w:rsidRPr="00FF6CA4" w:rsidR="00FF6CA4" w:rsidP="00FF6CA4" w:rsidRDefault="00FF6CA4" w14:paraId="721B3CBF" w14:textId="77777777">
      <w:pPr>
        <w:spacing w:line="360" w:lineRule="auto"/>
        <w:jc w:val="both"/>
        <w:rPr>
          <w:rFonts w:ascii="Arial" w:hAnsi="Arial" w:cs="Arial"/>
          <w:sz w:val="24"/>
          <w:szCs w:val="24"/>
        </w:rPr>
      </w:pPr>
      <w:r w:rsidRPr="00FF6CA4">
        <w:rPr>
          <w:rFonts w:ascii="Arial" w:hAnsi="Arial" w:cs="Arial"/>
          <w:sz w:val="24"/>
          <w:szCs w:val="24"/>
        </w:rPr>
        <w:t>Fifth, there is an implementation gap. Child First, diversion and whole-system prevention are embedded within policy, but evidence demonstrates variation between local areas.</w:t>
      </w:r>
    </w:p>
    <w:p w:rsidRPr="00FF6CA4" w:rsidR="00FF6CA4" w:rsidP="00FF6CA4" w:rsidRDefault="00FF6CA4" w14:paraId="19F6520B" w14:textId="77777777">
      <w:pPr>
        <w:spacing w:line="360" w:lineRule="auto"/>
        <w:jc w:val="both"/>
        <w:rPr>
          <w:rFonts w:ascii="Arial" w:hAnsi="Arial" w:cs="Arial"/>
          <w:sz w:val="24"/>
          <w:szCs w:val="24"/>
        </w:rPr>
      </w:pPr>
      <w:r w:rsidRPr="00FF6CA4">
        <w:rPr>
          <w:rFonts w:ascii="Arial" w:hAnsi="Arial" w:cs="Arial"/>
          <w:sz w:val="24"/>
          <w:szCs w:val="24"/>
        </w:rPr>
        <w:t>Sixth, there is a gap concerning children's voices. Professional and administrative evidence continues to dominate official evaluations, although qualitative research demonstrates the value of understanding children's experiences directly.</w:t>
      </w:r>
    </w:p>
    <w:p w:rsidRPr="00FF6CA4" w:rsidR="00FF6CA4" w:rsidP="00FF6CA4" w:rsidRDefault="00FF6CA4" w14:paraId="19B61DC8" w14:textId="77777777">
      <w:pPr>
        <w:spacing w:line="360" w:lineRule="auto"/>
        <w:jc w:val="both"/>
        <w:rPr>
          <w:rFonts w:ascii="Arial" w:hAnsi="Arial" w:cs="Arial"/>
          <w:sz w:val="24"/>
          <w:szCs w:val="24"/>
        </w:rPr>
      </w:pPr>
      <w:r w:rsidRPr="00FF6CA4">
        <w:rPr>
          <w:rFonts w:ascii="Arial" w:hAnsi="Arial" w:cs="Arial"/>
          <w:sz w:val="24"/>
          <w:szCs w:val="24"/>
        </w:rPr>
        <w:t>Finally, there is a gap in evidence about transferability of international models. Scotland and New Zealand provide useful principles, but more research is required to establish which elements could be transferred effectively to England and Wales given different legal, constitutional and organisational structures.</w:t>
      </w:r>
    </w:p>
    <w:p w:rsidRPr="00FF6CA4" w:rsidR="00FF6CA4" w:rsidP="00FF6CA4" w:rsidRDefault="00FF6CA4" w14:paraId="7AA13474" w14:textId="77777777">
      <w:pPr>
        <w:spacing w:line="360" w:lineRule="auto"/>
        <w:jc w:val="both"/>
        <w:rPr>
          <w:rFonts w:ascii="Arial" w:hAnsi="Arial" w:cs="Arial"/>
          <w:sz w:val="24"/>
          <w:szCs w:val="24"/>
        </w:rPr>
      </w:pPr>
      <w:r w:rsidRPr="00FF6CA4">
        <w:rPr>
          <w:rFonts w:ascii="Arial" w:hAnsi="Arial" w:cs="Arial"/>
          <w:sz w:val="24"/>
          <w:szCs w:val="24"/>
        </w:rPr>
        <w:t>These gaps justify the dissertation because it examines the relationship between prevention policy, educational disengagement and economic deprivation rather than treating youth offending reduction as sufficient evidence of success.</w:t>
      </w:r>
    </w:p>
    <w:p w:rsidRPr="00FF6CA4" w:rsidR="00FF6CA4" w:rsidP="00FF6CA4" w:rsidRDefault="00FF6CA4" w14:paraId="15664C31" w14:textId="77777777">
      <w:pPr>
        <w:spacing w:line="360" w:lineRule="auto"/>
        <w:jc w:val="both"/>
        <w:rPr>
          <w:rFonts w:ascii="Arial" w:hAnsi="Arial" w:cs="Arial"/>
          <w:sz w:val="24"/>
          <w:szCs w:val="24"/>
        </w:rPr>
      </w:pPr>
      <w:r w:rsidRPr="00FF6CA4">
        <w:rPr>
          <w:rFonts w:ascii="Arial" w:hAnsi="Arial" w:cs="Arial"/>
          <w:sz w:val="24"/>
          <w:szCs w:val="24"/>
        </w:rPr>
        <w:t>2.22 Search strategy and snowballing</w:t>
      </w:r>
    </w:p>
    <w:p w:rsidRPr="00FF6CA4" w:rsidR="00FF6CA4" w:rsidP="00FF6CA4" w:rsidRDefault="00FF6CA4" w14:paraId="1085A5A2" w14:textId="77777777">
      <w:pPr>
        <w:spacing w:line="360" w:lineRule="auto"/>
        <w:jc w:val="both"/>
        <w:rPr>
          <w:rFonts w:ascii="Arial" w:hAnsi="Arial" w:cs="Arial"/>
          <w:sz w:val="24"/>
          <w:szCs w:val="24"/>
        </w:rPr>
      </w:pPr>
      <w:r w:rsidRPr="00FF6CA4">
        <w:rPr>
          <w:rFonts w:ascii="Arial" w:hAnsi="Arial" w:cs="Arial"/>
          <w:sz w:val="24"/>
          <w:szCs w:val="24"/>
        </w:rPr>
        <w:t xml:space="preserve">A broad literature search was undertaken using university library databases, Google Scholar and academic journal databases. Search terms included combinations of </w:t>
      </w:r>
      <w:r w:rsidRPr="00FF6CA4">
        <w:rPr>
          <w:rFonts w:ascii="Arial" w:hAnsi="Arial" w:cs="Arial"/>
          <w:i/>
          <w:iCs/>
          <w:sz w:val="24"/>
          <w:szCs w:val="24"/>
        </w:rPr>
        <w:t>youth offending</w:t>
      </w:r>
      <w:r w:rsidRPr="00FF6CA4">
        <w:rPr>
          <w:rFonts w:ascii="Arial" w:hAnsi="Arial" w:cs="Arial"/>
          <w:sz w:val="24"/>
          <w:szCs w:val="24"/>
        </w:rPr>
        <w:t xml:space="preserve">, </w:t>
      </w:r>
      <w:r w:rsidRPr="00FF6CA4">
        <w:rPr>
          <w:rFonts w:ascii="Arial" w:hAnsi="Arial" w:cs="Arial"/>
          <w:i/>
          <w:iCs/>
          <w:sz w:val="24"/>
          <w:szCs w:val="24"/>
        </w:rPr>
        <w:t>youth justice</w:t>
      </w:r>
      <w:r w:rsidRPr="00FF6CA4">
        <w:rPr>
          <w:rFonts w:ascii="Arial" w:hAnsi="Arial" w:cs="Arial"/>
          <w:sz w:val="24"/>
          <w:szCs w:val="24"/>
        </w:rPr>
        <w:t xml:space="preserve">, </w:t>
      </w:r>
      <w:r w:rsidRPr="00FF6CA4">
        <w:rPr>
          <w:rFonts w:ascii="Arial" w:hAnsi="Arial" w:cs="Arial"/>
          <w:i/>
          <w:iCs/>
          <w:sz w:val="24"/>
          <w:szCs w:val="24"/>
        </w:rPr>
        <w:t>prevention</w:t>
      </w:r>
      <w:r w:rsidRPr="00FF6CA4">
        <w:rPr>
          <w:rFonts w:ascii="Arial" w:hAnsi="Arial" w:cs="Arial"/>
          <w:sz w:val="24"/>
          <w:szCs w:val="24"/>
        </w:rPr>
        <w:t xml:space="preserve">, </w:t>
      </w:r>
      <w:r w:rsidRPr="00FF6CA4">
        <w:rPr>
          <w:rFonts w:ascii="Arial" w:hAnsi="Arial" w:cs="Arial"/>
          <w:i/>
          <w:iCs/>
          <w:sz w:val="24"/>
          <w:szCs w:val="24"/>
        </w:rPr>
        <w:t>diversion</w:t>
      </w:r>
      <w:r w:rsidRPr="00FF6CA4">
        <w:rPr>
          <w:rFonts w:ascii="Arial" w:hAnsi="Arial" w:cs="Arial"/>
          <w:sz w:val="24"/>
          <w:szCs w:val="24"/>
        </w:rPr>
        <w:t xml:space="preserve">, </w:t>
      </w:r>
      <w:r w:rsidRPr="00FF6CA4">
        <w:rPr>
          <w:rFonts w:ascii="Arial" w:hAnsi="Arial" w:cs="Arial"/>
          <w:i/>
          <w:iCs/>
          <w:sz w:val="24"/>
          <w:szCs w:val="24"/>
        </w:rPr>
        <w:t>Child First</w:t>
      </w:r>
      <w:r w:rsidRPr="00FF6CA4">
        <w:rPr>
          <w:rFonts w:ascii="Arial" w:hAnsi="Arial" w:cs="Arial"/>
          <w:sz w:val="24"/>
          <w:szCs w:val="24"/>
        </w:rPr>
        <w:t xml:space="preserve">, </w:t>
      </w:r>
      <w:r w:rsidRPr="00FF6CA4">
        <w:rPr>
          <w:rFonts w:ascii="Arial" w:hAnsi="Arial" w:cs="Arial"/>
          <w:i/>
          <w:iCs/>
          <w:sz w:val="24"/>
          <w:szCs w:val="24"/>
        </w:rPr>
        <w:t>educational disengagement</w:t>
      </w:r>
      <w:r w:rsidRPr="00FF6CA4">
        <w:rPr>
          <w:rFonts w:ascii="Arial" w:hAnsi="Arial" w:cs="Arial"/>
          <w:sz w:val="24"/>
          <w:szCs w:val="24"/>
        </w:rPr>
        <w:t xml:space="preserve">, </w:t>
      </w:r>
      <w:r w:rsidRPr="00FF6CA4">
        <w:rPr>
          <w:rFonts w:ascii="Arial" w:hAnsi="Arial" w:cs="Arial"/>
          <w:i/>
          <w:iCs/>
          <w:sz w:val="24"/>
          <w:szCs w:val="24"/>
        </w:rPr>
        <w:t>school exclusion</w:t>
      </w:r>
      <w:r w:rsidRPr="00FF6CA4">
        <w:rPr>
          <w:rFonts w:ascii="Arial" w:hAnsi="Arial" w:cs="Arial"/>
          <w:sz w:val="24"/>
          <w:szCs w:val="24"/>
        </w:rPr>
        <w:t xml:space="preserve">, </w:t>
      </w:r>
      <w:r w:rsidRPr="00FF6CA4">
        <w:rPr>
          <w:rFonts w:ascii="Arial" w:hAnsi="Arial" w:cs="Arial"/>
          <w:i/>
          <w:iCs/>
          <w:sz w:val="24"/>
          <w:szCs w:val="24"/>
        </w:rPr>
        <w:t>attendance</w:t>
      </w:r>
      <w:r w:rsidRPr="00FF6CA4">
        <w:rPr>
          <w:rFonts w:ascii="Arial" w:hAnsi="Arial" w:cs="Arial"/>
          <w:sz w:val="24"/>
          <w:szCs w:val="24"/>
        </w:rPr>
        <w:t xml:space="preserve">, </w:t>
      </w:r>
      <w:r w:rsidRPr="00FF6CA4">
        <w:rPr>
          <w:rFonts w:ascii="Arial" w:hAnsi="Arial" w:cs="Arial"/>
          <w:i/>
          <w:iCs/>
          <w:sz w:val="24"/>
          <w:szCs w:val="24"/>
        </w:rPr>
        <w:t>alternative provision</w:t>
      </w:r>
      <w:r w:rsidRPr="00FF6CA4">
        <w:rPr>
          <w:rFonts w:ascii="Arial" w:hAnsi="Arial" w:cs="Arial"/>
          <w:sz w:val="24"/>
          <w:szCs w:val="24"/>
        </w:rPr>
        <w:t xml:space="preserve">, </w:t>
      </w:r>
      <w:r w:rsidRPr="00FF6CA4">
        <w:rPr>
          <w:rFonts w:ascii="Arial" w:hAnsi="Arial" w:cs="Arial"/>
          <w:i/>
          <w:iCs/>
          <w:sz w:val="24"/>
          <w:szCs w:val="24"/>
        </w:rPr>
        <w:t>poverty</w:t>
      </w:r>
      <w:r w:rsidRPr="00FF6CA4">
        <w:rPr>
          <w:rFonts w:ascii="Arial" w:hAnsi="Arial" w:cs="Arial"/>
          <w:sz w:val="24"/>
          <w:szCs w:val="24"/>
        </w:rPr>
        <w:t xml:space="preserve">, </w:t>
      </w:r>
      <w:r w:rsidRPr="00FF6CA4">
        <w:rPr>
          <w:rFonts w:ascii="Arial" w:hAnsi="Arial" w:cs="Arial"/>
          <w:i/>
          <w:iCs/>
          <w:sz w:val="24"/>
          <w:szCs w:val="24"/>
        </w:rPr>
        <w:t>economic deprivation</w:t>
      </w:r>
      <w:r w:rsidRPr="00FF6CA4">
        <w:rPr>
          <w:rFonts w:ascii="Arial" w:hAnsi="Arial" w:cs="Arial"/>
          <w:sz w:val="24"/>
          <w:szCs w:val="24"/>
        </w:rPr>
        <w:t xml:space="preserve">, </w:t>
      </w:r>
      <w:r w:rsidRPr="00FF6CA4">
        <w:rPr>
          <w:rFonts w:ascii="Arial" w:hAnsi="Arial" w:cs="Arial"/>
          <w:i/>
          <w:iCs/>
          <w:sz w:val="24"/>
          <w:szCs w:val="24"/>
        </w:rPr>
        <w:t>serious violence</w:t>
      </w:r>
      <w:r w:rsidRPr="00FF6CA4">
        <w:rPr>
          <w:rFonts w:ascii="Arial" w:hAnsi="Arial" w:cs="Arial"/>
          <w:sz w:val="24"/>
          <w:szCs w:val="24"/>
        </w:rPr>
        <w:t xml:space="preserve">, </w:t>
      </w:r>
      <w:r w:rsidRPr="00FF6CA4">
        <w:rPr>
          <w:rFonts w:ascii="Arial" w:hAnsi="Arial" w:cs="Arial"/>
          <w:i/>
          <w:iCs/>
          <w:sz w:val="24"/>
          <w:szCs w:val="24"/>
        </w:rPr>
        <w:t>COVID-19</w:t>
      </w:r>
      <w:r w:rsidRPr="00FF6CA4">
        <w:rPr>
          <w:rFonts w:ascii="Arial" w:hAnsi="Arial" w:cs="Arial"/>
          <w:sz w:val="24"/>
          <w:szCs w:val="24"/>
        </w:rPr>
        <w:t xml:space="preserve">, </w:t>
      </w:r>
      <w:r w:rsidRPr="00FF6CA4">
        <w:rPr>
          <w:rFonts w:ascii="Arial" w:hAnsi="Arial" w:cs="Arial"/>
          <w:i/>
          <w:iCs/>
          <w:sz w:val="24"/>
          <w:szCs w:val="24"/>
        </w:rPr>
        <w:t>England</w:t>
      </w:r>
      <w:r w:rsidRPr="00FF6CA4">
        <w:rPr>
          <w:rFonts w:ascii="Arial" w:hAnsi="Arial" w:cs="Arial"/>
          <w:sz w:val="24"/>
          <w:szCs w:val="24"/>
        </w:rPr>
        <w:t xml:space="preserve">, </w:t>
      </w:r>
      <w:r w:rsidRPr="00FF6CA4">
        <w:rPr>
          <w:rFonts w:ascii="Arial" w:hAnsi="Arial" w:cs="Arial"/>
          <w:i/>
          <w:iCs/>
          <w:sz w:val="24"/>
          <w:szCs w:val="24"/>
        </w:rPr>
        <w:t>Wales</w:t>
      </w:r>
      <w:r w:rsidRPr="00FF6CA4">
        <w:rPr>
          <w:rFonts w:ascii="Arial" w:hAnsi="Arial" w:cs="Arial"/>
          <w:sz w:val="24"/>
          <w:szCs w:val="24"/>
        </w:rPr>
        <w:t xml:space="preserve">, </w:t>
      </w:r>
      <w:r w:rsidRPr="00FF6CA4">
        <w:rPr>
          <w:rFonts w:ascii="Arial" w:hAnsi="Arial" w:cs="Arial"/>
          <w:i/>
          <w:iCs/>
          <w:sz w:val="24"/>
          <w:szCs w:val="24"/>
        </w:rPr>
        <w:t>Scotland</w:t>
      </w:r>
      <w:r w:rsidRPr="00FF6CA4">
        <w:rPr>
          <w:rFonts w:ascii="Arial" w:hAnsi="Arial" w:cs="Arial"/>
          <w:sz w:val="24"/>
          <w:szCs w:val="24"/>
        </w:rPr>
        <w:t xml:space="preserve">, </w:t>
      </w:r>
      <w:r w:rsidRPr="00FF6CA4">
        <w:rPr>
          <w:rFonts w:ascii="Arial" w:hAnsi="Arial" w:cs="Arial"/>
          <w:i/>
          <w:iCs/>
          <w:sz w:val="24"/>
          <w:szCs w:val="24"/>
        </w:rPr>
        <w:t>New Zealand</w:t>
      </w:r>
      <w:r w:rsidRPr="00FF6CA4">
        <w:rPr>
          <w:rFonts w:ascii="Arial" w:hAnsi="Arial" w:cs="Arial"/>
          <w:sz w:val="24"/>
          <w:szCs w:val="24"/>
        </w:rPr>
        <w:t xml:space="preserve">, </w:t>
      </w:r>
      <w:r w:rsidRPr="00FF6CA4">
        <w:rPr>
          <w:rFonts w:ascii="Arial" w:hAnsi="Arial" w:cs="Arial"/>
          <w:i/>
          <w:iCs/>
          <w:sz w:val="24"/>
          <w:szCs w:val="24"/>
        </w:rPr>
        <w:t>restorative justice</w:t>
      </w:r>
      <w:r w:rsidRPr="00FF6CA4">
        <w:rPr>
          <w:rFonts w:ascii="Arial" w:hAnsi="Arial" w:cs="Arial"/>
          <w:sz w:val="24"/>
          <w:szCs w:val="24"/>
        </w:rPr>
        <w:t xml:space="preserve"> and </w:t>
      </w:r>
      <w:r w:rsidRPr="00FF6CA4">
        <w:rPr>
          <w:rFonts w:ascii="Arial" w:hAnsi="Arial" w:cs="Arial"/>
          <w:i/>
          <w:iCs/>
          <w:sz w:val="24"/>
          <w:szCs w:val="24"/>
        </w:rPr>
        <w:t>whole-system approach</w:t>
      </w:r>
      <w:r w:rsidRPr="00FF6CA4">
        <w:rPr>
          <w:rFonts w:ascii="Arial" w:hAnsi="Arial" w:cs="Arial"/>
          <w:sz w:val="24"/>
          <w:szCs w:val="24"/>
        </w:rPr>
        <w:t>.</w:t>
      </w:r>
    </w:p>
    <w:p w:rsidRPr="00FF6CA4" w:rsidR="00FF6CA4" w:rsidP="00FF6CA4" w:rsidRDefault="00FF6CA4" w14:paraId="722FE34F" w14:textId="77777777">
      <w:pPr>
        <w:spacing w:line="360" w:lineRule="auto"/>
        <w:jc w:val="both"/>
        <w:rPr>
          <w:rFonts w:ascii="Arial" w:hAnsi="Arial" w:cs="Arial"/>
          <w:sz w:val="24"/>
          <w:szCs w:val="24"/>
        </w:rPr>
      </w:pPr>
      <w:r w:rsidRPr="00FF6CA4">
        <w:rPr>
          <w:rFonts w:ascii="Arial" w:hAnsi="Arial" w:cs="Arial"/>
          <w:sz w:val="24"/>
          <w:szCs w:val="24"/>
        </w:rPr>
        <w:t xml:space="preserve">The search deliberately included different types of evidence because the research question requires examination of policy, practice and effectiveness. Peer-reviewed academic journal articles were used to establish theoretical and empirical debates. Academic books and chapters were used where they provided important conceptual context. Government statistics were used to establish current trends in offending, attendance and exclusion. Legislation and statutory guidance were used to establish the legal basis of prevention initiatives. Youth Justice Board, Ministry of Justice, Home </w:t>
      </w:r>
      <w:r w:rsidRPr="00FF6CA4">
        <w:rPr>
          <w:rFonts w:ascii="Arial" w:hAnsi="Arial" w:cs="Arial"/>
          <w:sz w:val="24"/>
          <w:szCs w:val="24"/>
        </w:rPr>
        <w:lastRenderedPageBreak/>
        <w:t>Office, Welsh Government and policing documents were used to examine contemporary policy and implementation. International government and research evidence was used to compare alternative approaches.</w:t>
      </w:r>
    </w:p>
    <w:p w:rsidRPr="00FF6CA4" w:rsidR="00FF6CA4" w:rsidP="00FF6CA4" w:rsidRDefault="00FF6CA4" w14:paraId="32303507" w14:textId="77777777">
      <w:pPr>
        <w:spacing w:line="360" w:lineRule="auto"/>
        <w:jc w:val="both"/>
        <w:rPr>
          <w:rFonts w:ascii="Arial" w:hAnsi="Arial" w:cs="Arial"/>
          <w:sz w:val="24"/>
          <w:szCs w:val="24"/>
        </w:rPr>
      </w:pPr>
      <w:r w:rsidRPr="00FF6CA4">
        <w:rPr>
          <w:rFonts w:ascii="Arial" w:hAnsi="Arial" w:cs="Arial"/>
          <w:sz w:val="24"/>
          <w:szCs w:val="24"/>
        </w:rPr>
        <w:t>Snowballing was also used. Once key academic and policy sources had been identified, their reference lists were examined to identify additional literature. This backward snowballing process identified earlier research that continued to influence contemporary debates. Forward snowballing was then used where available to identify newer publications citing important studies. This process was particularly useful for identifying research concerning Child First, diversion, exclusion, restorative justice and international youth justice.</w:t>
      </w:r>
    </w:p>
    <w:p w:rsidRPr="00FF6CA4" w:rsidR="00FF6CA4" w:rsidP="00FF6CA4" w:rsidRDefault="00FF6CA4" w14:paraId="7E6F1399" w14:textId="77777777">
      <w:pPr>
        <w:spacing w:line="360" w:lineRule="auto"/>
        <w:jc w:val="both"/>
        <w:rPr>
          <w:rFonts w:ascii="Arial" w:hAnsi="Arial" w:cs="Arial"/>
          <w:sz w:val="24"/>
          <w:szCs w:val="24"/>
        </w:rPr>
      </w:pPr>
      <w:r w:rsidRPr="00FF6CA4">
        <w:rPr>
          <w:rFonts w:ascii="Arial" w:hAnsi="Arial" w:cs="Arial"/>
          <w:sz w:val="24"/>
          <w:szCs w:val="24"/>
        </w:rPr>
        <w:t>The search primarily prioritised literature published between 2019 and 2026, with particular emphasis on evidence published from 2020 onwards because of the post-pandemic focus. Older literature was retained only where it provided an important theoretical or historical foundation that remained relevant to contemporary youth justice.</w:t>
      </w:r>
    </w:p>
    <w:p w:rsidRPr="00FF6CA4" w:rsidR="00FF6CA4" w:rsidP="00FF6CA4" w:rsidRDefault="00FF6CA4" w14:paraId="064FCE6B" w14:textId="77777777">
      <w:pPr>
        <w:spacing w:line="360" w:lineRule="auto"/>
        <w:jc w:val="both"/>
        <w:rPr>
          <w:rFonts w:ascii="Arial" w:hAnsi="Arial" w:cs="Arial"/>
          <w:sz w:val="24"/>
          <w:szCs w:val="24"/>
        </w:rPr>
      </w:pPr>
      <w:r w:rsidRPr="00FF6CA4">
        <w:rPr>
          <w:rFonts w:ascii="Arial" w:hAnsi="Arial" w:cs="Arial"/>
          <w:sz w:val="24"/>
          <w:szCs w:val="24"/>
        </w:rPr>
        <w:t>This approach also reduced the risk of relying repeatedly upon the same government or academic source. The final evidence base therefore includes different authors, institutions, research designs and perspectives rather than repeatedly using a small number of sources.</w:t>
      </w:r>
    </w:p>
    <w:p w:rsidRPr="00FF6CA4" w:rsidR="00FF6CA4" w:rsidP="00FF6CA4" w:rsidRDefault="00FF6CA4" w14:paraId="3EAE9FD6" w14:textId="77777777">
      <w:pPr>
        <w:spacing w:line="360" w:lineRule="auto"/>
        <w:jc w:val="both"/>
        <w:rPr>
          <w:rFonts w:ascii="Arial" w:hAnsi="Arial" w:cs="Arial"/>
          <w:sz w:val="24"/>
          <w:szCs w:val="24"/>
        </w:rPr>
      </w:pPr>
      <w:r w:rsidRPr="00FF6CA4">
        <w:rPr>
          <w:rFonts w:ascii="Arial" w:hAnsi="Arial" w:cs="Arial"/>
          <w:sz w:val="24"/>
          <w:szCs w:val="24"/>
        </w:rPr>
        <w:t>2.23 Overall synthesis</w:t>
      </w:r>
    </w:p>
    <w:p w:rsidRPr="00FF6CA4" w:rsidR="00FF6CA4" w:rsidP="00FF6CA4" w:rsidRDefault="00FF6CA4" w14:paraId="4C369ABA" w14:textId="77777777">
      <w:pPr>
        <w:spacing w:line="360" w:lineRule="auto"/>
        <w:jc w:val="both"/>
        <w:rPr>
          <w:rFonts w:ascii="Arial" w:hAnsi="Arial" w:cs="Arial"/>
          <w:sz w:val="24"/>
          <w:szCs w:val="24"/>
        </w:rPr>
      </w:pPr>
      <w:r w:rsidRPr="00FF6CA4">
        <w:rPr>
          <w:rFonts w:ascii="Arial" w:hAnsi="Arial" w:cs="Arial"/>
          <w:sz w:val="24"/>
          <w:szCs w:val="24"/>
        </w:rPr>
        <w:t>The literature demonstrates that youth offending prevention in England and Wales has undergone a substantial philosophical and practical shift. Prevention, diversion, early intervention and Child First approaches are now more central to policy than punitive responses. The reduction in first-time entrants provides strong evidence that children's formal contact with the youth justice system has declined.</w:t>
      </w:r>
    </w:p>
    <w:p w:rsidRPr="00FF6CA4" w:rsidR="00FF6CA4" w:rsidP="00FF6CA4" w:rsidRDefault="00FF6CA4" w14:paraId="65DA9E12" w14:textId="77777777">
      <w:pPr>
        <w:spacing w:line="360" w:lineRule="auto"/>
        <w:jc w:val="both"/>
        <w:rPr>
          <w:rFonts w:ascii="Arial" w:hAnsi="Arial" w:cs="Arial"/>
          <w:sz w:val="24"/>
          <w:szCs w:val="24"/>
        </w:rPr>
      </w:pPr>
      <w:r w:rsidRPr="00FF6CA4">
        <w:rPr>
          <w:rFonts w:ascii="Arial" w:hAnsi="Arial" w:cs="Arial"/>
          <w:sz w:val="24"/>
          <w:szCs w:val="24"/>
        </w:rPr>
        <w:t>However, this should not be interpreted as conclusive evidence that prevention has addressed the underlying causes of offending.</w:t>
      </w:r>
    </w:p>
    <w:p w:rsidRPr="00FF6CA4" w:rsidR="00FF6CA4" w:rsidP="00FF6CA4" w:rsidRDefault="00FF6CA4" w14:paraId="0EEF03D7" w14:textId="77777777">
      <w:pPr>
        <w:spacing w:line="360" w:lineRule="auto"/>
        <w:jc w:val="both"/>
        <w:rPr>
          <w:rFonts w:ascii="Arial" w:hAnsi="Arial" w:cs="Arial"/>
          <w:sz w:val="24"/>
          <w:szCs w:val="24"/>
        </w:rPr>
      </w:pPr>
      <w:r w:rsidRPr="00FF6CA4">
        <w:rPr>
          <w:rFonts w:ascii="Arial" w:hAnsi="Arial" w:cs="Arial"/>
          <w:sz w:val="24"/>
          <w:szCs w:val="24"/>
        </w:rPr>
        <w:t xml:space="preserve">The evidence concerning educational disengagement is mixed. Attendance has improved since the immediate post-pandemic period but remains significantly above pre-pandemic levels. Alternative provision continues to experience very high absence. Research also identifies a strong association between exclusion and subsequent </w:t>
      </w:r>
      <w:r w:rsidRPr="00FF6CA4">
        <w:rPr>
          <w:rFonts w:ascii="Arial" w:hAnsi="Arial" w:cs="Arial"/>
          <w:sz w:val="24"/>
          <w:szCs w:val="24"/>
        </w:rPr>
        <w:lastRenderedPageBreak/>
        <w:t>serious violence, although causality remains contested. Therefore, educational disengagement has been recognised more successfully than it has been resolved.</w:t>
      </w:r>
    </w:p>
    <w:p w:rsidRPr="00FF6CA4" w:rsidR="00FF6CA4" w:rsidP="00FF6CA4" w:rsidRDefault="00FF6CA4" w14:paraId="027306C8" w14:textId="77777777">
      <w:pPr>
        <w:spacing w:line="360" w:lineRule="auto"/>
        <w:jc w:val="both"/>
        <w:rPr>
          <w:rFonts w:ascii="Arial" w:hAnsi="Arial" w:cs="Arial"/>
          <w:sz w:val="24"/>
          <w:szCs w:val="24"/>
        </w:rPr>
      </w:pPr>
      <w:r w:rsidRPr="00FF6CA4">
        <w:rPr>
          <w:rFonts w:ascii="Arial" w:hAnsi="Arial" w:cs="Arial"/>
          <w:sz w:val="24"/>
          <w:szCs w:val="24"/>
        </w:rPr>
        <w:t>Economic deprivation presents an even greater challenge. Poverty is widely recognised as part of the wider context of offending and educational inequality, but youth justice interventions have limited ability to alter structural economic conditions. Programmes such as Turnaround can identify needs and connect children with support, but they cannot independently resolve poverty, housing insecurity or labour-market inequality.</w:t>
      </w:r>
    </w:p>
    <w:p w:rsidRPr="00FF6CA4" w:rsidR="00FF6CA4" w:rsidP="00FF6CA4" w:rsidRDefault="00FF6CA4" w14:paraId="11D7D890" w14:textId="77777777">
      <w:pPr>
        <w:spacing w:line="360" w:lineRule="auto"/>
        <w:jc w:val="both"/>
        <w:rPr>
          <w:rFonts w:ascii="Arial" w:hAnsi="Arial" w:cs="Arial"/>
          <w:sz w:val="24"/>
          <w:szCs w:val="24"/>
        </w:rPr>
      </w:pPr>
      <w:r w:rsidRPr="00FF6CA4">
        <w:rPr>
          <w:rFonts w:ascii="Arial" w:hAnsi="Arial" w:cs="Arial"/>
          <w:sz w:val="24"/>
          <w:szCs w:val="24"/>
        </w:rPr>
        <w:t>Wales provides an important example because its Prevention Framework explicitly links youth justice with education, health, children's services, poverty and violence prevention. This demonstrates a strong policy commitment to whole-system prevention. Nevertheless, the Welsh evidence base still requires stronger independent longitudinal evaluation.</w:t>
      </w:r>
    </w:p>
    <w:p w:rsidRPr="00FF6CA4" w:rsidR="00FF6CA4" w:rsidP="00FF6CA4" w:rsidRDefault="00FF6CA4" w14:paraId="209BBEBE" w14:textId="77777777">
      <w:pPr>
        <w:spacing w:line="360" w:lineRule="auto"/>
        <w:jc w:val="both"/>
        <w:rPr>
          <w:rFonts w:ascii="Arial" w:hAnsi="Arial" w:cs="Arial"/>
          <w:sz w:val="24"/>
          <w:szCs w:val="24"/>
        </w:rPr>
      </w:pPr>
      <w:r w:rsidRPr="00FF6CA4">
        <w:rPr>
          <w:rFonts w:ascii="Arial" w:hAnsi="Arial" w:cs="Arial"/>
          <w:sz w:val="24"/>
          <w:szCs w:val="24"/>
        </w:rPr>
        <w:t>Policing has also changed. The Serious Violence Duty and Violence Reduction Units have institutionalised multi-agency approaches and increasingly recognise education and socioeconomic circumstances as relevant to violence prevention. However, recent evaluations demonstrate that it remains too early to establish the causal impact of these initiatives on serious violence.</w:t>
      </w:r>
    </w:p>
    <w:p w:rsidRPr="00FF6CA4" w:rsidR="00FF6CA4" w:rsidP="00FF6CA4" w:rsidRDefault="00FF6CA4" w14:paraId="11F152DF" w14:textId="77777777">
      <w:pPr>
        <w:spacing w:line="360" w:lineRule="auto"/>
        <w:jc w:val="both"/>
        <w:rPr>
          <w:rFonts w:ascii="Arial" w:hAnsi="Arial" w:cs="Arial"/>
          <w:sz w:val="24"/>
          <w:szCs w:val="24"/>
        </w:rPr>
      </w:pPr>
      <w:r w:rsidRPr="00FF6CA4">
        <w:rPr>
          <w:rFonts w:ascii="Arial" w:hAnsi="Arial" w:cs="Arial"/>
          <w:sz w:val="24"/>
          <w:szCs w:val="24"/>
        </w:rPr>
        <w:t>International evidence provides useful lessons. Scotland demonstrates the potential of a whole-system approach that intervenes early and integrates youth justice with children's services. New Zealand demonstrates the value and limitations of family-centred restorative decision-making. Neither model should simply be copied, but both provide principles that can inform future English and Welsh policy.</w:t>
      </w:r>
    </w:p>
    <w:p w:rsidRPr="00FF6CA4" w:rsidR="00FF6CA4" w:rsidP="00FF6CA4" w:rsidRDefault="00FF6CA4" w14:paraId="7204F24D" w14:textId="77777777">
      <w:pPr>
        <w:spacing w:line="360" w:lineRule="auto"/>
        <w:jc w:val="both"/>
        <w:rPr>
          <w:rFonts w:ascii="Arial" w:hAnsi="Arial" w:cs="Arial"/>
          <w:sz w:val="24"/>
          <w:szCs w:val="24"/>
        </w:rPr>
      </w:pPr>
      <w:r w:rsidRPr="00FF6CA4">
        <w:rPr>
          <w:rFonts w:ascii="Arial" w:hAnsi="Arial" w:cs="Arial"/>
          <w:sz w:val="24"/>
          <w:szCs w:val="24"/>
        </w:rPr>
        <w:t>2.24 Conclusion: answer to the research question</w:t>
      </w:r>
    </w:p>
    <w:p w:rsidRPr="00FF6CA4" w:rsidR="00FF6CA4" w:rsidP="00FF6CA4" w:rsidRDefault="00FF6CA4" w14:paraId="42D06424" w14:textId="77777777">
      <w:pPr>
        <w:spacing w:line="360" w:lineRule="auto"/>
        <w:jc w:val="both"/>
        <w:rPr>
          <w:rFonts w:ascii="Arial" w:hAnsi="Arial" w:cs="Arial"/>
          <w:sz w:val="24"/>
          <w:szCs w:val="24"/>
        </w:rPr>
      </w:pPr>
      <w:r w:rsidRPr="00FF6CA4">
        <w:rPr>
          <w:rFonts w:ascii="Arial" w:hAnsi="Arial" w:cs="Arial"/>
          <w:sz w:val="24"/>
          <w:szCs w:val="24"/>
        </w:rPr>
        <w:t>The research question asks: to what extent have post-pandemic youth offending prevention strategies in England and Wales addressed educational disengagement and economic deprivation, and what lessons can be drawn from international approaches?</w:t>
      </w:r>
    </w:p>
    <w:p w:rsidRPr="00FF6CA4" w:rsidR="00FF6CA4" w:rsidP="00FF6CA4" w:rsidRDefault="00FF6CA4" w14:paraId="4F9E8FC5" w14:textId="77777777">
      <w:pPr>
        <w:spacing w:line="360" w:lineRule="auto"/>
        <w:jc w:val="both"/>
        <w:rPr>
          <w:rFonts w:ascii="Arial" w:hAnsi="Arial" w:cs="Arial"/>
          <w:sz w:val="24"/>
          <w:szCs w:val="24"/>
        </w:rPr>
      </w:pPr>
      <w:r w:rsidRPr="00FF6CA4">
        <w:rPr>
          <w:rFonts w:ascii="Arial" w:hAnsi="Arial" w:cs="Arial"/>
          <w:sz w:val="24"/>
          <w:szCs w:val="24"/>
        </w:rPr>
        <w:t>The evidence supports a significant but incomplete answer.</w:t>
      </w:r>
    </w:p>
    <w:p w:rsidRPr="00FF6CA4" w:rsidR="00FF6CA4" w:rsidP="00FF6CA4" w:rsidRDefault="00FF6CA4" w14:paraId="10FE587A" w14:textId="77777777">
      <w:pPr>
        <w:spacing w:line="360" w:lineRule="auto"/>
        <w:jc w:val="both"/>
        <w:rPr>
          <w:rFonts w:ascii="Arial" w:hAnsi="Arial" w:cs="Arial"/>
          <w:sz w:val="24"/>
          <w:szCs w:val="24"/>
        </w:rPr>
      </w:pPr>
      <w:r w:rsidRPr="00FF6CA4">
        <w:rPr>
          <w:rFonts w:ascii="Arial" w:hAnsi="Arial" w:cs="Arial"/>
          <w:sz w:val="24"/>
          <w:szCs w:val="24"/>
        </w:rPr>
        <w:lastRenderedPageBreak/>
        <w:t>Post-pandemic youth offending prevention has successfully moved towards early intervention, diversion and child-centred practice. First-time entrants have fallen to historically low levels, diversion has increased and Child First has become embedded within national youth justice policy. These developments demonstrate substantial progress against Objective One.</w:t>
      </w:r>
    </w:p>
    <w:p w:rsidRPr="00FF6CA4" w:rsidR="00FF6CA4" w:rsidP="00FF6CA4" w:rsidRDefault="00FF6CA4" w14:paraId="089506FB" w14:textId="77777777">
      <w:pPr>
        <w:spacing w:line="360" w:lineRule="auto"/>
        <w:jc w:val="both"/>
        <w:rPr>
          <w:rFonts w:ascii="Arial" w:hAnsi="Arial" w:cs="Arial"/>
          <w:sz w:val="24"/>
          <w:szCs w:val="24"/>
        </w:rPr>
      </w:pPr>
      <w:r w:rsidRPr="00FF6CA4">
        <w:rPr>
          <w:rFonts w:ascii="Arial" w:hAnsi="Arial" w:cs="Arial"/>
          <w:sz w:val="24"/>
          <w:szCs w:val="24"/>
        </w:rPr>
        <w:t>However, the evidence is considerably stronger for changes in youth justice processes and system contact than for changes in the underlying social conditions associated with offending. This distinction is central to Objective Two. The existence of Turnaround, SAFE Taskforces, the Serious Violence Duty, VRUs and Child First demonstrates policy activity, but the evidence does not yet establish that these interventions have independently caused long-term reductions in offending.</w:t>
      </w:r>
    </w:p>
    <w:p w:rsidRPr="00FF6CA4" w:rsidR="00FF6CA4" w:rsidP="00FF6CA4" w:rsidRDefault="00FF6CA4" w14:paraId="583989AC" w14:textId="77777777">
      <w:pPr>
        <w:spacing w:line="360" w:lineRule="auto"/>
        <w:jc w:val="both"/>
        <w:rPr>
          <w:rFonts w:ascii="Arial" w:hAnsi="Arial" w:cs="Arial"/>
          <w:sz w:val="24"/>
          <w:szCs w:val="24"/>
        </w:rPr>
      </w:pPr>
      <w:r w:rsidRPr="00FF6CA4">
        <w:rPr>
          <w:rFonts w:ascii="Arial" w:hAnsi="Arial" w:cs="Arial"/>
          <w:sz w:val="24"/>
          <w:szCs w:val="24"/>
        </w:rPr>
        <w:t>Educational disengagement has been increasingly recognised as a prevention issue. Attendance strategies, education-based violence prevention and VRU interventions demonstrate that education is now treated as a central protective factor. Nevertheless, attendance remains above pre-pandemic levels and exclusion continues to be associated with serious violence. Therefore, Objective Three can be answered by concluding that educational disengagement has been addressed within policy but only partially resolved in practice.</w:t>
      </w:r>
    </w:p>
    <w:p w:rsidRPr="00FF6CA4" w:rsidR="00FF6CA4" w:rsidP="00FF6CA4" w:rsidRDefault="00FF6CA4" w14:paraId="3263780E" w14:textId="77777777">
      <w:pPr>
        <w:spacing w:line="360" w:lineRule="auto"/>
        <w:jc w:val="both"/>
        <w:rPr>
          <w:rFonts w:ascii="Arial" w:hAnsi="Arial" w:cs="Arial"/>
          <w:sz w:val="24"/>
          <w:szCs w:val="24"/>
        </w:rPr>
      </w:pPr>
      <w:r w:rsidRPr="00FF6CA4">
        <w:rPr>
          <w:rFonts w:ascii="Arial" w:hAnsi="Arial" w:cs="Arial"/>
          <w:sz w:val="24"/>
          <w:szCs w:val="24"/>
        </w:rPr>
        <w:t>Economic deprivation has received significant recognition but has been addressed less directly. Poverty is acknowledged within Welsh prevention policy and wider public-health approaches, but youth justice programmes cannot independently remove structural economic disadvantage. Consequently, economic deprivation has been incorporated into the explanation of youth offending more effectively than it has been transformed through youth justice intervention.</w:t>
      </w:r>
    </w:p>
    <w:p w:rsidRPr="00FF6CA4" w:rsidR="00FF6CA4" w:rsidP="00FF6CA4" w:rsidRDefault="00FF6CA4" w14:paraId="2D01927F" w14:textId="77777777">
      <w:pPr>
        <w:spacing w:line="360" w:lineRule="auto"/>
        <w:jc w:val="both"/>
        <w:rPr>
          <w:rFonts w:ascii="Arial" w:hAnsi="Arial" w:cs="Arial"/>
          <w:sz w:val="24"/>
          <w:szCs w:val="24"/>
        </w:rPr>
      </w:pPr>
      <w:r w:rsidRPr="00FF6CA4">
        <w:rPr>
          <w:rFonts w:ascii="Arial" w:hAnsi="Arial" w:cs="Arial"/>
          <w:sz w:val="24"/>
          <w:szCs w:val="24"/>
        </w:rPr>
        <w:t>Wales provides a particularly valuable lesson because its Prevention Framework demonstrates how youth justice can be connected to education, health, family services and wider violence prevention. However, the Welsh model also illustrates the importance of implementation and evaluation. A comprehensive framework should not be assumed to be effective without evidence of outcomes.</w:t>
      </w:r>
    </w:p>
    <w:p w:rsidRPr="00FF6CA4" w:rsidR="00FF6CA4" w:rsidP="00FF6CA4" w:rsidRDefault="00FF6CA4" w14:paraId="305DCAB5" w14:textId="77777777">
      <w:pPr>
        <w:spacing w:line="360" w:lineRule="auto"/>
        <w:jc w:val="both"/>
        <w:rPr>
          <w:rFonts w:ascii="Arial" w:hAnsi="Arial" w:cs="Arial"/>
          <w:sz w:val="24"/>
          <w:szCs w:val="24"/>
        </w:rPr>
      </w:pPr>
      <w:r w:rsidRPr="00FF6CA4">
        <w:rPr>
          <w:rFonts w:ascii="Arial" w:hAnsi="Arial" w:cs="Arial"/>
          <w:sz w:val="24"/>
          <w:szCs w:val="24"/>
        </w:rPr>
        <w:t xml:space="preserve">The international comparison addresses Objective Four. Scotland demonstrates the potential of early intervention and whole-system children's services, while New Zealand demonstrates the potential and limitations of family-centred restorative </w:t>
      </w:r>
      <w:r w:rsidRPr="00FF6CA4">
        <w:rPr>
          <w:rFonts w:ascii="Arial" w:hAnsi="Arial" w:cs="Arial"/>
          <w:sz w:val="24"/>
          <w:szCs w:val="24"/>
        </w:rPr>
        <w:lastRenderedPageBreak/>
        <w:t>decision-making. The most realistic lesson for England and Wales is therefore not to copy international models but to adapt their underlying principles: early intervention, proportionate diversion, meaningful participation, multi-agency cooperation, family involvement and a stronger connection between youth justice and wider children's services.</w:t>
      </w:r>
    </w:p>
    <w:p w:rsidRPr="00FF6CA4" w:rsidR="00FF6CA4" w:rsidP="00FF6CA4" w:rsidRDefault="00FF6CA4" w14:paraId="193660EA" w14:textId="77777777">
      <w:pPr>
        <w:spacing w:line="360" w:lineRule="auto"/>
        <w:jc w:val="both"/>
        <w:rPr>
          <w:rFonts w:ascii="Arial" w:hAnsi="Arial" w:cs="Arial"/>
          <w:sz w:val="24"/>
          <w:szCs w:val="24"/>
        </w:rPr>
      </w:pPr>
      <w:r w:rsidRPr="00FF6CA4">
        <w:rPr>
          <w:rFonts w:ascii="Arial" w:hAnsi="Arial" w:cs="Arial"/>
          <w:sz w:val="24"/>
          <w:szCs w:val="24"/>
        </w:rPr>
        <w:t>Overall, the literature indicates that England and Wales have made substantial progress in changing how youth offending is understood and responded to, but less progress can currently be demonstrated in changing the educational and socioeconomic conditions associated with offending. The greatest strength of post-pandemic policy is its movement away from late-stage punitive intervention towards earlier and more child-centred prevention. Its greatest weakness is that structural disadvantage remains largely outside the direct capacity of youth justice programmes.</w:t>
      </w:r>
    </w:p>
    <w:p w:rsidRPr="00FF6CA4" w:rsidR="00FF6CA4" w:rsidP="00FF6CA4" w:rsidRDefault="00FF6CA4" w14:paraId="5630BEB5" w14:textId="77777777">
      <w:pPr>
        <w:spacing w:line="360" w:lineRule="auto"/>
        <w:jc w:val="both"/>
        <w:rPr>
          <w:rFonts w:ascii="Arial" w:hAnsi="Arial" w:cs="Arial"/>
          <w:sz w:val="24"/>
          <w:szCs w:val="24"/>
        </w:rPr>
      </w:pPr>
      <w:r w:rsidRPr="00FF6CA4">
        <w:rPr>
          <w:rFonts w:ascii="Arial" w:hAnsi="Arial" w:cs="Arial"/>
          <w:sz w:val="24"/>
          <w:szCs w:val="24"/>
        </w:rPr>
        <w:t>The central implication for future policy is therefore that youth offending prevention should not be treated solely as a youth justice responsibility. Education, poverty reduction, health, housing, employment, family support, youth work and policing all contribute to the conditions in which children either become vulnerable to offending or are supported away from it. Prevention is therefore most likely to be effective when youth justice operates as one part of a wider whole-system approach.</w:t>
      </w:r>
    </w:p>
    <w:p w:rsidRPr="00FF6CA4" w:rsidR="00FF6CA4" w:rsidP="00FF6CA4" w:rsidRDefault="00FF6CA4" w14:paraId="27110D75" w14:textId="77777777">
      <w:pPr>
        <w:spacing w:line="360" w:lineRule="auto"/>
        <w:jc w:val="both"/>
        <w:rPr>
          <w:rFonts w:ascii="Arial" w:hAnsi="Arial" w:cs="Arial"/>
          <w:sz w:val="24"/>
          <w:szCs w:val="24"/>
        </w:rPr>
      </w:pPr>
      <w:r w:rsidRPr="00FF6CA4">
        <w:rPr>
          <w:rFonts w:ascii="Arial" w:hAnsi="Arial" w:cs="Arial"/>
          <w:sz w:val="24"/>
          <w:szCs w:val="24"/>
        </w:rPr>
        <w:t>The final judgement is consequently that post-pandemic prevention strategies in England and Wales have addressed educational disengagement and economic deprivation to a meaningful but incomplete extent. They have become increasingly responsive to these issues at the level of policy and practice, but the evidence is not yet sufficiently strong to conclude that they have substantially reduced the underlying inequalities themselves. International approaches reinforce the importance of early, integrated and child-centred intervention. Future policy should therefore move beyond measuring success through reductions in first-time entrants alone and develop stronger measures of educational engagement, socioeconomic outcomes, wellbeing and long-term desistance.</w:t>
      </w:r>
    </w:p>
    <w:p w:rsidRPr="00FF6CA4" w:rsidR="00FF6CA4" w:rsidP="00FF6CA4" w:rsidRDefault="00FF6CA4" w14:paraId="543E03F7" w14:textId="77777777">
      <w:pPr>
        <w:spacing w:line="360" w:lineRule="auto"/>
        <w:jc w:val="both"/>
        <w:rPr>
          <w:rFonts w:ascii="Arial" w:hAnsi="Arial" w:cs="Arial"/>
          <w:sz w:val="24"/>
          <w:szCs w:val="24"/>
        </w:rPr>
      </w:pPr>
      <w:r w:rsidRPr="00FF6CA4">
        <w:rPr>
          <w:rFonts w:ascii="Arial" w:hAnsi="Arial" w:cs="Arial"/>
          <w:sz w:val="24"/>
          <w:szCs w:val="24"/>
        </w:rPr>
        <w:t xml:space="preserve">This conclusion directly supports the research aim and all four objectives. It demonstrates that the post-pandemic system is more preventative and child-centred; critically evaluates the limits of evidence concerning effectiveness; establishes the continuing importance of educational disengagement and economic deprivation; and </w:t>
      </w:r>
      <w:r w:rsidRPr="00FF6CA4">
        <w:rPr>
          <w:rFonts w:ascii="Arial" w:hAnsi="Arial" w:cs="Arial"/>
          <w:sz w:val="24"/>
          <w:szCs w:val="24"/>
        </w:rPr>
        <w:lastRenderedPageBreak/>
        <w:t xml:space="preserve">identifies realistic principles from international approaches. Most importantly, it provides a clear answer to the research question rather than </w:t>
      </w:r>
      <w:proofErr w:type="gramStart"/>
      <w:r w:rsidRPr="00FF6CA4">
        <w:rPr>
          <w:rFonts w:ascii="Arial" w:hAnsi="Arial" w:cs="Arial"/>
          <w:sz w:val="24"/>
          <w:szCs w:val="24"/>
        </w:rPr>
        <w:t>assuming that</w:t>
      </w:r>
      <w:proofErr w:type="gramEnd"/>
      <w:r w:rsidRPr="00FF6CA4">
        <w:rPr>
          <w:rFonts w:ascii="Arial" w:hAnsi="Arial" w:cs="Arial"/>
          <w:sz w:val="24"/>
          <w:szCs w:val="24"/>
        </w:rPr>
        <w:t xml:space="preserve"> falling youth justice numbers automatically mean that prevention has succeeded.</w:t>
      </w:r>
    </w:p>
    <w:p w:rsidR="005533B5" w:rsidP="005533B5" w:rsidRDefault="005533B5" w14:paraId="3C8AA0AD" w14:textId="77777777">
      <w:pPr>
        <w:spacing w:line="360" w:lineRule="auto"/>
        <w:jc w:val="both"/>
        <w:rPr>
          <w:rFonts w:ascii="Arial" w:hAnsi="Arial" w:cs="Arial"/>
          <w:sz w:val="24"/>
          <w:szCs w:val="24"/>
        </w:rPr>
      </w:pPr>
    </w:p>
    <w:p w:rsidR="005533B5" w:rsidP="005533B5" w:rsidRDefault="005533B5" w14:paraId="78B2F576" w14:textId="77777777">
      <w:pPr>
        <w:spacing w:line="360" w:lineRule="auto"/>
        <w:jc w:val="both"/>
        <w:rPr>
          <w:rFonts w:ascii="Arial" w:hAnsi="Arial" w:cs="Arial"/>
          <w:sz w:val="24"/>
          <w:szCs w:val="24"/>
        </w:rPr>
      </w:pPr>
    </w:p>
    <w:p w:rsidRPr="00FF6CA4" w:rsidR="00FF6CA4" w:rsidP="1DB1D355" w:rsidRDefault="00FF6CA4" w14:paraId="275C91C9" w14:textId="02C00730">
      <w:pPr>
        <w:pStyle w:val="Normal"/>
        <w:suppressLineNumbers w:val="0"/>
        <w:bidi w:val="0"/>
        <w:spacing w:beforeAutospacing="on" w:afterAutospacing="on" w:line="240" w:lineRule="auto"/>
        <w:ind w:left="0" w:right="0"/>
        <w:jc w:val="left"/>
        <w:rPr>
          <w:rFonts w:ascii="Arial" w:hAnsi="Arial" w:eastAsia="Times New Roman" w:cs="Arial"/>
          <w:b w:val="1"/>
          <w:bCs w:val="1"/>
          <w:sz w:val="24"/>
          <w:szCs w:val="24"/>
          <w:lang w:eastAsia="en-GB"/>
        </w:rPr>
      </w:pPr>
      <w:r w:rsidRPr="00FF6CA4" w:rsidR="2402FB52">
        <w:rPr>
          <w:rFonts w:ascii="Arial" w:hAnsi="Arial" w:eastAsia="Times New Roman" w:cs="Arial"/>
          <w:b w:val="1"/>
          <w:bCs w:val="1"/>
          <w:kern w:val="0"/>
          <w:sz w:val="24"/>
          <w:szCs w:val="24"/>
          <w:lang w:eastAsia="en-GB"/>
          <w14:ligatures w14:val="none"/>
        </w:rPr>
        <w:t xml:space="preserve">Reference</w:t>
      </w:r>
      <w:r w:rsidRPr="1DB1D355" w:rsidR="60B214A0">
        <w:rPr>
          <w:rFonts w:ascii="Arial" w:hAnsi="Arial" w:eastAsia="Times New Roman" w:cs="Arial"/>
          <w:b w:val="1"/>
          <w:bCs w:val="1"/>
          <w:sz w:val="24"/>
          <w:szCs w:val="24"/>
          <w:lang w:eastAsia="en-GB"/>
        </w:rPr>
        <w:t xml:space="preserve"> list lit review </w:t>
      </w:r>
    </w:p>
    <w:p w:rsidRPr="00FF6CA4" w:rsidR="00FF6CA4" w:rsidP="00FF6CA4" w:rsidRDefault="00FF6CA4" w14:paraId="25518FFB"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Brierley, J., Bruell, A. and McDermott, R. (2024) ‘Barriers and opportunities: exploring the experiences of care-experienced and justice-involved young people in higher education’, </w:t>
      </w:r>
      <w:r w:rsidRPr="00FF6CA4">
        <w:rPr>
          <w:rFonts w:ascii="Arial" w:hAnsi="Arial" w:eastAsia="Times New Roman" w:cs="Arial"/>
          <w:i/>
          <w:iCs/>
          <w:kern w:val="0"/>
          <w:sz w:val="24"/>
          <w:szCs w:val="24"/>
          <w:lang w:eastAsia="en-GB"/>
          <w14:ligatures w14:val="none"/>
        </w:rPr>
        <w:t>Journal of Youth Studies</w:t>
      </w:r>
      <w:r w:rsidRPr="00FF6CA4">
        <w:rPr>
          <w:rFonts w:ascii="Arial" w:hAnsi="Arial" w:eastAsia="Times New Roman" w:cs="Arial"/>
          <w:kern w:val="0"/>
          <w:sz w:val="24"/>
          <w:szCs w:val="24"/>
          <w:lang w:eastAsia="en-GB"/>
          <w14:ligatures w14:val="none"/>
        </w:rPr>
        <w:t xml:space="preserve">. Available at: </w:t>
      </w:r>
      <w:hyperlink w:history="1" r:id="rId5">
        <w:r w:rsidRPr="00FF6CA4">
          <w:rPr>
            <w:rFonts w:ascii="Arial" w:hAnsi="Arial" w:eastAsia="Times New Roman" w:cs="Arial"/>
            <w:color w:val="0000FF"/>
            <w:kern w:val="0"/>
            <w:sz w:val="24"/>
            <w:szCs w:val="24"/>
            <w:u w:val="single"/>
            <w:lang w:eastAsia="en-GB"/>
            <w14:ligatures w14:val="none"/>
          </w:rPr>
          <w:t>Taylor &amp; Francis Online</w:t>
        </w:r>
      </w:hyperlink>
      <w:r w:rsidRPr="00FF6CA4">
        <w:rPr>
          <w:rFonts w:ascii="Arial" w:hAnsi="Arial" w:eastAsia="Times New Roman" w:cs="Arial"/>
          <w:kern w:val="0"/>
          <w:sz w:val="24"/>
          <w:szCs w:val="24"/>
          <w:lang w:eastAsia="en-GB"/>
          <w14:ligatures w14:val="none"/>
        </w:rPr>
        <w:t xml:space="preserve"> (Accessed: 24 August 2026).</w:t>
      </w:r>
    </w:p>
    <w:p w:rsidRPr="00FF6CA4" w:rsidR="00FF6CA4" w:rsidP="00FF6CA4" w:rsidRDefault="00FF6CA4" w14:paraId="450D605B"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Case, S. (2023) </w:t>
      </w:r>
      <w:r w:rsidRPr="00FF6CA4">
        <w:rPr>
          <w:rFonts w:ascii="Arial" w:hAnsi="Arial" w:eastAsia="Times New Roman" w:cs="Arial"/>
          <w:i/>
          <w:iCs/>
          <w:kern w:val="0"/>
          <w:sz w:val="24"/>
          <w:szCs w:val="24"/>
          <w:lang w:eastAsia="en-GB"/>
          <w14:ligatures w14:val="none"/>
        </w:rPr>
        <w:t>Child First: developing a strengths-based approach to youth justice</w:t>
      </w:r>
      <w:r w:rsidRPr="00FF6CA4">
        <w:rPr>
          <w:rFonts w:ascii="Arial" w:hAnsi="Arial" w:eastAsia="Times New Roman" w:cs="Arial"/>
          <w:kern w:val="0"/>
          <w:sz w:val="24"/>
          <w:szCs w:val="24"/>
          <w:lang w:eastAsia="en-GB"/>
          <w14:ligatures w14:val="none"/>
        </w:rPr>
        <w:t>. London: Routledge.</w:t>
      </w:r>
    </w:p>
    <w:p w:rsidRPr="00FF6CA4" w:rsidR="00FF6CA4" w:rsidP="00FF6CA4" w:rsidRDefault="00FF6CA4" w14:paraId="2D366A89"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Case, S., Browning, A. and Hampson, K. (2024) ‘Child First in youth justice: implementation, tensions and opportunities’, </w:t>
      </w:r>
      <w:r w:rsidRPr="00FF6CA4">
        <w:rPr>
          <w:rFonts w:ascii="Arial" w:hAnsi="Arial" w:eastAsia="Times New Roman" w:cs="Arial"/>
          <w:i/>
          <w:iCs/>
          <w:kern w:val="0"/>
          <w:sz w:val="24"/>
          <w:szCs w:val="24"/>
          <w:lang w:eastAsia="en-GB"/>
          <w14:ligatures w14:val="none"/>
        </w:rPr>
        <w:t>Youth Justice</w:t>
      </w:r>
      <w:r w:rsidRPr="00FF6CA4">
        <w:rPr>
          <w:rFonts w:ascii="Arial" w:hAnsi="Arial" w:eastAsia="Times New Roman" w:cs="Arial"/>
          <w:kern w:val="0"/>
          <w:sz w:val="24"/>
          <w:szCs w:val="24"/>
          <w:lang w:eastAsia="en-GB"/>
          <w14:ligatures w14:val="none"/>
        </w:rPr>
        <w:t xml:space="preserve">. Available at: </w:t>
      </w:r>
      <w:hyperlink w:history="1" r:id="rId6">
        <w:r w:rsidRPr="00FF6CA4">
          <w:rPr>
            <w:rFonts w:ascii="Arial" w:hAnsi="Arial" w:eastAsia="Times New Roman" w:cs="Arial"/>
            <w:color w:val="0000FF"/>
            <w:kern w:val="0"/>
            <w:sz w:val="24"/>
            <w:szCs w:val="24"/>
            <w:u w:val="single"/>
            <w:lang w:eastAsia="en-GB"/>
            <w14:ligatures w14:val="none"/>
          </w:rPr>
          <w:t>SAGE Journals</w:t>
        </w:r>
      </w:hyperlink>
      <w:r w:rsidRPr="00FF6CA4">
        <w:rPr>
          <w:rFonts w:ascii="Arial" w:hAnsi="Arial" w:eastAsia="Times New Roman" w:cs="Arial"/>
          <w:kern w:val="0"/>
          <w:sz w:val="24"/>
          <w:szCs w:val="24"/>
          <w:lang w:eastAsia="en-GB"/>
          <w14:ligatures w14:val="none"/>
        </w:rPr>
        <w:t xml:space="preserve"> (Accessed: 26 August 2026).</w:t>
      </w:r>
    </w:p>
    <w:p w:rsidRPr="00FF6CA4" w:rsidR="00FF6CA4" w:rsidP="00FF6CA4" w:rsidRDefault="00FF6CA4" w14:paraId="1BA1DDB1"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Case, S. and Hazel, N. (eds.) (2023) </w:t>
      </w:r>
      <w:r w:rsidRPr="00FF6CA4">
        <w:rPr>
          <w:rFonts w:ascii="Arial" w:hAnsi="Arial" w:eastAsia="Times New Roman" w:cs="Arial"/>
          <w:i/>
          <w:iCs/>
          <w:kern w:val="0"/>
          <w:sz w:val="24"/>
          <w:szCs w:val="24"/>
          <w:lang w:eastAsia="en-GB"/>
          <w14:ligatures w14:val="none"/>
        </w:rPr>
        <w:t>Child First: developing a new approach to youth justice</w:t>
      </w:r>
      <w:r w:rsidRPr="00FF6CA4">
        <w:rPr>
          <w:rFonts w:ascii="Arial" w:hAnsi="Arial" w:eastAsia="Times New Roman" w:cs="Arial"/>
          <w:kern w:val="0"/>
          <w:sz w:val="24"/>
          <w:szCs w:val="24"/>
          <w:lang w:eastAsia="en-GB"/>
          <w14:ligatures w14:val="none"/>
        </w:rPr>
        <w:t>. London: Routledge.</w:t>
      </w:r>
    </w:p>
    <w:p w:rsidRPr="00FF6CA4" w:rsidR="00FF6CA4" w:rsidP="00FF6CA4" w:rsidRDefault="00FF6CA4" w14:paraId="2BC29390"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College of Policing (2023) </w:t>
      </w:r>
      <w:r w:rsidRPr="00FF6CA4">
        <w:rPr>
          <w:rFonts w:ascii="Arial" w:hAnsi="Arial" w:eastAsia="Times New Roman" w:cs="Arial"/>
          <w:i/>
          <w:iCs/>
          <w:kern w:val="0"/>
          <w:sz w:val="24"/>
          <w:szCs w:val="24"/>
          <w:lang w:eastAsia="en-GB"/>
          <w14:ligatures w14:val="none"/>
        </w:rPr>
        <w:t>Policing children and young people</w:t>
      </w:r>
      <w:r w:rsidRPr="00FF6CA4">
        <w:rPr>
          <w:rFonts w:ascii="Arial" w:hAnsi="Arial" w:eastAsia="Times New Roman" w:cs="Arial"/>
          <w:kern w:val="0"/>
          <w:sz w:val="24"/>
          <w:szCs w:val="24"/>
          <w:lang w:eastAsia="en-GB"/>
          <w14:ligatures w14:val="none"/>
        </w:rPr>
        <w:t xml:space="preserve">. Available at: </w:t>
      </w:r>
      <w:hyperlink w:history="1" r:id="rId7">
        <w:r w:rsidRPr="00FF6CA4">
          <w:rPr>
            <w:rFonts w:ascii="Arial" w:hAnsi="Arial" w:eastAsia="Times New Roman" w:cs="Arial"/>
            <w:color w:val="0000FF"/>
            <w:kern w:val="0"/>
            <w:sz w:val="24"/>
            <w:szCs w:val="24"/>
            <w:u w:val="single"/>
            <w:lang w:eastAsia="en-GB"/>
            <w14:ligatures w14:val="none"/>
          </w:rPr>
          <w:t>College of Policing</w:t>
        </w:r>
      </w:hyperlink>
      <w:r w:rsidRPr="00FF6CA4">
        <w:rPr>
          <w:rFonts w:ascii="Arial" w:hAnsi="Arial" w:eastAsia="Times New Roman" w:cs="Arial"/>
          <w:kern w:val="0"/>
          <w:sz w:val="24"/>
          <w:szCs w:val="24"/>
          <w:lang w:eastAsia="en-GB"/>
          <w14:ligatures w14:val="none"/>
        </w:rPr>
        <w:t xml:space="preserve"> (Accessed: 23 July 2026).</w:t>
      </w:r>
    </w:p>
    <w:p w:rsidRPr="00FF6CA4" w:rsidR="00FF6CA4" w:rsidP="00FF6CA4" w:rsidRDefault="00FF6CA4" w14:paraId="62A3C0FE"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Crest Advisory (2025) </w:t>
      </w:r>
      <w:r w:rsidRPr="00FF6CA4">
        <w:rPr>
          <w:rFonts w:ascii="Arial" w:hAnsi="Arial" w:eastAsia="Times New Roman" w:cs="Arial"/>
          <w:i/>
          <w:iCs/>
          <w:kern w:val="0"/>
          <w:sz w:val="24"/>
          <w:szCs w:val="24"/>
          <w:lang w:eastAsia="en-GB"/>
          <w14:ligatures w14:val="none"/>
        </w:rPr>
        <w:t>Child First: research into implementation and impact</w:t>
      </w:r>
      <w:r w:rsidRPr="00FF6CA4">
        <w:rPr>
          <w:rFonts w:ascii="Arial" w:hAnsi="Arial" w:eastAsia="Times New Roman" w:cs="Arial"/>
          <w:kern w:val="0"/>
          <w:sz w:val="24"/>
          <w:szCs w:val="24"/>
          <w:lang w:eastAsia="en-GB"/>
          <w14:ligatures w14:val="none"/>
        </w:rPr>
        <w:t xml:space="preserve">. London: Youth Justice Board. Available at: </w:t>
      </w:r>
      <w:hyperlink w:history="1" r:id="rId8">
        <w:r w:rsidRPr="00FF6CA4">
          <w:rPr>
            <w:rFonts w:ascii="Arial" w:hAnsi="Arial" w:eastAsia="Times New Roman" w:cs="Arial"/>
            <w:color w:val="0000FF"/>
            <w:kern w:val="0"/>
            <w:sz w:val="24"/>
            <w:szCs w:val="24"/>
            <w:u w:val="single"/>
            <w:lang w:eastAsia="en-GB"/>
            <w14:ligatures w14:val="none"/>
          </w:rPr>
          <w:t>Youth Justice Board / GOV.UK</w:t>
        </w:r>
      </w:hyperlink>
      <w:r w:rsidRPr="00FF6CA4">
        <w:rPr>
          <w:rFonts w:ascii="Arial" w:hAnsi="Arial" w:eastAsia="Times New Roman" w:cs="Arial"/>
          <w:kern w:val="0"/>
          <w:sz w:val="24"/>
          <w:szCs w:val="24"/>
          <w:lang w:eastAsia="en-GB"/>
          <w14:ligatures w14:val="none"/>
        </w:rPr>
        <w:t xml:space="preserve"> (Accessed: 18 August 2026).</w:t>
      </w:r>
    </w:p>
    <w:p w:rsidRPr="00FF6CA4" w:rsidR="00FF6CA4" w:rsidP="00FF6CA4" w:rsidRDefault="00FF6CA4" w14:paraId="3F2FCDA1"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Department for Education (2023) </w:t>
      </w:r>
      <w:r w:rsidRPr="00FF6CA4">
        <w:rPr>
          <w:rFonts w:ascii="Arial" w:hAnsi="Arial" w:eastAsia="Times New Roman" w:cs="Arial"/>
          <w:i/>
          <w:iCs/>
          <w:kern w:val="0"/>
          <w:sz w:val="24"/>
          <w:szCs w:val="24"/>
          <w:lang w:eastAsia="en-GB"/>
          <w14:ligatures w14:val="none"/>
        </w:rPr>
        <w:t>SAFE Taskforces: guidance for schools and local authorities</w:t>
      </w:r>
      <w:r w:rsidRPr="00FF6CA4">
        <w:rPr>
          <w:rFonts w:ascii="Arial" w:hAnsi="Arial" w:eastAsia="Times New Roman" w:cs="Arial"/>
          <w:kern w:val="0"/>
          <w:sz w:val="24"/>
          <w:szCs w:val="24"/>
          <w:lang w:eastAsia="en-GB"/>
          <w14:ligatures w14:val="none"/>
        </w:rPr>
        <w:t xml:space="preserve">. London: Department for Education. Available at: </w:t>
      </w:r>
      <w:hyperlink w:history="1" r:id="rId9">
        <w:r w:rsidRPr="00FF6CA4">
          <w:rPr>
            <w:rFonts w:ascii="Arial" w:hAnsi="Arial" w:eastAsia="Times New Roman" w:cs="Arial"/>
            <w:color w:val="0000FF"/>
            <w:kern w:val="0"/>
            <w:sz w:val="24"/>
            <w:szCs w:val="24"/>
            <w:u w:val="single"/>
            <w:lang w:eastAsia="en-GB"/>
            <w14:ligatures w14:val="none"/>
          </w:rPr>
          <w:t>GOV.UK</w:t>
        </w:r>
      </w:hyperlink>
      <w:r w:rsidRPr="00FF6CA4">
        <w:rPr>
          <w:rFonts w:ascii="Arial" w:hAnsi="Arial" w:eastAsia="Times New Roman" w:cs="Arial"/>
          <w:kern w:val="0"/>
          <w:sz w:val="24"/>
          <w:szCs w:val="24"/>
          <w:lang w:eastAsia="en-GB"/>
          <w14:ligatures w14:val="none"/>
        </w:rPr>
        <w:t xml:space="preserve"> (Accessed: 25 July 2026).</w:t>
      </w:r>
    </w:p>
    <w:p w:rsidRPr="00FF6CA4" w:rsidR="00FF6CA4" w:rsidP="00FF6CA4" w:rsidRDefault="00FF6CA4" w14:paraId="27F06EE9"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Department for Education (2025) </w:t>
      </w:r>
      <w:r w:rsidRPr="00FF6CA4">
        <w:rPr>
          <w:rFonts w:ascii="Arial" w:hAnsi="Arial" w:eastAsia="Times New Roman" w:cs="Arial"/>
          <w:i/>
          <w:iCs/>
          <w:kern w:val="0"/>
          <w:sz w:val="24"/>
          <w:szCs w:val="24"/>
          <w:lang w:eastAsia="en-GB"/>
          <w14:ligatures w14:val="none"/>
        </w:rPr>
        <w:t>Suspensions and permanent exclusions in England: 2023 to 2024</w:t>
      </w:r>
      <w:r w:rsidRPr="00FF6CA4">
        <w:rPr>
          <w:rFonts w:ascii="Arial" w:hAnsi="Arial" w:eastAsia="Times New Roman" w:cs="Arial"/>
          <w:kern w:val="0"/>
          <w:sz w:val="24"/>
          <w:szCs w:val="24"/>
          <w:lang w:eastAsia="en-GB"/>
          <w14:ligatures w14:val="none"/>
        </w:rPr>
        <w:t xml:space="preserve">. London: Department for Education. Available at: </w:t>
      </w:r>
      <w:hyperlink w:history="1" r:id="rId10">
        <w:r w:rsidRPr="00FF6CA4">
          <w:rPr>
            <w:rFonts w:ascii="Arial" w:hAnsi="Arial" w:eastAsia="Times New Roman" w:cs="Arial"/>
            <w:color w:val="0000FF"/>
            <w:kern w:val="0"/>
            <w:sz w:val="24"/>
            <w:szCs w:val="24"/>
            <w:u w:val="single"/>
            <w:lang w:eastAsia="en-GB"/>
            <w14:ligatures w14:val="none"/>
          </w:rPr>
          <w:t>GOV.UK – Suspensions and permanent exclusions</w:t>
        </w:r>
      </w:hyperlink>
      <w:r w:rsidRPr="00FF6CA4">
        <w:rPr>
          <w:rFonts w:ascii="Arial" w:hAnsi="Arial" w:eastAsia="Times New Roman" w:cs="Arial"/>
          <w:kern w:val="0"/>
          <w:sz w:val="24"/>
          <w:szCs w:val="24"/>
          <w:lang w:eastAsia="en-GB"/>
          <w14:ligatures w14:val="none"/>
        </w:rPr>
        <w:t xml:space="preserve"> (Accessed: 30 July 2026).</w:t>
      </w:r>
    </w:p>
    <w:p w:rsidRPr="00FF6CA4" w:rsidR="00FF6CA4" w:rsidP="00FF6CA4" w:rsidRDefault="00FF6CA4" w14:paraId="4DDB96D1"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Department for Education (2026) </w:t>
      </w:r>
      <w:r w:rsidRPr="00FF6CA4">
        <w:rPr>
          <w:rFonts w:ascii="Arial" w:hAnsi="Arial" w:eastAsia="Times New Roman" w:cs="Arial"/>
          <w:i/>
          <w:iCs/>
          <w:kern w:val="0"/>
          <w:sz w:val="24"/>
          <w:szCs w:val="24"/>
          <w:lang w:eastAsia="en-GB"/>
          <w14:ligatures w14:val="none"/>
        </w:rPr>
        <w:t>Pupil absence in schools in England: 2024 to 2025</w:t>
      </w:r>
      <w:r w:rsidRPr="00FF6CA4">
        <w:rPr>
          <w:rFonts w:ascii="Arial" w:hAnsi="Arial" w:eastAsia="Times New Roman" w:cs="Arial"/>
          <w:kern w:val="0"/>
          <w:sz w:val="24"/>
          <w:szCs w:val="24"/>
          <w:lang w:eastAsia="en-GB"/>
          <w14:ligatures w14:val="none"/>
        </w:rPr>
        <w:t xml:space="preserve">. London: Department for Education. Available at: </w:t>
      </w:r>
      <w:hyperlink w:history="1" r:id="rId11">
        <w:r w:rsidRPr="00FF6CA4">
          <w:rPr>
            <w:rFonts w:ascii="Arial" w:hAnsi="Arial" w:eastAsia="Times New Roman" w:cs="Arial"/>
            <w:color w:val="0000FF"/>
            <w:kern w:val="0"/>
            <w:sz w:val="24"/>
            <w:szCs w:val="24"/>
            <w:u w:val="single"/>
            <w:lang w:eastAsia="en-GB"/>
            <w14:ligatures w14:val="none"/>
          </w:rPr>
          <w:t>GOV.UK – Pupil absence 2024/25</w:t>
        </w:r>
      </w:hyperlink>
      <w:r w:rsidRPr="00FF6CA4">
        <w:rPr>
          <w:rFonts w:ascii="Arial" w:hAnsi="Arial" w:eastAsia="Times New Roman" w:cs="Arial"/>
          <w:kern w:val="0"/>
          <w:sz w:val="24"/>
          <w:szCs w:val="24"/>
          <w:lang w:eastAsia="en-GB"/>
          <w14:ligatures w14:val="none"/>
        </w:rPr>
        <w:t xml:space="preserve"> (Accessed: 3 August 2026).</w:t>
      </w:r>
    </w:p>
    <w:p w:rsidRPr="00FF6CA4" w:rsidR="00FF6CA4" w:rsidP="00FF6CA4" w:rsidRDefault="00FF6CA4" w14:paraId="7C35B646"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Education Endowment Foundation (2022) </w:t>
      </w:r>
      <w:r w:rsidRPr="00FF6CA4">
        <w:rPr>
          <w:rFonts w:ascii="Arial" w:hAnsi="Arial" w:eastAsia="Times New Roman" w:cs="Arial"/>
          <w:i/>
          <w:iCs/>
          <w:kern w:val="0"/>
          <w:sz w:val="24"/>
          <w:szCs w:val="24"/>
          <w:lang w:eastAsia="en-GB"/>
          <w14:ligatures w14:val="none"/>
        </w:rPr>
        <w:t>Attendance interventions rapid evidence assessment</w:t>
      </w:r>
      <w:r w:rsidRPr="00FF6CA4">
        <w:rPr>
          <w:rFonts w:ascii="Arial" w:hAnsi="Arial" w:eastAsia="Times New Roman" w:cs="Arial"/>
          <w:kern w:val="0"/>
          <w:sz w:val="24"/>
          <w:szCs w:val="24"/>
          <w:lang w:eastAsia="en-GB"/>
          <w14:ligatures w14:val="none"/>
        </w:rPr>
        <w:t xml:space="preserve">. London: Education Endowment Foundation. Available at: </w:t>
      </w:r>
      <w:hyperlink w:history="1" r:id="rId12">
        <w:r w:rsidRPr="00FF6CA4">
          <w:rPr>
            <w:rFonts w:ascii="Arial" w:hAnsi="Arial" w:eastAsia="Times New Roman" w:cs="Arial"/>
            <w:color w:val="0000FF"/>
            <w:kern w:val="0"/>
            <w:sz w:val="24"/>
            <w:szCs w:val="24"/>
            <w:u w:val="single"/>
            <w:lang w:eastAsia="en-GB"/>
            <w14:ligatures w14:val="none"/>
          </w:rPr>
          <w:t>Education Endowment Foundation</w:t>
        </w:r>
      </w:hyperlink>
      <w:r w:rsidRPr="00FF6CA4">
        <w:rPr>
          <w:rFonts w:ascii="Arial" w:hAnsi="Arial" w:eastAsia="Times New Roman" w:cs="Arial"/>
          <w:kern w:val="0"/>
          <w:sz w:val="24"/>
          <w:szCs w:val="24"/>
          <w:lang w:eastAsia="en-GB"/>
          <w14:ligatures w14:val="none"/>
        </w:rPr>
        <w:t xml:space="preserve"> (Accessed: 22 July 2026).</w:t>
      </w:r>
    </w:p>
    <w:p w:rsidRPr="00FF6CA4" w:rsidR="00FF6CA4" w:rsidP="00FF6CA4" w:rsidRDefault="00FF6CA4" w14:paraId="339EA047"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lastRenderedPageBreak/>
        <w:t xml:space="preserve">Goldson, B. (2020) </w:t>
      </w:r>
      <w:r w:rsidRPr="00FF6CA4">
        <w:rPr>
          <w:rFonts w:ascii="Arial" w:hAnsi="Arial" w:eastAsia="Times New Roman" w:cs="Arial"/>
          <w:i/>
          <w:iCs/>
          <w:kern w:val="0"/>
          <w:sz w:val="24"/>
          <w:szCs w:val="24"/>
          <w:lang w:eastAsia="en-GB"/>
          <w14:ligatures w14:val="none"/>
        </w:rPr>
        <w:t>Youth justice: critical issues</w:t>
      </w:r>
      <w:r w:rsidRPr="00FF6CA4">
        <w:rPr>
          <w:rFonts w:ascii="Arial" w:hAnsi="Arial" w:eastAsia="Times New Roman" w:cs="Arial"/>
          <w:kern w:val="0"/>
          <w:sz w:val="24"/>
          <w:szCs w:val="24"/>
          <w:lang w:eastAsia="en-GB"/>
          <w14:ligatures w14:val="none"/>
        </w:rPr>
        <w:t>. London: Routledge.</w:t>
      </w:r>
    </w:p>
    <w:p w:rsidRPr="00FF6CA4" w:rsidR="00FF6CA4" w:rsidP="00FF6CA4" w:rsidRDefault="00FF6CA4" w14:paraId="67779F94"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Hampson, K., Creaney, S. and Burns, S. (2024) ‘Child First and collaborative youth justice practice’, </w:t>
      </w:r>
      <w:r w:rsidRPr="00FF6CA4">
        <w:rPr>
          <w:rFonts w:ascii="Arial" w:hAnsi="Arial" w:eastAsia="Times New Roman" w:cs="Arial"/>
          <w:i/>
          <w:iCs/>
          <w:kern w:val="0"/>
          <w:sz w:val="24"/>
          <w:szCs w:val="24"/>
          <w:lang w:eastAsia="en-GB"/>
          <w14:ligatures w14:val="none"/>
        </w:rPr>
        <w:t>Youth Justice</w:t>
      </w:r>
      <w:r w:rsidRPr="00FF6CA4">
        <w:rPr>
          <w:rFonts w:ascii="Arial" w:hAnsi="Arial" w:eastAsia="Times New Roman" w:cs="Arial"/>
          <w:kern w:val="0"/>
          <w:sz w:val="24"/>
          <w:szCs w:val="24"/>
          <w:lang w:eastAsia="en-GB"/>
          <w14:ligatures w14:val="none"/>
        </w:rPr>
        <w:t xml:space="preserve">. Available at: </w:t>
      </w:r>
      <w:hyperlink w:history="1" r:id="rId13">
        <w:r w:rsidRPr="00FF6CA4">
          <w:rPr>
            <w:rFonts w:ascii="Arial" w:hAnsi="Arial" w:eastAsia="Times New Roman" w:cs="Arial"/>
            <w:color w:val="0000FF"/>
            <w:kern w:val="0"/>
            <w:sz w:val="24"/>
            <w:szCs w:val="24"/>
            <w:u w:val="single"/>
            <w:lang w:eastAsia="en-GB"/>
            <w14:ligatures w14:val="none"/>
          </w:rPr>
          <w:t>SAGE Journals</w:t>
        </w:r>
      </w:hyperlink>
      <w:r w:rsidRPr="00FF6CA4">
        <w:rPr>
          <w:rFonts w:ascii="Arial" w:hAnsi="Arial" w:eastAsia="Times New Roman" w:cs="Arial"/>
          <w:kern w:val="0"/>
          <w:sz w:val="24"/>
          <w:szCs w:val="24"/>
          <w:lang w:eastAsia="en-GB"/>
          <w14:ligatures w14:val="none"/>
        </w:rPr>
        <w:t xml:space="preserve"> (Accessed: 21 August 2026).</w:t>
      </w:r>
    </w:p>
    <w:p w:rsidRPr="00FF6CA4" w:rsidR="00FF6CA4" w:rsidP="00FF6CA4" w:rsidRDefault="00FF6CA4" w14:paraId="7331DE28"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Home Office (2023) </w:t>
      </w:r>
      <w:r w:rsidRPr="00FF6CA4">
        <w:rPr>
          <w:rFonts w:ascii="Arial" w:hAnsi="Arial" w:eastAsia="Times New Roman" w:cs="Arial"/>
          <w:i/>
          <w:iCs/>
          <w:kern w:val="0"/>
          <w:sz w:val="24"/>
          <w:szCs w:val="24"/>
          <w:lang w:eastAsia="en-GB"/>
          <w14:ligatures w14:val="none"/>
        </w:rPr>
        <w:t>Serious Violence Duty: statutory guidance</w:t>
      </w:r>
      <w:r w:rsidRPr="00FF6CA4">
        <w:rPr>
          <w:rFonts w:ascii="Arial" w:hAnsi="Arial" w:eastAsia="Times New Roman" w:cs="Arial"/>
          <w:kern w:val="0"/>
          <w:sz w:val="24"/>
          <w:szCs w:val="24"/>
          <w:lang w:eastAsia="en-GB"/>
          <w14:ligatures w14:val="none"/>
        </w:rPr>
        <w:t xml:space="preserve">. London: Home Office. Available at: </w:t>
      </w:r>
      <w:hyperlink w:history="1" r:id="rId14">
        <w:r w:rsidRPr="00FF6CA4">
          <w:rPr>
            <w:rFonts w:ascii="Arial" w:hAnsi="Arial" w:eastAsia="Times New Roman" w:cs="Arial"/>
            <w:color w:val="0000FF"/>
            <w:kern w:val="0"/>
            <w:sz w:val="24"/>
            <w:szCs w:val="24"/>
            <w:u w:val="single"/>
            <w:lang w:eastAsia="en-GB"/>
            <w14:ligatures w14:val="none"/>
          </w:rPr>
          <w:t>GOV.UK – Serious Violence Duty</w:t>
        </w:r>
      </w:hyperlink>
      <w:r w:rsidRPr="00FF6CA4">
        <w:rPr>
          <w:rFonts w:ascii="Arial" w:hAnsi="Arial" w:eastAsia="Times New Roman" w:cs="Arial"/>
          <w:kern w:val="0"/>
          <w:sz w:val="24"/>
          <w:szCs w:val="24"/>
          <w:lang w:eastAsia="en-GB"/>
          <w14:ligatures w14:val="none"/>
        </w:rPr>
        <w:t xml:space="preserve"> (Accessed: 27 July 2026).</w:t>
      </w:r>
    </w:p>
    <w:p w:rsidRPr="00FF6CA4" w:rsidR="00FF6CA4" w:rsidP="00FF6CA4" w:rsidRDefault="00FF6CA4" w14:paraId="5B24AC3A"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Independent Children's Monitor (2025) </w:t>
      </w:r>
      <w:r w:rsidRPr="00FF6CA4">
        <w:rPr>
          <w:rFonts w:ascii="Arial" w:hAnsi="Arial" w:eastAsia="Times New Roman" w:cs="Arial"/>
          <w:i/>
          <w:iCs/>
          <w:kern w:val="0"/>
          <w:sz w:val="24"/>
          <w:szCs w:val="24"/>
          <w:lang w:eastAsia="en-GB"/>
          <w14:ligatures w14:val="none"/>
        </w:rPr>
        <w:t>Youth justice and family group conferences: outcomes and participation</w:t>
      </w:r>
      <w:r w:rsidRPr="00FF6CA4">
        <w:rPr>
          <w:rFonts w:ascii="Arial" w:hAnsi="Arial" w:eastAsia="Times New Roman" w:cs="Arial"/>
          <w:kern w:val="0"/>
          <w:sz w:val="24"/>
          <w:szCs w:val="24"/>
          <w:lang w:eastAsia="en-GB"/>
          <w14:ligatures w14:val="none"/>
        </w:rPr>
        <w:t xml:space="preserve">. Wellington: Independent Children's Monitor. Available at: </w:t>
      </w:r>
      <w:hyperlink w:history="1" r:id="rId15">
        <w:r w:rsidRPr="00FF6CA4">
          <w:rPr>
            <w:rFonts w:ascii="Arial" w:hAnsi="Arial" w:eastAsia="Times New Roman" w:cs="Arial"/>
            <w:color w:val="0000FF"/>
            <w:kern w:val="0"/>
            <w:sz w:val="24"/>
            <w:szCs w:val="24"/>
            <w:u w:val="single"/>
            <w:lang w:eastAsia="en-GB"/>
            <w14:ligatures w14:val="none"/>
          </w:rPr>
          <w:t>Independent Children's Monitor</w:t>
        </w:r>
      </w:hyperlink>
      <w:r w:rsidRPr="00FF6CA4">
        <w:rPr>
          <w:rFonts w:ascii="Arial" w:hAnsi="Arial" w:eastAsia="Times New Roman" w:cs="Arial"/>
          <w:kern w:val="0"/>
          <w:sz w:val="24"/>
          <w:szCs w:val="24"/>
          <w:lang w:eastAsia="en-GB"/>
          <w14:ligatures w14:val="none"/>
        </w:rPr>
        <w:t xml:space="preserve"> (Accessed: 12 August 2026).</w:t>
      </w:r>
    </w:p>
    <w:p w:rsidRPr="00FF6CA4" w:rsidR="00FF6CA4" w:rsidP="00FF6CA4" w:rsidRDefault="00FF6CA4" w14:paraId="28F0051D"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Kennedy, M., Lightowler, C., Orr, D. and McIntosh, I. (2020) </w:t>
      </w:r>
      <w:r w:rsidRPr="00FF6CA4">
        <w:rPr>
          <w:rFonts w:ascii="Arial" w:hAnsi="Arial" w:eastAsia="Times New Roman" w:cs="Arial"/>
          <w:i/>
          <w:iCs/>
          <w:kern w:val="0"/>
          <w:sz w:val="24"/>
          <w:szCs w:val="24"/>
          <w:lang w:eastAsia="en-GB"/>
          <w14:ligatures w14:val="none"/>
        </w:rPr>
        <w:t>Youth justice in Wales: policy, practice and partnership</w:t>
      </w:r>
      <w:r w:rsidRPr="00FF6CA4">
        <w:rPr>
          <w:rFonts w:ascii="Arial" w:hAnsi="Arial" w:eastAsia="Times New Roman" w:cs="Arial"/>
          <w:kern w:val="0"/>
          <w:sz w:val="24"/>
          <w:szCs w:val="24"/>
          <w:lang w:eastAsia="en-GB"/>
          <w14:ligatures w14:val="none"/>
        </w:rPr>
        <w:t>. Cardiff: Welsh Government.</w:t>
      </w:r>
    </w:p>
    <w:p w:rsidRPr="00FF6CA4" w:rsidR="00FF6CA4" w:rsidP="00FF6CA4" w:rsidRDefault="00FF6CA4" w14:paraId="1B00ED6C" w14:textId="77777777">
      <w:pPr>
        <w:spacing w:before="100" w:beforeAutospacing="1" w:after="100" w:afterAutospacing="1" w:line="240" w:lineRule="auto"/>
        <w:rPr>
          <w:rFonts w:ascii="Arial" w:hAnsi="Arial" w:eastAsia="Times New Roman" w:cs="Arial"/>
          <w:kern w:val="0"/>
          <w:sz w:val="24"/>
          <w:szCs w:val="24"/>
          <w:lang w:eastAsia="en-GB"/>
          <w14:ligatures w14:val="none"/>
        </w:rPr>
      </w:pPr>
      <w:proofErr w:type="spellStart"/>
      <w:r w:rsidRPr="00FF6CA4">
        <w:rPr>
          <w:rFonts w:ascii="Arial" w:hAnsi="Arial" w:eastAsia="Times New Roman" w:cs="Arial"/>
          <w:kern w:val="0"/>
          <w:sz w:val="24"/>
          <w:szCs w:val="24"/>
          <w:lang w:eastAsia="en-GB"/>
          <w14:ligatures w14:val="none"/>
        </w:rPr>
        <w:t>Kraaykamp</w:t>
      </w:r>
      <w:proofErr w:type="spellEnd"/>
      <w:r w:rsidRPr="00FF6CA4">
        <w:rPr>
          <w:rFonts w:ascii="Arial" w:hAnsi="Arial" w:eastAsia="Times New Roman" w:cs="Arial"/>
          <w:kern w:val="0"/>
          <w:sz w:val="24"/>
          <w:szCs w:val="24"/>
          <w:lang w:eastAsia="en-GB"/>
          <w14:ligatures w14:val="none"/>
        </w:rPr>
        <w:t xml:space="preserve">, G., </w:t>
      </w:r>
      <w:proofErr w:type="spellStart"/>
      <w:r w:rsidRPr="00FF6CA4">
        <w:rPr>
          <w:rFonts w:ascii="Arial" w:hAnsi="Arial" w:eastAsia="Times New Roman" w:cs="Arial"/>
          <w:kern w:val="0"/>
          <w:sz w:val="24"/>
          <w:szCs w:val="24"/>
          <w:lang w:eastAsia="en-GB"/>
          <w14:ligatures w14:val="none"/>
        </w:rPr>
        <w:t>Notten</w:t>
      </w:r>
      <w:proofErr w:type="spellEnd"/>
      <w:r w:rsidRPr="00FF6CA4">
        <w:rPr>
          <w:rFonts w:ascii="Arial" w:hAnsi="Arial" w:eastAsia="Times New Roman" w:cs="Arial"/>
          <w:kern w:val="0"/>
          <w:sz w:val="24"/>
          <w:szCs w:val="24"/>
          <w:lang w:eastAsia="en-GB"/>
          <w14:ligatures w14:val="none"/>
        </w:rPr>
        <w:t xml:space="preserve">, N., Besemer, S. and van de </w:t>
      </w:r>
      <w:proofErr w:type="spellStart"/>
      <w:r w:rsidRPr="00FF6CA4">
        <w:rPr>
          <w:rFonts w:ascii="Arial" w:hAnsi="Arial" w:eastAsia="Times New Roman" w:cs="Arial"/>
          <w:kern w:val="0"/>
          <w:sz w:val="24"/>
          <w:szCs w:val="24"/>
          <w:lang w:eastAsia="en-GB"/>
          <w14:ligatures w14:val="none"/>
        </w:rPr>
        <w:t>Werfhorst</w:t>
      </w:r>
      <w:proofErr w:type="spellEnd"/>
      <w:r w:rsidRPr="00FF6CA4">
        <w:rPr>
          <w:rFonts w:ascii="Arial" w:hAnsi="Arial" w:eastAsia="Times New Roman" w:cs="Arial"/>
          <w:kern w:val="0"/>
          <w:sz w:val="24"/>
          <w:szCs w:val="24"/>
          <w:lang w:eastAsia="en-GB"/>
          <w14:ligatures w14:val="none"/>
        </w:rPr>
        <w:t xml:space="preserve">, H. (2021) ‘Poverty and adolescent development: the role of neighbourhood and school context’, </w:t>
      </w:r>
      <w:r w:rsidRPr="00FF6CA4">
        <w:rPr>
          <w:rFonts w:ascii="Arial" w:hAnsi="Arial" w:eastAsia="Times New Roman" w:cs="Arial"/>
          <w:i/>
          <w:iCs/>
          <w:kern w:val="0"/>
          <w:sz w:val="24"/>
          <w:szCs w:val="24"/>
          <w:lang w:eastAsia="en-GB"/>
          <w14:ligatures w14:val="none"/>
        </w:rPr>
        <w:t>Journal of Youth and Adolescence</w:t>
      </w:r>
      <w:r w:rsidRPr="00FF6CA4">
        <w:rPr>
          <w:rFonts w:ascii="Arial" w:hAnsi="Arial" w:eastAsia="Times New Roman" w:cs="Arial"/>
          <w:kern w:val="0"/>
          <w:sz w:val="24"/>
          <w:szCs w:val="24"/>
          <w:lang w:eastAsia="en-GB"/>
          <w14:ligatures w14:val="none"/>
        </w:rPr>
        <w:t>.</w:t>
      </w:r>
    </w:p>
    <w:p w:rsidRPr="00FF6CA4" w:rsidR="00FF6CA4" w:rsidP="00FF6CA4" w:rsidRDefault="00FF6CA4" w14:paraId="0DA11171"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Ministry of Justice (2023) </w:t>
      </w:r>
      <w:r w:rsidRPr="00FF6CA4">
        <w:rPr>
          <w:rFonts w:ascii="Arial" w:hAnsi="Arial" w:eastAsia="Times New Roman" w:cs="Arial"/>
          <w:i/>
          <w:iCs/>
          <w:kern w:val="0"/>
          <w:sz w:val="24"/>
          <w:szCs w:val="24"/>
          <w:lang w:eastAsia="en-GB"/>
          <w14:ligatures w14:val="none"/>
        </w:rPr>
        <w:t>Turnaround: early intervention programme for children</w:t>
      </w:r>
      <w:r w:rsidRPr="00FF6CA4">
        <w:rPr>
          <w:rFonts w:ascii="Arial" w:hAnsi="Arial" w:eastAsia="Times New Roman" w:cs="Arial"/>
          <w:kern w:val="0"/>
          <w:sz w:val="24"/>
          <w:szCs w:val="24"/>
          <w:lang w:eastAsia="en-GB"/>
          <w14:ligatures w14:val="none"/>
        </w:rPr>
        <w:t xml:space="preserve">. London: Ministry of Justice. Available at: </w:t>
      </w:r>
      <w:hyperlink w:history="1" r:id="rId16">
        <w:r w:rsidRPr="00FF6CA4">
          <w:rPr>
            <w:rFonts w:ascii="Arial" w:hAnsi="Arial" w:eastAsia="Times New Roman" w:cs="Arial"/>
            <w:color w:val="0000FF"/>
            <w:kern w:val="0"/>
            <w:sz w:val="24"/>
            <w:szCs w:val="24"/>
            <w:u w:val="single"/>
            <w:lang w:eastAsia="en-GB"/>
            <w14:ligatures w14:val="none"/>
          </w:rPr>
          <w:t>GOV.UK – Turnaround Programme</w:t>
        </w:r>
      </w:hyperlink>
      <w:r w:rsidRPr="00FF6CA4">
        <w:rPr>
          <w:rFonts w:ascii="Arial" w:hAnsi="Arial" w:eastAsia="Times New Roman" w:cs="Arial"/>
          <w:kern w:val="0"/>
          <w:sz w:val="24"/>
          <w:szCs w:val="24"/>
          <w:lang w:eastAsia="en-GB"/>
          <w14:ligatures w14:val="none"/>
        </w:rPr>
        <w:t xml:space="preserve"> (Accessed: 5 August 2026).</w:t>
      </w:r>
    </w:p>
    <w:p w:rsidRPr="00FF6CA4" w:rsidR="00FF6CA4" w:rsidP="00FF6CA4" w:rsidRDefault="00FF6CA4" w14:paraId="7726E148"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Ministry of Justice (2026) </w:t>
      </w:r>
      <w:r w:rsidRPr="00FF6CA4">
        <w:rPr>
          <w:rFonts w:ascii="Arial" w:hAnsi="Arial" w:eastAsia="Times New Roman" w:cs="Arial"/>
          <w:i/>
          <w:iCs/>
          <w:kern w:val="0"/>
          <w:sz w:val="24"/>
          <w:szCs w:val="24"/>
          <w:lang w:eastAsia="en-GB"/>
          <w14:ligatures w14:val="none"/>
        </w:rPr>
        <w:t>Turnaround Programme independent process and implementation evaluation: final report</w:t>
      </w:r>
      <w:r w:rsidRPr="00FF6CA4">
        <w:rPr>
          <w:rFonts w:ascii="Arial" w:hAnsi="Arial" w:eastAsia="Times New Roman" w:cs="Arial"/>
          <w:kern w:val="0"/>
          <w:sz w:val="24"/>
          <w:szCs w:val="24"/>
          <w:lang w:eastAsia="en-GB"/>
          <w14:ligatures w14:val="none"/>
        </w:rPr>
        <w:t xml:space="preserve">. London: Ministry of Justice. Available at: </w:t>
      </w:r>
      <w:hyperlink w:history="1" r:id="rId17">
        <w:r w:rsidRPr="00FF6CA4">
          <w:rPr>
            <w:rFonts w:ascii="Arial" w:hAnsi="Arial" w:eastAsia="Times New Roman" w:cs="Arial"/>
            <w:color w:val="0000FF"/>
            <w:kern w:val="0"/>
            <w:sz w:val="24"/>
            <w:szCs w:val="24"/>
            <w:u w:val="single"/>
            <w:lang w:eastAsia="en-GB"/>
            <w14:ligatures w14:val="none"/>
          </w:rPr>
          <w:t>GOV.UK – Turnaround evaluation</w:t>
        </w:r>
      </w:hyperlink>
      <w:r w:rsidRPr="00FF6CA4">
        <w:rPr>
          <w:rFonts w:ascii="Arial" w:hAnsi="Arial" w:eastAsia="Times New Roman" w:cs="Arial"/>
          <w:kern w:val="0"/>
          <w:sz w:val="24"/>
          <w:szCs w:val="24"/>
          <w:lang w:eastAsia="en-GB"/>
          <w14:ligatures w14:val="none"/>
        </w:rPr>
        <w:t xml:space="preserve"> (Accessed: 29 August 2026).</w:t>
      </w:r>
    </w:p>
    <w:p w:rsidRPr="00FF6CA4" w:rsidR="00FF6CA4" w:rsidP="00FF6CA4" w:rsidRDefault="00FF6CA4" w14:paraId="299D8111"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Nieuwenhuis, J., </w:t>
      </w:r>
      <w:proofErr w:type="spellStart"/>
      <w:r w:rsidRPr="00FF6CA4">
        <w:rPr>
          <w:rFonts w:ascii="Arial" w:hAnsi="Arial" w:eastAsia="Times New Roman" w:cs="Arial"/>
          <w:kern w:val="0"/>
          <w:sz w:val="24"/>
          <w:szCs w:val="24"/>
          <w:lang w:eastAsia="en-GB"/>
          <w14:ligatures w14:val="none"/>
        </w:rPr>
        <w:t>Kleinepier</w:t>
      </w:r>
      <w:proofErr w:type="spellEnd"/>
      <w:r w:rsidRPr="00FF6CA4">
        <w:rPr>
          <w:rFonts w:ascii="Arial" w:hAnsi="Arial" w:eastAsia="Times New Roman" w:cs="Arial"/>
          <w:kern w:val="0"/>
          <w:sz w:val="24"/>
          <w:szCs w:val="24"/>
          <w:lang w:eastAsia="en-GB"/>
          <w14:ligatures w14:val="none"/>
        </w:rPr>
        <w:t xml:space="preserve">, T. and van Ham, M. (2021) ‘Neighbourhood poverty, educational outcomes and adolescent development’, </w:t>
      </w:r>
      <w:r w:rsidRPr="00FF6CA4">
        <w:rPr>
          <w:rFonts w:ascii="Arial" w:hAnsi="Arial" w:eastAsia="Times New Roman" w:cs="Arial"/>
          <w:i/>
          <w:iCs/>
          <w:kern w:val="0"/>
          <w:sz w:val="24"/>
          <w:szCs w:val="24"/>
          <w:lang w:eastAsia="en-GB"/>
          <w14:ligatures w14:val="none"/>
        </w:rPr>
        <w:t>Journal of Educational Research</w:t>
      </w:r>
      <w:r w:rsidRPr="00FF6CA4">
        <w:rPr>
          <w:rFonts w:ascii="Arial" w:hAnsi="Arial" w:eastAsia="Times New Roman" w:cs="Arial"/>
          <w:kern w:val="0"/>
          <w:sz w:val="24"/>
          <w:szCs w:val="24"/>
          <w:lang w:eastAsia="en-GB"/>
          <w14:ligatures w14:val="none"/>
        </w:rPr>
        <w:t>.</w:t>
      </w:r>
    </w:p>
    <w:p w:rsidRPr="00FF6CA4" w:rsidR="00FF6CA4" w:rsidP="00FF6CA4" w:rsidRDefault="00FF6CA4" w14:paraId="1A6D3109" w14:textId="77777777">
      <w:pPr>
        <w:spacing w:before="100" w:beforeAutospacing="1" w:after="100" w:afterAutospacing="1" w:line="240" w:lineRule="auto"/>
        <w:rPr>
          <w:rFonts w:ascii="Arial" w:hAnsi="Arial" w:eastAsia="Times New Roman" w:cs="Arial"/>
          <w:kern w:val="0"/>
          <w:sz w:val="24"/>
          <w:szCs w:val="24"/>
          <w:lang w:eastAsia="en-GB"/>
          <w14:ligatures w14:val="none"/>
        </w:rPr>
      </w:pPr>
      <w:proofErr w:type="spellStart"/>
      <w:r w:rsidRPr="00FF6CA4">
        <w:rPr>
          <w:rFonts w:ascii="Arial" w:hAnsi="Arial" w:eastAsia="Times New Roman" w:cs="Arial"/>
          <w:kern w:val="0"/>
          <w:sz w:val="24"/>
          <w:szCs w:val="24"/>
          <w:lang w:eastAsia="en-GB"/>
          <w14:ligatures w14:val="none"/>
        </w:rPr>
        <w:t>Oranga</w:t>
      </w:r>
      <w:proofErr w:type="spellEnd"/>
      <w:r w:rsidRPr="00FF6CA4">
        <w:rPr>
          <w:rFonts w:ascii="Arial" w:hAnsi="Arial" w:eastAsia="Times New Roman" w:cs="Arial"/>
          <w:kern w:val="0"/>
          <w:sz w:val="24"/>
          <w:szCs w:val="24"/>
          <w:lang w:eastAsia="en-GB"/>
          <w14:ligatures w14:val="none"/>
        </w:rPr>
        <w:t xml:space="preserve"> Tamariki—Ministry for Children (2023) </w:t>
      </w:r>
      <w:r w:rsidRPr="00FF6CA4">
        <w:rPr>
          <w:rFonts w:ascii="Arial" w:hAnsi="Arial" w:eastAsia="Times New Roman" w:cs="Arial"/>
          <w:i/>
          <w:iCs/>
          <w:kern w:val="0"/>
          <w:sz w:val="24"/>
          <w:szCs w:val="24"/>
          <w:lang w:eastAsia="en-GB"/>
          <w14:ligatures w14:val="none"/>
        </w:rPr>
        <w:t>Family Group Conferences and youth justice: participation and outcomes</w:t>
      </w:r>
      <w:r w:rsidRPr="00FF6CA4">
        <w:rPr>
          <w:rFonts w:ascii="Arial" w:hAnsi="Arial" w:eastAsia="Times New Roman" w:cs="Arial"/>
          <w:kern w:val="0"/>
          <w:sz w:val="24"/>
          <w:szCs w:val="24"/>
          <w:lang w:eastAsia="en-GB"/>
          <w14:ligatures w14:val="none"/>
        </w:rPr>
        <w:t xml:space="preserve">. Wellington: </w:t>
      </w:r>
      <w:proofErr w:type="spellStart"/>
      <w:r w:rsidRPr="00FF6CA4">
        <w:rPr>
          <w:rFonts w:ascii="Arial" w:hAnsi="Arial" w:eastAsia="Times New Roman" w:cs="Arial"/>
          <w:kern w:val="0"/>
          <w:sz w:val="24"/>
          <w:szCs w:val="24"/>
          <w:lang w:eastAsia="en-GB"/>
          <w14:ligatures w14:val="none"/>
        </w:rPr>
        <w:t>Oranga</w:t>
      </w:r>
      <w:proofErr w:type="spellEnd"/>
      <w:r w:rsidRPr="00FF6CA4">
        <w:rPr>
          <w:rFonts w:ascii="Arial" w:hAnsi="Arial" w:eastAsia="Times New Roman" w:cs="Arial"/>
          <w:kern w:val="0"/>
          <w:sz w:val="24"/>
          <w:szCs w:val="24"/>
          <w:lang w:eastAsia="en-GB"/>
          <w14:ligatures w14:val="none"/>
        </w:rPr>
        <w:t xml:space="preserve"> Tamariki. Available at: </w:t>
      </w:r>
      <w:hyperlink w:history="1" r:id="rId18">
        <w:proofErr w:type="spellStart"/>
        <w:r w:rsidRPr="00FF6CA4">
          <w:rPr>
            <w:rFonts w:ascii="Arial" w:hAnsi="Arial" w:eastAsia="Times New Roman" w:cs="Arial"/>
            <w:color w:val="0000FF"/>
            <w:kern w:val="0"/>
            <w:sz w:val="24"/>
            <w:szCs w:val="24"/>
            <w:u w:val="single"/>
            <w:lang w:eastAsia="en-GB"/>
            <w14:ligatures w14:val="none"/>
          </w:rPr>
          <w:t>Oranga</w:t>
        </w:r>
        <w:proofErr w:type="spellEnd"/>
        <w:r w:rsidRPr="00FF6CA4">
          <w:rPr>
            <w:rFonts w:ascii="Arial" w:hAnsi="Arial" w:eastAsia="Times New Roman" w:cs="Arial"/>
            <w:color w:val="0000FF"/>
            <w:kern w:val="0"/>
            <w:sz w:val="24"/>
            <w:szCs w:val="24"/>
            <w:u w:val="single"/>
            <w:lang w:eastAsia="en-GB"/>
            <w14:ligatures w14:val="none"/>
          </w:rPr>
          <w:t xml:space="preserve"> Tamariki</w:t>
        </w:r>
      </w:hyperlink>
      <w:r w:rsidRPr="00FF6CA4">
        <w:rPr>
          <w:rFonts w:ascii="Arial" w:hAnsi="Arial" w:eastAsia="Times New Roman" w:cs="Arial"/>
          <w:kern w:val="0"/>
          <w:sz w:val="24"/>
          <w:szCs w:val="24"/>
          <w:lang w:eastAsia="en-GB"/>
          <w14:ligatures w14:val="none"/>
        </w:rPr>
        <w:t xml:space="preserve"> (Accessed: 15 August 2026).</w:t>
      </w:r>
    </w:p>
    <w:p w:rsidRPr="00FF6CA4" w:rsidR="00FF6CA4" w:rsidP="00FF6CA4" w:rsidRDefault="00FF6CA4" w14:paraId="69FEE129"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Robertson, S. (2023) ‘The Whole System Approach and youth justice in Scotland’, </w:t>
      </w:r>
      <w:r w:rsidRPr="00FF6CA4">
        <w:rPr>
          <w:rFonts w:ascii="Arial" w:hAnsi="Arial" w:eastAsia="Times New Roman" w:cs="Arial"/>
          <w:i/>
          <w:iCs/>
          <w:kern w:val="0"/>
          <w:sz w:val="24"/>
          <w:szCs w:val="24"/>
          <w:lang w:eastAsia="en-GB"/>
          <w14:ligatures w14:val="none"/>
        </w:rPr>
        <w:t>Youth Justice</w:t>
      </w:r>
      <w:r w:rsidRPr="00FF6CA4">
        <w:rPr>
          <w:rFonts w:ascii="Arial" w:hAnsi="Arial" w:eastAsia="Times New Roman" w:cs="Arial"/>
          <w:kern w:val="0"/>
          <w:sz w:val="24"/>
          <w:szCs w:val="24"/>
          <w:lang w:eastAsia="en-GB"/>
          <w14:ligatures w14:val="none"/>
        </w:rPr>
        <w:t xml:space="preserve">. Available at: </w:t>
      </w:r>
      <w:hyperlink w:history="1" r:id="rId19">
        <w:r w:rsidRPr="00FF6CA4">
          <w:rPr>
            <w:rFonts w:ascii="Arial" w:hAnsi="Arial" w:eastAsia="Times New Roman" w:cs="Arial"/>
            <w:color w:val="0000FF"/>
            <w:kern w:val="0"/>
            <w:sz w:val="24"/>
            <w:szCs w:val="24"/>
            <w:u w:val="single"/>
            <w:lang w:eastAsia="en-GB"/>
            <w14:ligatures w14:val="none"/>
          </w:rPr>
          <w:t>SAGE Journals</w:t>
        </w:r>
      </w:hyperlink>
      <w:r w:rsidRPr="00FF6CA4">
        <w:rPr>
          <w:rFonts w:ascii="Arial" w:hAnsi="Arial" w:eastAsia="Times New Roman" w:cs="Arial"/>
          <w:kern w:val="0"/>
          <w:sz w:val="24"/>
          <w:szCs w:val="24"/>
          <w:lang w:eastAsia="en-GB"/>
          <w14:ligatures w14:val="none"/>
        </w:rPr>
        <w:t xml:space="preserve"> (Accessed: 20 August 2026).</w:t>
      </w:r>
    </w:p>
    <w:p w:rsidRPr="00FF6CA4" w:rsidR="00FF6CA4" w:rsidP="00FF6CA4" w:rsidRDefault="00FF6CA4" w14:paraId="7210D941"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Scottish Government (2024) </w:t>
      </w:r>
      <w:r w:rsidRPr="00FF6CA4">
        <w:rPr>
          <w:rFonts w:ascii="Arial" w:hAnsi="Arial" w:eastAsia="Times New Roman" w:cs="Arial"/>
          <w:i/>
          <w:iCs/>
          <w:kern w:val="0"/>
          <w:sz w:val="24"/>
          <w:szCs w:val="24"/>
          <w:lang w:eastAsia="en-GB"/>
          <w14:ligatures w14:val="none"/>
        </w:rPr>
        <w:t>Children (Care and Justice) (Scotland) Act 2024</w:t>
      </w:r>
      <w:r w:rsidRPr="00FF6CA4">
        <w:rPr>
          <w:rFonts w:ascii="Arial" w:hAnsi="Arial" w:eastAsia="Times New Roman" w:cs="Arial"/>
          <w:kern w:val="0"/>
          <w:sz w:val="24"/>
          <w:szCs w:val="24"/>
          <w:lang w:eastAsia="en-GB"/>
          <w14:ligatures w14:val="none"/>
        </w:rPr>
        <w:t xml:space="preserve">. Edinburgh: Scottish Government. Available at: </w:t>
      </w:r>
      <w:hyperlink w:history="1" r:id="rId20">
        <w:r w:rsidRPr="00FF6CA4">
          <w:rPr>
            <w:rFonts w:ascii="Arial" w:hAnsi="Arial" w:eastAsia="Times New Roman" w:cs="Arial"/>
            <w:color w:val="0000FF"/>
            <w:kern w:val="0"/>
            <w:sz w:val="24"/>
            <w:szCs w:val="24"/>
            <w:u w:val="single"/>
            <w:lang w:eastAsia="en-GB"/>
            <w14:ligatures w14:val="none"/>
          </w:rPr>
          <w:t>Scottish Government</w:t>
        </w:r>
      </w:hyperlink>
      <w:r w:rsidRPr="00FF6CA4">
        <w:rPr>
          <w:rFonts w:ascii="Arial" w:hAnsi="Arial" w:eastAsia="Times New Roman" w:cs="Arial"/>
          <w:kern w:val="0"/>
          <w:sz w:val="24"/>
          <w:szCs w:val="24"/>
          <w:lang w:eastAsia="en-GB"/>
          <w14:ligatures w14:val="none"/>
        </w:rPr>
        <w:t xml:space="preserve"> (Accessed: 9 August 2026).</w:t>
      </w:r>
    </w:p>
    <w:p w:rsidRPr="00FF6CA4" w:rsidR="00FF6CA4" w:rsidP="00FF6CA4" w:rsidRDefault="00FF6CA4" w14:paraId="0B6B7A05"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Scottish Government (2026) </w:t>
      </w:r>
      <w:r w:rsidRPr="00FF6CA4">
        <w:rPr>
          <w:rFonts w:ascii="Arial" w:hAnsi="Arial" w:eastAsia="Times New Roman" w:cs="Arial"/>
          <w:i/>
          <w:iCs/>
          <w:kern w:val="0"/>
          <w:sz w:val="24"/>
          <w:szCs w:val="24"/>
          <w:lang w:eastAsia="en-GB"/>
          <w14:ligatures w14:val="none"/>
        </w:rPr>
        <w:t>Youth justice: Whole System Approach</w:t>
      </w:r>
      <w:r w:rsidRPr="00FF6CA4">
        <w:rPr>
          <w:rFonts w:ascii="Arial" w:hAnsi="Arial" w:eastAsia="Times New Roman" w:cs="Arial"/>
          <w:kern w:val="0"/>
          <w:sz w:val="24"/>
          <w:szCs w:val="24"/>
          <w:lang w:eastAsia="en-GB"/>
          <w14:ligatures w14:val="none"/>
        </w:rPr>
        <w:t xml:space="preserve">. Edinburgh: Scottish Government. Available at: </w:t>
      </w:r>
      <w:hyperlink w:history="1" r:id="rId21">
        <w:r w:rsidRPr="00FF6CA4">
          <w:rPr>
            <w:rFonts w:ascii="Arial" w:hAnsi="Arial" w:eastAsia="Times New Roman" w:cs="Arial"/>
            <w:color w:val="0000FF"/>
            <w:kern w:val="0"/>
            <w:sz w:val="24"/>
            <w:szCs w:val="24"/>
            <w:u w:val="single"/>
            <w:lang w:eastAsia="en-GB"/>
            <w14:ligatures w14:val="none"/>
          </w:rPr>
          <w:t>Scottish Government – Youth Justice</w:t>
        </w:r>
      </w:hyperlink>
      <w:r w:rsidRPr="00FF6CA4">
        <w:rPr>
          <w:rFonts w:ascii="Arial" w:hAnsi="Arial" w:eastAsia="Times New Roman" w:cs="Arial"/>
          <w:kern w:val="0"/>
          <w:sz w:val="24"/>
          <w:szCs w:val="24"/>
          <w:lang w:eastAsia="en-GB"/>
          <w14:ligatures w14:val="none"/>
        </w:rPr>
        <w:t xml:space="preserve"> (Accessed: 19 August 2026).</w:t>
      </w:r>
    </w:p>
    <w:p w:rsidRPr="00FF6CA4" w:rsidR="00FF6CA4" w:rsidP="00FF6CA4" w:rsidRDefault="00FF6CA4" w14:paraId="3534B868"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Smith, R. (2024) ‘Diversion and youth justice’, in </w:t>
      </w:r>
      <w:r w:rsidRPr="00FF6CA4">
        <w:rPr>
          <w:rFonts w:ascii="Arial" w:hAnsi="Arial" w:eastAsia="Times New Roman" w:cs="Arial"/>
          <w:i/>
          <w:iCs/>
          <w:kern w:val="0"/>
          <w:sz w:val="24"/>
          <w:szCs w:val="24"/>
          <w:lang w:eastAsia="en-GB"/>
          <w14:ligatures w14:val="none"/>
        </w:rPr>
        <w:t>Oxford Handbook of Youth Justice</w:t>
      </w:r>
      <w:r w:rsidRPr="00FF6CA4">
        <w:rPr>
          <w:rFonts w:ascii="Arial" w:hAnsi="Arial" w:eastAsia="Times New Roman" w:cs="Arial"/>
          <w:kern w:val="0"/>
          <w:sz w:val="24"/>
          <w:szCs w:val="24"/>
          <w:lang w:eastAsia="en-GB"/>
          <w14:ligatures w14:val="none"/>
        </w:rPr>
        <w:t>. Oxford: Oxford University Press.</w:t>
      </w:r>
    </w:p>
    <w:p w:rsidRPr="00FF6CA4" w:rsidR="00FF6CA4" w:rsidP="00FF6CA4" w:rsidRDefault="00FF6CA4" w14:paraId="4293362A"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lastRenderedPageBreak/>
        <w:t xml:space="preserve">Smithson, H. and Jones, S. (2021) ‘Youth participation and the Child First approach to youth justice’, </w:t>
      </w:r>
      <w:r w:rsidRPr="00FF6CA4">
        <w:rPr>
          <w:rFonts w:ascii="Arial" w:hAnsi="Arial" w:eastAsia="Times New Roman" w:cs="Arial"/>
          <w:i/>
          <w:iCs/>
          <w:kern w:val="0"/>
          <w:sz w:val="24"/>
          <w:szCs w:val="24"/>
          <w:lang w:eastAsia="en-GB"/>
          <w14:ligatures w14:val="none"/>
        </w:rPr>
        <w:t>Youth Justice</w:t>
      </w:r>
      <w:r w:rsidRPr="00FF6CA4">
        <w:rPr>
          <w:rFonts w:ascii="Arial" w:hAnsi="Arial" w:eastAsia="Times New Roman" w:cs="Arial"/>
          <w:kern w:val="0"/>
          <w:sz w:val="24"/>
          <w:szCs w:val="24"/>
          <w:lang w:eastAsia="en-GB"/>
          <w14:ligatures w14:val="none"/>
        </w:rPr>
        <w:t xml:space="preserve">. Available at: </w:t>
      </w:r>
      <w:hyperlink w:history="1" r:id="rId22">
        <w:r w:rsidRPr="00FF6CA4">
          <w:rPr>
            <w:rFonts w:ascii="Arial" w:hAnsi="Arial" w:eastAsia="Times New Roman" w:cs="Arial"/>
            <w:color w:val="0000FF"/>
            <w:kern w:val="0"/>
            <w:sz w:val="24"/>
            <w:szCs w:val="24"/>
            <w:u w:val="single"/>
            <w:lang w:eastAsia="en-GB"/>
            <w14:ligatures w14:val="none"/>
          </w:rPr>
          <w:t>SAGE Journals</w:t>
        </w:r>
      </w:hyperlink>
      <w:r w:rsidRPr="00FF6CA4">
        <w:rPr>
          <w:rFonts w:ascii="Arial" w:hAnsi="Arial" w:eastAsia="Times New Roman" w:cs="Arial"/>
          <w:kern w:val="0"/>
          <w:sz w:val="24"/>
          <w:szCs w:val="24"/>
          <w:lang w:eastAsia="en-GB"/>
          <w14:ligatures w14:val="none"/>
        </w:rPr>
        <w:t xml:space="preserve"> (Accessed: 17 August 2026).</w:t>
      </w:r>
    </w:p>
    <w:p w:rsidRPr="00FF6CA4" w:rsidR="00FF6CA4" w:rsidP="00FF6CA4" w:rsidRDefault="00FF6CA4" w14:paraId="2491AE92"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Thompson, I. and Daniels, H. (2025) ‘School exclusion, inequality and the post-COVID education landscape’, </w:t>
      </w:r>
      <w:r w:rsidRPr="00FF6CA4">
        <w:rPr>
          <w:rFonts w:ascii="Arial" w:hAnsi="Arial" w:eastAsia="Times New Roman" w:cs="Arial"/>
          <w:i/>
          <w:iCs/>
          <w:kern w:val="0"/>
          <w:sz w:val="24"/>
          <w:szCs w:val="24"/>
          <w:lang w:eastAsia="en-GB"/>
          <w14:ligatures w14:val="none"/>
        </w:rPr>
        <w:t>British Journal of Educational Studies</w:t>
      </w:r>
      <w:r w:rsidRPr="00FF6CA4">
        <w:rPr>
          <w:rFonts w:ascii="Arial" w:hAnsi="Arial" w:eastAsia="Times New Roman" w:cs="Arial"/>
          <w:kern w:val="0"/>
          <w:sz w:val="24"/>
          <w:szCs w:val="24"/>
          <w:lang w:eastAsia="en-GB"/>
          <w14:ligatures w14:val="none"/>
        </w:rPr>
        <w:t xml:space="preserve">. Available at: </w:t>
      </w:r>
      <w:hyperlink w:history="1" r:id="rId23">
        <w:r w:rsidRPr="00FF6CA4">
          <w:rPr>
            <w:rFonts w:ascii="Arial" w:hAnsi="Arial" w:eastAsia="Times New Roman" w:cs="Arial"/>
            <w:color w:val="0000FF"/>
            <w:kern w:val="0"/>
            <w:sz w:val="24"/>
            <w:szCs w:val="24"/>
            <w:u w:val="single"/>
            <w:lang w:eastAsia="en-GB"/>
            <w14:ligatures w14:val="none"/>
          </w:rPr>
          <w:t>Wiley Online Library</w:t>
        </w:r>
      </w:hyperlink>
      <w:r w:rsidRPr="00FF6CA4">
        <w:rPr>
          <w:rFonts w:ascii="Arial" w:hAnsi="Arial" w:eastAsia="Times New Roman" w:cs="Arial"/>
          <w:kern w:val="0"/>
          <w:sz w:val="24"/>
          <w:szCs w:val="24"/>
          <w:lang w:eastAsia="en-GB"/>
          <w14:ligatures w14:val="none"/>
        </w:rPr>
        <w:t xml:space="preserve"> (Accessed: 11 August 2026).</w:t>
      </w:r>
    </w:p>
    <w:p w:rsidRPr="00FF6CA4" w:rsidR="00FF6CA4" w:rsidP="00FF6CA4" w:rsidRDefault="00FF6CA4" w14:paraId="03E2CB31"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Welsh Government (2022) </w:t>
      </w:r>
      <w:r w:rsidRPr="00FF6CA4">
        <w:rPr>
          <w:rFonts w:ascii="Arial" w:hAnsi="Arial" w:eastAsia="Times New Roman" w:cs="Arial"/>
          <w:i/>
          <w:iCs/>
          <w:kern w:val="0"/>
          <w:sz w:val="24"/>
          <w:szCs w:val="24"/>
          <w:lang w:eastAsia="en-GB"/>
          <w14:ligatures w14:val="none"/>
        </w:rPr>
        <w:t>Youth Justice Blueprint for Wales: implementation plan</w:t>
      </w:r>
      <w:r w:rsidRPr="00FF6CA4">
        <w:rPr>
          <w:rFonts w:ascii="Arial" w:hAnsi="Arial" w:eastAsia="Times New Roman" w:cs="Arial"/>
          <w:kern w:val="0"/>
          <w:sz w:val="24"/>
          <w:szCs w:val="24"/>
          <w:lang w:eastAsia="en-GB"/>
          <w14:ligatures w14:val="none"/>
        </w:rPr>
        <w:t xml:space="preserve">. Cardiff: Welsh Government. Available at: </w:t>
      </w:r>
      <w:hyperlink w:history="1" r:id="rId24">
        <w:r w:rsidRPr="00FF6CA4">
          <w:rPr>
            <w:rFonts w:ascii="Arial" w:hAnsi="Arial" w:eastAsia="Times New Roman" w:cs="Arial"/>
            <w:color w:val="0000FF"/>
            <w:kern w:val="0"/>
            <w:sz w:val="24"/>
            <w:szCs w:val="24"/>
            <w:u w:val="single"/>
            <w:lang w:eastAsia="en-GB"/>
            <w14:ligatures w14:val="none"/>
          </w:rPr>
          <w:t>Welsh Government</w:t>
        </w:r>
      </w:hyperlink>
      <w:r w:rsidRPr="00FF6CA4">
        <w:rPr>
          <w:rFonts w:ascii="Arial" w:hAnsi="Arial" w:eastAsia="Times New Roman" w:cs="Arial"/>
          <w:kern w:val="0"/>
          <w:sz w:val="24"/>
          <w:szCs w:val="24"/>
          <w:lang w:eastAsia="en-GB"/>
          <w14:ligatures w14:val="none"/>
        </w:rPr>
        <w:t xml:space="preserve"> (Accessed: 28 July 2026).</w:t>
      </w:r>
    </w:p>
    <w:p w:rsidRPr="00FF6CA4" w:rsidR="00FF6CA4" w:rsidP="00FF6CA4" w:rsidRDefault="00FF6CA4" w14:paraId="2E99DA76"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Welsh Government (2024) </w:t>
      </w:r>
      <w:r w:rsidRPr="00FF6CA4">
        <w:rPr>
          <w:rFonts w:ascii="Arial" w:hAnsi="Arial" w:eastAsia="Times New Roman" w:cs="Arial"/>
          <w:i/>
          <w:iCs/>
          <w:kern w:val="0"/>
          <w:sz w:val="24"/>
          <w:szCs w:val="24"/>
          <w:lang w:eastAsia="en-GB"/>
          <w14:ligatures w14:val="none"/>
        </w:rPr>
        <w:t>Youth justice and prevention: policy development in Wales</w:t>
      </w:r>
      <w:r w:rsidRPr="00FF6CA4">
        <w:rPr>
          <w:rFonts w:ascii="Arial" w:hAnsi="Arial" w:eastAsia="Times New Roman" w:cs="Arial"/>
          <w:kern w:val="0"/>
          <w:sz w:val="24"/>
          <w:szCs w:val="24"/>
          <w:lang w:eastAsia="en-GB"/>
          <w14:ligatures w14:val="none"/>
        </w:rPr>
        <w:t xml:space="preserve">. Cardiff: Welsh Government. Available at: </w:t>
      </w:r>
      <w:hyperlink w:history="1" r:id="rId25">
        <w:r w:rsidRPr="00FF6CA4">
          <w:rPr>
            <w:rFonts w:ascii="Arial" w:hAnsi="Arial" w:eastAsia="Times New Roman" w:cs="Arial"/>
            <w:color w:val="0000FF"/>
            <w:kern w:val="0"/>
            <w:sz w:val="24"/>
            <w:szCs w:val="24"/>
            <w:u w:val="single"/>
            <w:lang w:eastAsia="en-GB"/>
            <w14:ligatures w14:val="none"/>
          </w:rPr>
          <w:t>Welsh Government</w:t>
        </w:r>
      </w:hyperlink>
      <w:r w:rsidRPr="00FF6CA4">
        <w:rPr>
          <w:rFonts w:ascii="Arial" w:hAnsi="Arial" w:eastAsia="Times New Roman" w:cs="Arial"/>
          <w:kern w:val="0"/>
          <w:sz w:val="24"/>
          <w:szCs w:val="24"/>
          <w:lang w:eastAsia="en-GB"/>
          <w14:ligatures w14:val="none"/>
        </w:rPr>
        <w:t xml:space="preserve"> (Accessed: 6 August 2026).</w:t>
      </w:r>
    </w:p>
    <w:p w:rsidRPr="00FF6CA4" w:rsidR="00FF6CA4" w:rsidP="00FF6CA4" w:rsidRDefault="00FF6CA4" w14:paraId="5F5EBB87"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Welsh Government (2025a) </w:t>
      </w:r>
      <w:r w:rsidRPr="00FF6CA4">
        <w:rPr>
          <w:rFonts w:ascii="Arial" w:hAnsi="Arial" w:eastAsia="Times New Roman" w:cs="Arial"/>
          <w:i/>
          <w:iCs/>
          <w:kern w:val="0"/>
          <w:sz w:val="24"/>
          <w:szCs w:val="24"/>
          <w:lang w:eastAsia="en-GB"/>
          <w14:ligatures w14:val="none"/>
        </w:rPr>
        <w:t>Child poverty: summary statistics</w:t>
      </w:r>
      <w:r w:rsidRPr="00FF6CA4">
        <w:rPr>
          <w:rFonts w:ascii="Arial" w:hAnsi="Arial" w:eastAsia="Times New Roman" w:cs="Arial"/>
          <w:kern w:val="0"/>
          <w:sz w:val="24"/>
          <w:szCs w:val="24"/>
          <w:lang w:eastAsia="en-GB"/>
          <w14:ligatures w14:val="none"/>
        </w:rPr>
        <w:t xml:space="preserve">. Cardiff: Welsh Government. Available at: </w:t>
      </w:r>
      <w:hyperlink w:history="1" r:id="rId26">
        <w:r w:rsidRPr="00FF6CA4">
          <w:rPr>
            <w:rFonts w:ascii="Arial" w:hAnsi="Arial" w:eastAsia="Times New Roman" w:cs="Arial"/>
            <w:color w:val="0000FF"/>
            <w:kern w:val="0"/>
            <w:sz w:val="24"/>
            <w:szCs w:val="24"/>
            <w:u w:val="single"/>
            <w:lang w:eastAsia="en-GB"/>
            <w14:ligatures w14:val="none"/>
          </w:rPr>
          <w:t>Welsh Government</w:t>
        </w:r>
      </w:hyperlink>
      <w:r w:rsidRPr="00FF6CA4">
        <w:rPr>
          <w:rFonts w:ascii="Arial" w:hAnsi="Arial" w:eastAsia="Times New Roman" w:cs="Arial"/>
          <w:kern w:val="0"/>
          <w:sz w:val="24"/>
          <w:szCs w:val="24"/>
          <w:lang w:eastAsia="en-GB"/>
          <w14:ligatures w14:val="none"/>
        </w:rPr>
        <w:t xml:space="preserve"> (Accessed: 13 August 2026).</w:t>
      </w:r>
    </w:p>
    <w:p w:rsidRPr="00FF6CA4" w:rsidR="00FF6CA4" w:rsidP="00FF6CA4" w:rsidRDefault="00FF6CA4" w14:paraId="504D2201"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Welsh Government (2025b) </w:t>
      </w:r>
      <w:r w:rsidRPr="00FF6CA4">
        <w:rPr>
          <w:rFonts w:ascii="Arial" w:hAnsi="Arial" w:eastAsia="Times New Roman" w:cs="Arial"/>
          <w:i/>
          <w:iCs/>
          <w:kern w:val="0"/>
          <w:sz w:val="24"/>
          <w:szCs w:val="24"/>
          <w:lang w:eastAsia="en-GB"/>
          <w14:ligatures w14:val="none"/>
        </w:rPr>
        <w:t>Pupil attendance: 2024/25</w:t>
      </w:r>
      <w:r w:rsidRPr="00FF6CA4">
        <w:rPr>
          <w:rFonts w:ascii="Arial" w:hAnsi="Arial" w:eastAsia="Times New Roman" w:cs="Arial"/>
          <w:kern w:val="0"/>
          <w:sz w:val="24"/>
          <w:szCs w:val="24"/>
          <w:lang w:eastAsia="en-GB"/>
          <w14:ligatures w14:val="none"/>
        </w:rPr>
        <w:t xml:space="preserve">. Cardiff: Welsh Government. Available at: </w:t>
      </w:r>
      <w:hyperlink w:history="1" r:id="rId27">
        <w:r w:rsidRPr="00FF6CA4">
          <w:rPr>
            <w:rFonts w:ascii="Arial" w:hAnsi="Arial" w:eastAsia="Times New Roman" w:cs="Arial"/>
            <w:color w:val="0000FF"/>
            <w:kern w:val="0"/>
            <w:sz w:val="24"/>
            <w:szCs w:val="24"/>
            <w:u w:val="single"/>
            <w:lang w:eastAsia="en-GB"/>
            <w14:ligatures w14:val="none"/>
          </w:rPr>
          <w:t>Welsh Government</w:t>
        </w:r>
      </w:hyperlink>
      <w:r w:rsidRPr="00FF6CA4">
        <w:rPr>
          <w:rFonts w:ascii="Arial" w:hAnsi="Arial" w:eastAsia="Times New Roman" w:cs="Arial"/>
          <w:kern w:val="0"/>
          <w:sz w:val="24"/>
          <w:szCs w:val="24"/>
          <w:lang w:eastAsia="en-GB"/>
          <w14:ligatures w14:val="none"/>
        </w:rPr>
        <w:t xml:space="preserve"> (Accessed: 16 August 2026).</w:t>
      </w:r>
    </w:p>
    <w:p w:rsidRPr="00FF6CA4" w:rsidR="00FF6CA4" w:rsidP="00FF6CA4" w:rsidRDefault="00FF6CA4" w14:paraId="3A1E52C9"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Welsh Government (2025c) </w:t>
      </w:r>
      <w:r w:rsidRPr="00FF6CA4">
        <w:rPr>
          <w:rFonts w:ascii="Arial" w:hAnsi="Arial" w:eastAsia="Times New Roman" w:cs="Arial"/>
          <w:i/>
          <w:iCs/>
          <w:kern w:val="0"/>
          <w:sz w:val="24"/>
          <w:szCs w:val="24"/>
          <w:lang w:eastAsia="en-GB"/>
          <w14:ligatures w14:val="none"/>
        </w:rPr>
        <w:t>Supporting youth justice services to prevent offending: prevention framework</w:t>
      </w:r>
      <w:r w:rsidRPr="00FF6CA4">
        <w:rPr>
          <w:rFonts w:ascii="Arial" w:hAnsi="Arial" w:eastAsia="Times New Roman" w:cs="Arial"/>
          <w:kern w:val="0"/>
          <w:sz w:val="24"/>
          <w:szCs w:val="24"/>
          <w:lang w:eastAsia="en-GB"/>
          <w14:ligatures w14:val="none"/>
        </w:rPr>
        <w:t xml:space="preserve">. Cardiff: Welsh Government. Available at: </w:t>
      </w:r>
      <w:hyperlink w:history="1" r:id="rId28">
        <w:r w:rsidRPr="00FF6CA4">
          <w:rPr>
            <w:rFonts w:ascii="Arial" w:hAnsi="Arial" w:eastAsia="Times New Roman" w:cs="Arial"/>
            <w:color w:val="0000FF"/>
            <w:kern w:val="0"/>
            <w:sz w:val="24"/>
            <w:szCs w:val="24"/>
            <w:u w:val="single"/>
            <w:lang w:eastAsia="en-GB"/>
            <w14:ligatures w14:val="none"/>
          </w:rPr>
          <w:t>Supporting Youth Justice Services to Prevent Offending: Prevention Framework</w:t>
        </w:r>
      </w:hyperlink>
      <w:r w:rsidRPr="00FF6CA4">
        <w:rPr>
          <w:rFonts w:ascii="Arial" w:hAnsi="Arial" w:eastAsia="Times New Roman" w:cs="Arial"/>
          <w:kern w:val="0"/>
          <w:sz w:val="24"/>
          <w:szCs w:val="24"/>
          <w:lang w:eastAsia="en-GB"/>
          <w14:ligatures w14:val="none"/>
        </w:rPr>
        <w:t xml:space="preserve"> (Accessed: 29 August 2026).</w:t>
      </w:r>
    </w:p>
    <w:p w:rsidRPr="00FF6CA4" w:rsidR="00FF6CA4" w:rsidP="00FF6CA4" w:rsidRDefault="00FF6CA4" w14:paraId="385ABB5E"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Youth Justice Board for England and Wales (2023) </w:t>
      </w:r>
      <w:r w:rsidRPr="00FF6CA4">
        <w:rPr>
          <w:rFonts w:ascii="Arial" w:hAnsi="Arial" w:eastAsia="Times New Roman" w:cs="Arial"/>
          <w:i/>
          <w:iCs/>
          <w:kern w:val="0"/>
          <w:sz w:val="24"/>
          <w:szCs w:val="24"/>
          <w:lang w:eastAsia="en-GB"/>
          <w14:ligatures w14:val="none"/>
        </w:rPr>
        <w:t>Prevention and diversion project</w:t>
      </w:r>
      <w:r w:rsidRPr="00FF6CA4">
        <w:rPr>
          <w:rFonts w:ascii="Arial" w:hAnsi="Arial" w:eastAsia="Times New Roman" w:cs="Arial"/>
          <w:kern w:val="0"/>
          <w:sz w:val="24"/>
          <w:szCs w:val="24"/>
          <w:lang w:eastAsia="en-GB"/>
          <w14:ligatures w14:val="none"/>
        </w:rPr>
        <w:t xml:space="preserve">. London: Youth Justice Board. Available at: </w:t>
      </w:r>
      <w:hyperlink w:history="1" r:id="rId29">
        <w:r w:rsidRPr="00FF6CA4">
          <w:rPr>
            <w:rFonts w:ascii="Arial" w:hAnsi="Arial" w:eastAsia="Times New Roman" w:cs="Arial"/>
            <w:color w:val="0000FF"/>
            <w:kern w:val="0"/>
            <w:sz w:val="24"/>
            <w:szCs w:val="24"/>
            <w:u w:val="single"/>
            <w:lang w:eastAsia="en-GB"/>
            <w14:ligatures w14:val="none"/>
          </w:rPr>
          <w:t>Youth Justice Board</w:t>
        </w:r>
      </w:hyperlink>
      <w:r w:rsidRPr="00FF6CA4">
        <w:rPr>
          <w:rFonts w:ascii="Arial" w:hAnsi="Arial" w:eastAsia="Times New Roman" w:cs="Arial"/>
          <w:kern w:val="0"/>
          <w:sz w:val="24"/>
          <w:szCs w:val="24"/>
          <w:lang w:eastAsia="en-GB"/>
          <w14:ligatures w14:val="none"/>
        </w:rPr>
        <w:t xml:space="preserve"> (Accessed: 7 August 2026).</w:t>
      </w:r>
    </w:p>
    <w:p w:rsidRPr="00FF6CA4" w:rsidR="00FF6CA4" w:rsidP="00FF6CA4" w:rsidRDefault="00FF6CA4" w14:paraId="0BD2D088"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Youth Justice Board for England and Wales (2025) </w:t>
      </w:r>
      <w:r w:rsidRPr="00FF6CA4">
        <w:rPr>
          <w:rFonts w:ascii="Arial" w:hAnsi="Arial" w:eastAsia="Times New Roman" w:cs="Arial"/>
          <w:i/>
          <w:iCs/>
          <w:kern w:val="0"/>
          <w:sz w:val="24"/>
          <w:szCs w:val="24"/>
          <w:lang w:eastAsia="en-GB"/>
          <w14:ligatures w14:val="none"/>
        </w:rPr>
        <w:t>Youth Justice Board annual report and accounts 2024 to 2025</w:t>
      </w:r>
      <w:r w:rsidRPr="00FF6CA4">
        <w:rPr>
          <w:rFonts w:ascii="Arial" w:hAnsi="Arial" w:eastAsia="Times New Roman" w:cs="Arial"/>
          <w:kern w:val="0"/>
          <w:sz w:val="24"/>
          <w:szCs w:val="24"/>
          <w:lang w:eastAsia="en-GB"/>
          <w14:ligatures w14:val="none"/>
        </w:rPr>
        <w:t xml:space="preserve">. London: Youth Justice Board. Available at: </w:t>
      </w:r>
      <w:hyperlink w:history="1" r:id="rId30">
        <w:r w:rsidRPr="00FF6CA4">
          <w:rPr>
            <w:rFonts w:ascii="Arial" w:hAnsi="Arial" w:eastAsia="Times New Roman" w:cs="Arial"/>
            <w:color w:val="0000FF"/>
            <w:kern w:val="0"/>
            <w:sz w:val="24"/>
            <w:szCs w:val="24"/>
            <w:u w:val="single"/>
            <w:lang w:eastAsia="en-GB"/>
            <w14:ligatures w14:val="none"/>
          </w:rPr>
          <w:t>GOV.UK – Youth Justice Board annual report</w:t>
        </w:r>
      </w:hyperlink>
      <w:r w:rsidRPr="00FF6CA4">
        <w:rPr>
          <w:rFonts w:ascii="Arial" w:hAnsi="Arial" w:eastAsia="Times New Roman" w:cs="Arial"/>
          <w:kern w:val="0"/>
          <w:sz w:val="24"/>
          <w:szCs w:val="24"/>
          <w:lang w:eastAsia="en-GB"/>
          <w14:ligatures w14:val="none"/>
        </w:rPr>
        <w:t xml:space="preserve"> (Accessed: 22 August 2026).</w:t>
      </w:r>
    </w:p>
    <w:p w:rsidRPr="00FF6CA4" w:rsidR="00FF6CA4" w:rsidP="00FF6CA4" w:rsidRDefault="00FF6CA4" w14:paraId="31969A8B" w14:textId="77777777">
      <w:pPr>
        <w:spacing w:before="100" w:beforeAutospacing="1" w:after="100" w:afterAutospacing="1" w:line="240" w:lineRule="auto"/>
        <w:rPr>
          <w:rFonts w:ascii="Arial" w:hAnsi="Arial" w:eastAsia="Times New Roman" w:cs="Arial"/>
          <w:kern w:val="0"/>
          <w:sz w:val="24"/>
          <w:szCs w:val="24"/>
          <w:lang w:eastAsia="en-GB"/>
          <w14:ligatures w14:val="none"/>
        </w:rPr>
      </w:pPr>
      <w:r w:rsidRPr="00FF6CA4">
        <w:rPr>
          <w:rFonts w:ascii="Arial" w:hAnsi="Arial" w:eastAsia="Times New Roman" w:cs="Arial"/>
          <w:kern w:val="0"/>
          <w:sz w:val="24"/>
          <w:szCs w:val="24"/>
          <w:lang w:eastAsia="en-GB"/>
          <w14:ligatures w14:val="none"/>
        </w:rPr>
        <w:t xml:space="preserve">Youth Justice Board for England and Wales (2026) </w:t>
      </w:r>
      <w:r w:rsidRPr="00FF6CA4">
        <w:rPr>
          <w:rFonts w:ascii="Arial" w:hAnsi="Arial" w:eastAsia="Times New Roman" w:cs="Arial"/>
          <w:i/>
          <w:iCs/>
          <w:kern w:val="0"/>
          <w:sz w:val="24"/>
          <w:szCs w:val="24"/>
          <w:lang w:eastAsia="en-GB"/>
          <w14:ligatures w14:val="none"/>
        </w:rPr>
        <w:t>Youth justice statistics: 2024 to 2025</w:t>
      </w:r>
      <w:r w:rsidRPr="00FF6CA4">
        <w:rPr>
          <w:rFonts w:ascii="Arial" w:hAnsi="Arial" w:eastAsia="Times New Roman" w:cs="Arial"/>
          <w:kern w:val="0"/>
          <w:sz w:val="24"/>
          <w:szCs w:val="24"/>
          <w:lang w:eastAsia="en-GB"/>
          <w14:ligatures w14:val="none"/>
        </w:rPr>
        <w:t xml:space="preserve">. London: Youth Justice Board for England and Wales. Available at: </w:t>
      </w:r>
      <w:hyperlink w:history="1" r:id="rId31">
        <w:r w:rsidRPr="00FF6CA4">
          <w:rPr>
            <w:rFonts w:ascii="Arial" w:hAnsi="Arial" w:eastAsia="Times New Roman" w:cs="Arial"/>
            <w:color w:val="0000FF"/>
            <w:kern w:val="0"/>
            <w:sz w:val="24"/>
            <w:szCs w:val="24"/>
            <w:u w:val="single"/>
            <w:lang w:eastAsia="en-GB"/>
            <w14:ligatures w14:val="none"/>
          </w:rPr>
          <w:t>GOV.UK – Youth Justice Statistics 2024 to 2025</w:t>
        </w:r>
      </w:hyperlink>
      <w:r w:rsidRPr="00FF6CA4">
        <w:rPr>
          <w:rFonts w:ascii="Arial" w:hAnsi="Arial" w:eastAsia="Times New Roman" w:cs="Arial"/>
          <w:kern w:val="0"/>
          <w:sz w:val="24"/>
          <w:szCs w:val="24"/>
          <w:lang w:eastAsia="en-GB"/>
          <w14:ligatures w14:val="none"/>
        </w:rPr>
        <w:t xml:space="preserve"> (Accessed: 29 August 2026).</w:t>
      </w:r>
    </w:p>
    <w:p w:rsidRPr="00B377DA" w:rsidR="00BB2BA1" w:rsidP="00B377DA" w:rsidRDefault="00BB2BA1" w14:paraId="3E262193" w14:textId="77777777">
      <w:pPr>
        <w:spacing w:line="360" w:lineRule="auto"/>
        <w:jc w:val="both"/>
        <w:rPr>
          <w:rFonts w:ascii="Arial" w:hAnsi="Arial" w:cs="Arial"/>
          <w:sz w:val="24"/>
          <w:szCs w:val="24"/>
        </w:rPr>
      </w:pPr>
    </w:p>
    <w:sectPr w:rsidRPr="00B377DA" w:rsidR="00BB2BA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6729aa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1F70B2"/>
    <w:multiLevelType w:val="multilevel"/>
    <w:tmpl w:val="64F0AC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0FF2AC2"/>
    <w:multiLevelType w:val="hybridMultilevel"/>
    <w:tmpl w:val="3D960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5649F4"/>
    <w:multiLevelType w:val="multilevel"/>
    <w:tmpl w:val="9244D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4">
    <w:abstractNumId w:val="3"/>
  </w:num>
  <w:num w:numId="1" w16cid:durableId="844633327">
    <w:abstractNumId w:val="0"/>
  </w:num>
  <w:num w:numId="2" w16cid:durableId="1202354399">
    <w:abstractNumId w:val="2"/>
  </w:num>
  <w:num w:numId="3" w16cid:durableId="1541746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7DA"/>
    <w:rsid w:val="001544D6"/>
    <w:rsid w:val="002C429D"/>
    <w:rsid w:val="003550C6"/>
    <w:rsid w:val="00390A1F"/>
    <w:rsid w:val="00391681"/>
    <w:rsid w:val="004174A7"/>
    <w:rsid w:val="005533B5"/>
    <w:rsid w:val="00834264"/>
    <w:rsid w:val="008F5A42"/>
    <w:rsid w:val="00923A6F"/>
    <w:rsid w:val="00B377DA"/>
    <w:rsid w:val="00BB2BA1"/>
    <w:rsid w:val="00CB4174"/>
    <w:rsid w:val="00D224F3"/>
    <w:rsid w:val="00D6222B"/>
    <w:rsid w:val="00DF6D9C"/>
    <w:rsid w:val="00E33182"/>
    <w:rsid w:val="00E83E9A"/>
    <w:rsid w:val="00FF6CA4"/>
    <w:rsid w:val="105BADDD"/>
    <w:rsid w:val="1DB1D355"/>
    <w:rsid w:val="2402FB52"/>
    <w:rsid w:val="30716DE2"/>
    <w:rsid w:val="3E521176"/>
    <w:rsid w:val="4039A09E"/>
    <w:rsid w:val="51EFCDC2"/>
    <w:rsid w:val="5423220C"/>
    <w:rsid w:val="54FC9A8A"/>
    <w:rsid w:val="5CB1BC34"/>
    <w:rsid w:val="5DC1C0A4"/>
    <w:rsid w:val="60B214A0"/>
    <w:rsid w:val="671FCB5C"/>
    <w:rsid w:val="6B13EDCC"/>
    <w:rsid w:val="6C98E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C8817"/>
  <w15:chartTrackingRefBased/>
  <w15:docId w15:val="{A631FE03-B4AE-497E-A33B-543DC40EE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377D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77D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7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7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7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7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7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7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7D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377D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377D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377D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377D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377D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377D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377D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377D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377DA"/>
    <w:rPr>
      <w:rFonts w:eastAsiaTheme="majorEastAsia" w:cstheme="majorBidi"/>
      <w:color w:val="272727" w:themeColor="text1" w:themeTint="D8"/>
    </w:rPr>
  </w:style>
  <w:style w:type="paragraph" w:styleId="Title">
    <w:name w:val="Title"/>
    <w:basedOn w:val="Normal"/>
    <w:next w:val="Normal"/>
    <w:link w:val="TitleChar"/>
    <w:uiPriority w:val="10"/>
    <w:qFormat/>
    <w:rsid w:val="00B377D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377D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377D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377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7DA"/>
    <w:pPr>
      <w:spacing w:before="160"/>
      <w:jc w:val="center"/>
    </w:pPr>
    <w:rPr>
      <w:i/>
      <w:iCs/>
      <w:color w:val="404040" w:themeColor="text1" w:themeTint="BF"/>
    </w:rPr>
  </w:style>
  <w:style w:type="character" w:styleId="QuoteChar" w:customStyle="1">
    <w:name w:val="Quote Char"/>
    <w:basedOn w:val="DefaultParagraphFont"/>
    <w:link w:val="Quote"/>
    <w:uiPriority w:val="29"/>
    <w:rsid w:val="00B377DA"/>
    <w:rPr>
      <w:i/>
      <w:iCs/>
      <w:color w:val="404040" w:themeColor="text1" w:themeTint="BF"/>
    </w:rPr>
  </w:style>
  <w:style w:type="paragraph" w:styleId="ListParagraph">
    <w:name w:val="List Paragraph"/>
    <w:basedOn w:val="Normal"/>
    <w:uiPriority w:val="34"/>
    <w:qFormat/>
    <w:rsid w:val="00B377DA"/>
    <w:pPr>
      <w:ind w:left="720"/>
      <w:contextualSpacing/>
    </w:pPr>
  </w:style>
  <w:style w:type="character" w:styleId="IntenseEmphasis">
    <w:name w:val="Intense Emphasis"/>
    <w:basedOn w:val="DefaultParagraphFont"/>
    <w:uiPriority w:val="21"/>
    <w:qFormat/>
    <w:rsid w:val="00B377DA"/>
    <w:rPr>
      <w:i/>
      <w:iCs/>
      <w:color w:val="0F4761" w:themeColor="accent1" w:themeShade="BF"/>
    </w:rPr>
  </w:style>
  <w:style w:type="paragraph" w:styleId="IntenseQuote">
    <w:name w:val="Intense Quote"/>
    <w:basedOn w:val="Normal"/>
    <w:next w:val="Normal"/>
    <w:link w:val="IntenseQuoteChar"/>
    <w:uiPriority w:val="30"/>
    <w:qFormat/>
    <w:rsid w:val="00B377D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377DA"/>
    <w:rPr>
      <w:i/>
      <w:iCs/>
      <w:color w:val="0F4761" w:themeColor="accent1" w:themeShade="BF"/>
    </w:rPr>
  </w:style>
  <w:style w:type="character" w:styleId="IntenseReference">
    <w:name w:val="Intense Reference"/>
    <w:basedOn w:val="DefaultParagraphFont"/>
    <w:uiPriority w:val="32"/>
    <w:qFormat/>
    <w:rsid w:val="00B377DA"/>
    <w:rPr>
      <w:b/>
      <w:bCs/>
      <w:smallCaps/>
      <w:color w:val="0F4761" w:themeColor="accent1" w:themeShade="BF"/>
      <w:spacing w:val="5"/>
    </w:rPr>
  </w:style>
  <w:style w:type="paragraph" w:styleId="NormalWeb">
    <w:name w:val="Normal (Web)"/>
    <w:basedOn w:val="Normal"/>
    <w:uiPriority w:val="99"/>
    <w:semiHidden/>
    <w:unhideWhenUsed/>
    <w:rsid w:val="00B377DA"/>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Emphasis">
    <w:name w:val="Emphasis"/>
    <w:basedOn w:val="DefaultParagraphFont"/>
    <w:uiPriority w:val="20"/>
    <w:qFormat/>
    <w:rsid w:val="00B377DA"/>
    <w:rPr>
      <w:i/>
      <w:iCs/>
    </w:rPr>
  </w:style>
  <w:style w:type="character" w:styleId="Hyperlink">
    <w:name w:val="Hyperlink"/>
    <w:basedOn w:val="DefaultParagraphFont"/>
    <w:uiPriority w:val="99"/>
    <w:unhideWhenUsed/>
    <w:rsid w:val="005533B5"/>
    <w:rPr>
      <w:color w:val="467886" w:themeColor="hyperlink"/>
      <w:u w:val="single"/>
    </w:rPr>
  </w:style>
  <w:style w:type="character" w:styleId="UnresolvedMention">
    <w:name w:val="Unresolved Mention"/>
    <w:basedOn w:val="DefaultParagraphFont"/>
    <w:uiPriority w:val="99"/>
    <w:semiHidden/>
    <w:unhideWhenUsed/>
    <w:rsid w:val="005533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journals.sagepub.com/" TargetMode="External" Id="rId13" /><Relationship Type="http://schemas.openxmlformats.org/officeDocument/2006/relationships/hyperlink" Target="https://www.orangatamariki.govt.nz/" TargetMode="External" Id="rId18" /><Relationship Type="http://schemas.openxmlformats.org/officeDocument/2006/relationships/hyperlink" Target="https://www.gov.wales/" TargetMode="External" Id="rId26" /><Relationship Type="http://schemas.openxmlformats.org/officeDocument/2006/relationships/settings" Target="settings.xml" Id="rId3" /><Relationship Type="http://schemas.openxmlformats.org/officeDocument/2006/relationships/hyperlink" Target="https://www.gov.scot/policies/youth-justice/" TargetMode="External" Id="rId21" /><Relationship Type="http://schemas.openxmlformats.org/officeDocument/2006/relationships/customXml" Target="../customXml/item1.xml" Id="rId34" /><Relationship Type="http://schemas.openxmlformats.org/officeDocument/2006/relationships/hyperlink" Target="https://www.college.police.uk/" TargetMode="External" Id="rId7" /><Relationship Type="http://schemas.openxmlformats.org/officeDocument/2006/relationships/hyperlink" Target="https://educationendowmentfoundation.org.uk/education-evidence/evidence-reviews/attendance-interventions-rapid-evidence-assessment" TargetMode="External" Id="rId12" /><Relationship Type="http://schemas.openxmlformats.org/officeDocument/2006/relationships/hyperlink" Target="https://www.gov.uk/government/publications/turnaround-programme-independent-process-and-implementation-evaluation-final-report" TargetMode="External" Id="rId17" /><Relationship Type="http://schemas.openxmlformats.org/officeDocument/2006/relationships/hyperlink" Target="https://www.gov.wales/" TargetMode="External" Id="rId25" /><Relationship Type="http://schemas.openxmlformats.org/officeDocument/2006/relationships/theme" Target="theme/theme1.xml" Id="rId33" /><Relationship Type="http://schemas.openxmlformats.org/officeDocument/2006/relationships/styles" Target="styles.xml" Id="rId2" /><Relationship Type="http://schemas.openxmlformats.org/officeDocument/2006/relationships/hyperlink" Target="https://www.gov.uk/" TargetMode="External" Id="rId16" /><Relationship Type="http://schemas.openxmlformats.org/officeDocument/2006/relationships/hyperlink" Target="https://www.gov.scot/" TargetMode="External" Id="rId20" /><Relationship Type="http://schemas.openxmlformats.org/officeDocument/2006/relationships/hyperlink" Target="https://yjlc.uk/" TargetMode="External" Id="rId29" /><Relationship Type="http://schemas.openxmlformats.org/officeDocument/2006/relationships/numbering" Target="numbering.xml" Id="rId1" /><Relationship Type="http://schemas.openxmlformats.org/officeDocument/2006/relationships/hyperlink" Target="https://journals.sagepub.com/" TargetMode="External" Id="rId6" /><Relationship Type="http://schemas.openxmlformats.org/officeDocument/2006/relationships/hyperlink" Target="https://explore-education-statistics.service.gov.uk/find-statistics/pupil-absence-in-schools-in-england/2024-25" TargetMode="External" Id="rId11" /><Relationship Type="http://schemas.openxmlformats.org/officeDocument/2006/relationships/hyperlink" Target="https://www.gov.wales/" TargetMode="External" Id="rId24" /><Relationship Type="http://schemas.openxmlformats.org/officeDocument/2006/relationships/fontTable" Target="fontTable.xml" Id="rId32" /><Relationship Type="http://schemas.openxmlformats.org/officeDocument/2006/relationships/hyperlink" Target="https://www.tandfonline.com/" TargetMode="External" Id="rId5" /><Relationship Type="http://schemas.openxmlformats.org/officeDocument/2006/relationships/hyperlink" Target="https://icm.org.nz/" TargetMode="External" Id="rId15" /><Relationship Type="http://schemas.openxmlformats.org/officeDocument/2006/relationships/hyperlink" Target="https://onlinelibrary.wiley.com/" TargetMode="External" Id="rId23" /><Relationship Type="http://schemas.openxmlformats.org/officeDocument/2006/relationships/hyperlink" Target="https://www.gov.wales/supporting-youth-justice-services-prevent-offending-prevention-framework-html" TargetMode="External" Id="rId28" /><Relationship Type="http://schemas.openxmlformats.org/officeDocument/2006/relationships/customXml" Target="../customXml/item3.xml" Id="rId36" /><Relationship Type="http://schemas.openxmlformats.org/officeDocument/2006/relationships/hyperlink" Target="https://www.gov.uk/government/statistics/suspensions-and-permanent-exclusions-in-england-2023-to-2024" TargetMode="External" Id="rId10" /><Relationship Type="http://schemas.openxmlformats.org/officeDocument/2006/relationships/hyperlink" Target="https://journals.sagepub.com/" TargetMode="External" Id="rId19" /><Relationship Type="http://schemas.openxmlformats.org/officeDocument/2006/relationships/hyperlink" Target="https://www.gov.uk/government/statistics/youth-justice-statistics-2024-to-2025" TargetMode="External" Id="rId31" /><Relationship Type="http://schemas.openxmlformats.org/officeDocument/2006/relationships/webSettings" Target="webSettings.xml" Id="rId4" /><Relationship Type="http://schemas.openxmlformats.org/officeDocument/2006/relationships/hyperlink" Target="https://www.gov.uk/" TargetMode="External" Id="rId9" /><Relationship Type="http://schemas.openxmlformats.org/officeDocument/2006/relationships/hyperlink" Target="https://www.gov.uk/government/publications/serious-violence-duty" TargetMode="External" Id="rId14" /><Relationship Type="http://schemas.openxmlformats.org/officeDocument/2006/relationships/hyperlink" Target="https://journals.sagepub.com/" TargetMode="External" Id="rId22" /><Relationship Type="http://schemas.openxmlformats.org/officeDocument/2006/relationships/hyperlink" Target="https://www.gov.wales/" TargetMode="External" Id="rId27" /><Relationship Type="http://schemas.openxmlformats.org/officeDocument/2006/relationships/hyperlink" Target="https://www.gov.uk/" TargetMode="External" Id="rId30" /><Relationship Type="http://schemas.openxmlformats.org/officeDocument/2006/relationships/customXml" Target="../customXml/item2.xml" Id="rId35" /><Relationship Type="http://schemas.openxmlformats.org/officeDocument/2006/relationships/hyperlink" Target="https://www.gov.uk/" TargetMode="External"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6" ma:contentTypeDescription="Create a new document." ma:contentTypeScope="" ma:versionID="63c4ed9d1c96b4547591d2a99834e5a1">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ec9d2419d8112ea65b4d72f9d1bf8adf"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E3A000-BBB5-4176-B8A2-F3A9CAD41382}"/>
</file>

<file path=customXml/itemProps2.xml><?xml version="1.0" encoding="utf-8"?>
<ds:datastoreItem xmlns:ds="http://schemas.openxmlformats.org/officeDocument/2006/customXml" ds:itemID="{E6EB12C2-C839-4E70-987F-20EDD9F57851}"/>
</file>

<file path=customXml/itemProps3.xml><?xml version="1.0" encoding="utf-8"?>
<ds:datastoreItem xmlns:ds="http://schemas.openxmlformats.org/officeDocument/2006/customXml" ds:itemID="{B1D6A264-1A6B-42E4-8A20-DB1921C4125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Ceri Marie Jones (1806930)</dc:creator>
  <keywords/>
  <dc:description/>
  <lastModifiedBy>Ceri Marie Jones (1806930)</lastModifiedBy>
  <revision>3</revision>
  <dcterms:created xsi:type="dcterms:W3CDTF">2026-08-29T16:33:00.0000000Z</dcterms:created>
  <dcterms:modified xsi:type="dcterms:W3CDTF">2026-09-01T20:28:56.7467921Z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000be23c-5ddf-4230-ad89-337cffcc905c</vt:lpwstr>
  </property>
  <property fmtid="{D5CDD505-2E9C-101B-9397-08002B2CF9AE}" pid="3" name="ContentTypeId">
    <vt:lpwstr>0x0101008C692D30F6D5C64CABDFF0BDF08A3501</vt:lpwstr>
  </property>
</Properties>
</file>