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after="0" w:line="240" w:lineRule="auto"/>
        <w:rPr>
          <w:outline w:val="0"/>
          <w:color w:val="000000"/>
          <w:u w:color="000000"/>
          <w14:textFill>
            <w14:solidFill>
              <w14:srgbClr w14:val="000000"/>
            </w14:solidFill>
          </w14:textFill>
        </w:rPr>
      </w:pPr>
      <w:r>
        <w:rPr>
          <w:outline w:val="0"/>
          <w:color w:val="000000"/>
          <w:u w:color="000000"/>
          <w14:textFill>
            <w14:solidFill>
              <w14:srgbClr w14:val="000000"/>
            </w14:solidFill>
          </w14:textFill>
        </w:rPr>
        <mc:AlternateContent>
          <mc:Choice Requires="wpg">
            <w:drawing xmlns:a="http://schemas.openxmlformats.org/drawingml/2006/main">
              <wp:anchor distT="0" distB="0" distL="0" distR="0" simplePos="0" relativeHeight="251657216" behindDoc="1" locked="0" layoutInCell="1" allowOverlap="1">
                <wp:simplePos x="0" y="0"/>
                <wp:positionH relativeFrom="column">
                  <wp:posOffset>-609579</wp:posOffset>
                </wp:positionH>
                <wp:positionV relativeFrom="line">
                  <wp:posOffset>-1571625</wp:posOffset>
                </wp:positionV>
                <wp:extent cx="2129861" cy="7497655"/>
                <wp:effectExtent l="0" t="0" r="0" b="0"/>
                <wp:wrapNone/>
                <wp:docPr id="1073741852" name="officeArt object" descr="Group 1"/>
                <wp:cNvGraphicFramePr/>
                <a:graphic xmlns:a="http://schemas.openxmlformats.org/drawingml/2006/main">
                  <a:graphicData uri="http://schemas.microsoft.com/office/word/2010/wordprocessingGroup">
                    <wpg:wgp>
                      <wpg:cNvGrpSpPr/>
                      <wpg:grpSpPr>
                        <a:xfrm>
                          <a:off x="0" y="0"/>
                          <a:ext cx="2129861" cy="7497655"/>
                          <a:chOff x="0" y="0"/>
                          <a:chExt cx="2129860" cy="7497654"/>
                        </a:xfrm>
                      </wpg:grpSpPr>
                      <wps:wsp>
                        <wps:cNvPr id="1073741825" name="Rectangle 3"/>
                        <wps:cNvSpPr/>
                        <wps:spPr>
                          <a:xfrm>
                            <a:off x="-1" y="0"/>
                            <a:ext cx="194195" cy="7497655"/>
                          </a:xfrm>
                          <a:prstGeom prst="rect">
                            <a:avLst/>
                          </a:prstGeom>
                          <a:solidFill>
                            <a:srgbClr val="0E2841"/>
                          </a:solidFill>
                          <a:ln w="12700" cap="flat">
                            <a:noFill/>
                            <a:miter lim="400000"/>
                          </a:ln>
                          <a:effectLst/>
                        </wps:spPr>
                        <wps:bodyPr/>
                      </wps:wsp>
                      <wpg:grpSp>
                        <wpg:cNvPr id="1073741851" name="Group 5"/>
                        <wpg:cNvGrpSpPr/>
                        <wpg:grpSpPr>
                          <a:xfrm>
                            <a:off x="76066" y="3458960"/>
                            <a:ext cx="2053795" cy="4034315"/>
                            <a:chOff x="0" y="-1"/>
                            <a:chExt cx="2053794" cy="4034313"/>
                          </a:xfrm>
                        </wpg:grpSpPr>
                        <wpg:grpSp>
                          <wpg:cNvPr id="1073741838" name="Group 6"/>
                          <wpg:cNvGrpSpPr/>
                          <wpg:grpSpPr>
                            <a:xfrm>
                              <a:off x="94989" y="-2"/>
                              <a:ext cx="1647332" cy="4034314"/>
                              <a:chOff x="0" y="0"/>
                              <a:chExt cx="1647331" cy="4034313"/>
                            </a:xfrm>
                          </wpg:grpSpPr>
                          <wps:wsp>
                            <wps:cNvPr id="1073741826" name="Freeform 7"/>
                            <wps:cNvSpPr/>
                            <wps:spPr>
                              <a:xfrm>
                                <a:off x="359416" y="2591726"/>
                                <a:ext cx="304508" cy="9029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0E2841"/>
                              </a:solidFill>
                              <a:ln w="9525" cap="flat">
                                <a:solidFill>
                                  <a:srgbClr val="0E2841"/>
                                </a:solidFill>
                                <a:prstDash val="solid"/>
                                <a:round/>
                              </a:ln>
                              <a:effectLst/>
                            </wps:spPr>
                            <wps:bodyPr/>
                          </wps:wsp>
                          <wps:wsp>
                            <wps:cNvPr id="1073741827" name="Freeform 8"/>
                            <wps:cNvSpPr/>
                            <wps:spPr>
                              <a:xfrm>
                                <a:off x="678899" y="3482311"/>
                                <a:ext cx="289532" cy="55200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0E2841"/>
                              </a:solidFill>
                              <a:ln w="9525" cap="flat">
                                <a:solidFill>
                                  <a:srgbClr val="0E2841"/>
                                </a:solidFill>
                                <a:prstDash val="solid"/>
                                <a:round/>
                              </a:ln>
                              <a:effectLst/>
                            </wps:spPr>
                            <wps:bodyPr/>
                          </wps:wsp>
                          <wps:wsp>
                            <wps:cNvPr id="1073741828" name="Freeform 9"/>
                            <wps:cNvSpPr/>
                            <wps:spPr>
                              <a:xfrm>
                                <a:off x="-1" y="-1"/>
                                <a:ext cx="349436" cy="261019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0E2841"/>
                              </a:solidFill>
                              <a:ln w="9525" cap="flat">
                                <a:solidFill>
                                  <a:srgbClr val="0E2841"/>
                                </a:solidFill>
                                <a:prstDash val="solid"/>
                                <a:round/>
                              </a:ln>
                              <a:effectLst/>
                            </wps:spPr>
                            <wps:bodyPr/>
                          </wps:wsp>
                          <wps:wsp>
                            <wps:cNvPr id="1073741829" name="Freeform 10"/>
                            <wps:cNvSpPr/>
                            <wps:spPr>
                              <a:xfrm>
                                <a:off x="314489" y="839284"/>
                                <a:ext cx="112321" cy="175244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0E2841"/>
                              </a:solidFill>
                              <a:ln w="9525" cap="flat">
                                <a:solidFill>
                                  <a:srgbClr val="0E2841"/>
                                </a:solidFill>
                                <a:prstDash val="solid"/>
                                <a:round/>
                              </a:ln>
                              <a:effectLst/>
                            </wps:spPr>
                            <wps:bodyPr/>
                          </wps:wsp>
                          <wps:wsp>
                            <wps:cNvPr id="1073741830" name="Freeform 11"/>
                            <wps:cNvSpPr/>
                            <wps:spPr>
                              <a:xfrm>
                                <a:off x="349433" y="2610194"/>
                                <a:ext cx="384379" cy="129073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0E2841"/>
                              </a:solidFill>
                              <a:ln w="9525" cap="flat">
                                <a:solidFill>
                                  <a:srgbClr val="0E2841"/>
                                </a:solidFill>
                                <a:prstDash val="solid"/>
                                <a:round/>
                              </a:ln>
                              <a:effectLst/>
                            </wps:spPr>
                            <wps:bodyPr/>
                          </wps:wsp>
                          <wps:wsp>
                            <wps:cNvPr id="1073741831" name="Freeform 12"/>
                            <wps:cNvSpPr/>
                            <wps:spPr>
                              <a:xfrm>
                                <a:off x="753777" y="3892720"/>
                                <a:ext cx="82370" cy="14159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855" y="10957"/>
                                    </a:lnTo>
                                    <a:lnTo>
                                      <a:pt x="0" y="0"/>
                                    </a:lnTo>
                                    <a:close/>
                                  </a:path>
                                </a:pathLst>
                              </a:custGeom>
                              <a:solidFill>
                                <a:srgbClr val="0E2841"/>
                              </a:solidFill>
                              <a:ln w="9525" cap="flat">
                                <a:solidFill>
                                  <a:srgbClr val="0E2841"/>
                                </a:solidFill>
                                <a:prstDash val="solid"/>
                                <a:round/>
                              </a:ln>
                              <a:effectLst/>
                            </wps:spPr>
                            <wps:bodyPr/>
                          </wps:wsp>
                          <wps:wsp>
                            <wps:cNvPr id="1073741832" name="Freeform 13"/>
                            <wps:cNvSpPr/>
                            <wps:spPr>
                              <a:xfrm>
                                <a:off x="336952" y="2509645"/>
                                <a:ext cx="37442" cy="19084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2960" y="8594"/>
                                    </a:lnTo>
                                    <a:lnTo>
                                      <a:pt x="12960" y="9290"/>
                                    </a:lnTo>
                                    <a:lnTo>
                                      <a:pt x="21600" y="21600"/>
                                    </a:lnTo>
                                    <a:lnTo>
                                      <a:pt x="7200" y="11381"/>
                                    </a:lnTo>
                                    <a:lnTo>
                                      <a:pt x="0" y="0"/>
                                    </a:lnTo>
                                    <a:close/>
                                  </a:path>
                                </a:pathLst>
                              </a:custGeom>
                              <a:solidFill>
                                <a:srgbClr val="0E2841"/>
                              </a:solidFill>
                              <a:ln w="9525" cap="flat">
                                <a:solidFill>
                                  <a:srgbClr val="0E2841"/>
                                </a:solidFill>
                                <a:prstDash val="solid"/>
                                <a:round/>
                              </a:ln>
                              <a:effectLst/>
                            </wps:spPr>
                            <wps:bodyPr/>
                          </wps:wsp>
                          <wps:wsp>
                            <wps:cNvPr id="1073741833" name="Freeform 14"/>
                            <wps:cNvSpPr/>
                            <wps:spPr>
                              <a:xfrm>
                                <a:off x="663922" y="1910449"/>
                                <a:ext cx="983409" cy="15718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0E2841"/>
                              </a:solidFill>
                              <a:ln w="9525" cap="flat">
                                <a:solidFill>
                                  <a:srgbClr val="0E2841"/>
                                </a:solidFill>
                                <a:prstDash val="solid"/>
                                <a:round/>
                              </a:ln>
                              <a:effectLst/>
                            </wps:spPr>
                            <wps:bodyPr/>
                          </wps:wsp>
                          <wps:wsp>
                            <wps:cNvPr id="1073741834" name="Freeform 15"/>
                            <wps:cNvSpPr/>
                            <wps:spPr>
                              <a:xfrm>
                                <a:off x="663922" y="3494623"/>
                                <a:ext cx="89857" cy="39809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0E2841"/>
                              </a:solidFill>
                              <a:ln w="9525" cap="flat">
                                <a:solidFill>
                                  <a:srgbClr val="0E2841"/>
                                </a:solidFill>
                                <a:prstDash val="solid"/>
                                <a:round/>
                              </a:ln>
                              <a:effectLst/>
                            </wps:spPr>
                            <wps:bodyPr/>
                          </wps:wsp>
                          <wps:wsp>
                            <wps:cNvPr id="1073741835" name="Freeform 16"/>
                            <wps:cNvSpPr/>
                            <wps:spPr>
                              <a:xfrm>
                                <a:off x="733810" y="3900928"/>
                                <a:ext cx="77377" cy="1333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026" y="21600"/>
                                    </a:lnTo>
                                    <a:lnTo>
                                      <a:pt x="0" y="0"/>
                                    </a:lnTo>
                                    <a:close/>
                                  </a:path>
                                </a:pathLst>
                              </a:custGeom>
                              <a:solidFill>
                                <a:srgbClr val="0E2841"/>
                              </a:solidFill>
                              <a:ln w="9525" cap="flat">
                                <a:solidFill>
                                  <a:srgbClr val="0E2841"/>
                                </a:solidFill>
                                <a:prstDash val="solid"/>
                                <a:round/>
                              </a:ln>
                              <a:effectLst/>
                            </wps:spPr>
                            <wps:bodyPr/>
                          </wps:wsp>
                          <wps:wsp>
                            <wps:cNvPr id="1073741836" name="Freeform 17"/>
                            <wps:cNvSpPr/>
                            <wps:spPr>
                              <a:xfrm>
                                <a:off x="663922" y="3447426"/>
                                <a:ext cx="17476" cy="8618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514" y="8743"/>
                                    </a:lnTo>
                                    <a:lnTo>
                                      <a:pt x="21600" y="21600"/>
                                    </a:lnTo>
                                    <a:lnTo>
                                      <a:pt x="18514" y="20057"/>
                                    </a:lnTo>
                                    <a:lnTo>
                                      <a:pt x="0" y="11829"/>
                                    </a:lnTo>
                                    <a:lnTo>
                                      <a:pt x="0" y="0"/>
                                    </a:lnTo>
                                    <a:close/>
                                  </a:path>
                                </a:pathLst>
                              </a:custGeom>
                              <a:solidFill>
                                <a:srgbClr val="0E2841"/>
                              </a:solidFill>
                              <a:ln w="9525" cap="flat">
                                <a:solidFill>
                                  <a:srgbClr val="0E2841"/>
                                </a:solidFill>
                                <a:prstDash val="solid"/>
                                <a:round/>
                              </a:ln>
                              <a:effectLst/>
                            </wps:spPr>
                            <wps:bodyPr/>
                          </wps:wsp>
                          <wps:wsp>
                            <wps:cNvPr id="1073741837" name="Freeform 18"/>
                            <wps:cNvSpPr/>
                            <wps:spPr>
                              <a:xfrm>
                                <a:off x="701362" y="3792169"/>
                                <a:ext cx="112320" cy="24214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0E2841"/>
                              </a:solidFill>
                              <a:ln w="9525" cap="flat">
                                <a:solidFill>
                                  <a:srgbClr val="0E2841"/>
                                </a:solidFill>
                                <a:prstDash val="solid"/>
                                <a:round/>
                              </a:ln>
                              <a:effectLst/>
                            </wps:spPr>
                            <wps:bodyPr/>
                          </wps:wsp>
                        </wpg:grpSp>
                        <wpg:grpSp>
                          <wpg:cNvPr id="1073741850" name="Group 19"/>
                          <wpg:cNvGrpSpPr/>
                          <wpg:grpSpPr>
                            <a:xfrm>
                              <a:off x="-1" y="795169"/>
                              <a:ext cx="2053795" cy="3239139"/>
                              <a:chOff x="0" y="0"/>
                              <a:chExt cx="2053793" cy="3239138"/>
                            </a:xfrm>
                          </wpg:grpSpPr>
                          <wps:wsp>
                            <wps:cNvPr id="1073741839" name="Freeform 20"/>
                            <wps:cNvSpPr/>
                            <wps:spPr>
                              <a:xfrm>
                                <a:off x="89457" y="1041917"/>
                                <a:ext cx="465927" cy="137900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0" name="Freeform 21"/>
                            <wps:cNvSpPr/>
                            <wps:spPr>
                              <a:xfrm>
                                <a:off x="581472" y="2396409"/>
                                <a:ext cx="439835" cy="84273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1" name="Freeform 22"/>
                            <wps:cNvSpPr/>
                            <wps:spPr>
                              <a:xfrm>
                                <a:off x="-1" y="695633"/>
                                <a:ext cx="74550" cy="37080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7280" y="12853"/>
                                    </a:lnTo>
                                    <a:lnTo>
                                      <a:pt x="21600" y="21600"/>
                                    </a:lnTo>
                                    <a:lnTo>
                                      <a:pt x="0" y="553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2" name="Freeform 23"/>
                            <wps:cNvSpPr/>
                            <wps:spPr>
                              <a:xfrm>
                                <a:off x="74547" y="1066432"/>
                                <a:ext cx="588930" cy="19704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3" name="Freeform 24"/>
                            <wps:cNvSpPr/>
                            <wps:spPr>
                              <a:xfrm>
                                <a:off x="693294" y="3021559"/>
                                <a:ext cx="123008" cy="21758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200" y="1095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4" name="Freeform 25"/>
                            <wps:cNvSpPr/>
                            <wps:spPr>
                              <a:xfrm>
                                <a:off x="59638" y="916274"/>
                                <a:ext cx="55914" cy="29112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1520" y="8413"/>
                                    </a:lnTo>
                                    <a:lnTo>
                                      <a:pt x="11520" y="9322"/>
                                    </a:lnTo>
                                    <a:lnTo>
                                      <a:pt x="21600" y="21600"/>
                                    </a:lnTo>
                                    <a:lnTo>
                                      <a:pt x="5760" y="11141"/>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5" name="Freeform 26"/>
                            <wps:cNvSpPr/>
                            <wps:spPr>
                              <a:xfrm>
                                <a:off x="555379" y="0"/>
                                <a:ext cx="1498415" cy="239641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6" name="Freeform 27"/>
                            <wps:cNvSpPr/>
                            <wps:spPr>
                              <a:xfrm>
                                <a:off x="555379" y="2420925"/>
                                <a:ext cx="137917" cy="60063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7" name="Freeform 28"/>
                            <wps:cNvSpPr/>
                            <wps:spPr>
                              <a:xfrm>
                                <a:off x="663475" y="3036882"/>
                                <a:ext cx="115553" cy="20225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723" y="21600"/>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8" name="Freeform 29"/>
                            <wps:cNvSpPr/>
                            <wps:spPr>
                              <a:xfrm>
                                <a:off x="555379" y="2344314"/>
                                <a:ext cx="26095" cy="13177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8540"/>
                                    </a:lnTo>
                                    <a:lnTo>
                                      <a:pt x="21600" y="21600"/>
                                    </a:lnTo>
                                    <a:lnTo>
                                      <a:pt x="18514" y="20093"/>
                                    </a:lnTo>
                                    <a:lnTo>
                                      <a:pt x="0" y="1255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9" name="Freeform 30"/>
                            <wps:cNvSpPr/>
                            <wps:spPr>
                              <a:xfrm>
                                <a:off x="611291" y="2868336"/>
                                <a:ext cx="171463" cy="37080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0E2841">
                                  <a:alpha val="20000"/>
                                </a:srgbClr>
                              </a:solidFill>
                              <a:ln w="9525" cap="flat">
                                <a:solidFill>
                                  <a:srgbClr val="0E2841">
                                    <a:alpha val="20000"/>
                                  </a:srgbClr>
                                </a:solidFill>
                                <a:prstDash val="solid"/>
                                <a:round/>
                              </a:ln>
                              <a:effectLst/>
                            </wps:spPr>
                            <wps:bodyPr/>
                          </wps:wsp>
                        </wpg:grpSp>
                      </wpg:grpSp>
                    </wpg:wgp>
                  </a:graphicData>
                </a:graphic>
              </wp:anchor>
            </w:drawing>
          </mc:Choice>
          <mc:Fallback>
            <w:pict>
              <v:group id="_x0000_s1026" style="visibility:visible;position:absolute;margin-left:-48.0pt;margin-top:-123.8pt;width:167.7pt;height:590.4pt;z-index:-251659264;mso-position-horizontal:absolute;mso-position-horizontal-relative:text;mso-position-vertical:absolute;mso-position-vertical-relative:line;mso-wrap-distance-left:0.0pt;mso-wrap-distance-top:0.0pt;mso-wrap-distance-right:0.0pt;mso-wrap-distance-bottom:0.0pt;" coordorigin="0,0" coordsize="2129860,7497655">
                <w10:wrap type="none" side="bothSides" anchorx="text"/>
                <v:rect id="_x0000_s1027" style="position:absolute;left:0;top:0;width:194194;height:7497655;">
                  <v:fill color="#0E2841" opacity="100.0%" type="solid"/>
                  <v:stroke on="f" weight="1.0pt" dashstyle="solid" endcap="flat" miterlimit="400.0%" joinstyle="miter" linestyle="single" startarrow="none" startarrowwidth="medium" startarrowlength="medium" endarrow="none" endarrowwidth="medium" endarrowlength="medium"/>
                </v:rect>
                <v:group id="_x0000_s1028" style="position:absolute;left:76066;top:3458961;width:2053794;height:4034313;" coordorigin="0,-2" coordsize="2053794,4034314">
                  <v:group id="_x0000_s1029" style="position:absolute;left:94989;top:-2;width:1647331;height:4034313;" coordorigin="-1,-1" coordsize="1647332,4034314">
                    <v:shape id="_x0000_s1030" style="position:absolute;left:359417;top:2591726;width:304507;height:902899;" coordorigin="0,0" coordsize="21600,21600" path="M 0,0 L 6905,7462 L 14872,14924 L 21600,20471 L 21600,21600 L 13456,15022 L 6905,8836 L 1062,2602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1" style="position:absolute;left:678899;top:3482312;width:289531;height:552000;" coordorigin="0,0" coordsize="21600,21600" path="M 0,0 L 1490,1526 L 6890,7468 L 12476,13410 L 21600,21600 L 20110,21600 L 11172,13570 L 5586,7869 L 186,2007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2" style="position:absolute;left:-1;top:-1;width:349436;height:2610196;" coordorigin="0,0" coordsize="21600,21600" path="M 0,0 L 154,1342 L 463,2700 L 1851,5383 L 3549,8083 L 6017,10766 L 8949,13449 L 12806,16098 L 16509,18442 L 20829,20768 L 21600,21600 L 21291,21430 L 16200,18781 L 11880,16115 L 8177,13449 L 5400,10766 L 3086,8083 L 1389,5383 L 309,2700 L 0,1342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3" style="position:absolute;left:314489;top:839285;width:112320;height:1752442;" coordorigin="0,0" coordsize="21600,21600" path="M 21600,0 L 16800,1669 L 12480,3364 L 6720,6753 L 2880,10142 L 1440,13506 L 2880,16921 L 6720,20310 L 8640,21600 L 8640,21524 L 4320,20588 L 3840,20310 L 480,16921 L 0,13506 L 1440,10142 L 5760,6753 L 12000,3339 L 16320,1669 L 2160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4" style="position:absolute;left:349434;top:2610194;width:384378;height:1290735;" coordorigin="0,0" coordsize="21600,21600" path="M 0,0 L 1403,1511 L 2945,4327 L 4769,7108 L 7434,10062 L 10519,13049 L 14026,16003 L 16831,17891 L 19777,19780 L 21319,21222 L 21600,21600 L 19636,20432 L 16130,18269 L 13044,16071 L 9397,13152 L 6592,10130 L 3927,7108 L 1683,3571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5" style="position:absolute;left:753777;top:3892721;width:82369;height:141592;" coordorigin="0,0" coordsize="21600,21600" path="M 0,0 L 21600,21600 L 15709,21600 L 7855,10957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6" style="position:absolute;left:336953;top:2509645;width:37441;height:190841;" coordorigin="0,0" coordsize="21600,21600" path="M 0,0 L 12960,8594 L 12960,9290 L 21600,21600 L 7200,11381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7" style="position:absolute;left:663923;top:1910450;width:983408;height:1571863;" coordorigin="0,0" coordsize="21600,21600" path="M 21600,0 L 19517,1072 L 17488,2171 L 15570,3299 L 13651,4512 L 11348,6147 L 9210,7783 L 7182,9559 L 5373,11336 L 3783,13169 L 2467,15086 L 1425,17032 L 768,18978 L 384,21036 L 329,21600 L 0,21121 L 55,20980 L 384,18978 L 1151,17004 L 2193,15030 L 3563,13140 L 5153,11279 L 6962,9475 L 8991,7755 L 11184,6063 L 13596,4455 L 15460,3271 L 17434,2143 L 19407,1043 L 2160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8" style="position:absolute;left:663923;top:3494624;width:89855;height:398096;" coordorigin="0,0" coordsize="21600,21600" path="M 0,0 L 3600,1781 L 4200,2115 L 6600,8907 L 12000,14697 L 19800,20598 L 21600,21600 L 12600,17926 L 9000,16144 L 3000,9019 L 600,4565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9" style="position:absolute;left:733810;top:3900928;width:77376;height:133384;" coordorigin="0,0" coordsize="21600,21600" path="M 0,0 L 21600,21600 L 16026,21600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40" style="position:absolute;left:663923;top:3447427;width:17474;height:86186;" coordorigin="0,0" coordsize="21600,21600" path="M 0,0 L 18514,8743 L 21600,21600 L 18514,20057 L 0,11829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41" style="position:absolute;left:701362;top:3792169;width:112319;height:242142;" coordorigin="0,0" coordsize="21600,21600" path="M 0,0 L 2880,2929 L 10080,8969 L 15840,15376 L 21600,21600 L 21120,21600 L 6240,9702 L 5280,7688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group>
                  <v:group id="_x0000_s1042" style="position:absolute;left:0;top:795169;width:2053794;height:3239138;" coordorigin="0,0" coordsize="2053794,3239138">
                    <v:shape id="_x0000_s1043" style="position:absolute;left:89457;top:1041917;width:465927;height:1379008;" coordorigin="0,0" coordsize="21600,21600" path="M 0,0 L 7085,7440 L 14861,14832 L 21600,20400 L 21600,21600 L 13651,14928 L 7085,8784 L 1210,259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4" style="position:absolute;left:581473;top:2396409;width:439834;height:842729;" coordorigin="0,0" coordsize="21600,21600" path="M 0,0 L 1464,1571 L 6773,7540 L 12631,13353 L 21600,21600 L 19953,21600 L 11166,13667 L 5492,7855 L 0,204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5" style="position:absolute;left:0;top:695634;width:74548;height:370801;" coordorigin="0,0" coordsize="21600,21600" path="M 0,0 L 17280,12853 L 21600,21600 L 0,5534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6" style="position:absolute;left:74547;top:1066432;width:588930;height:1970452;" coordorigin="0,0" coordsize="21600,21600" path="M 0,0 L 1504,1545 L 3008,4333 L 4922,7088 L 7519,10111 L 10390,13067 L 14081,15990 L 16815,17905 L 19686,19752 L 21190,21230 L 21600,21600 L 19413,20424 L 16132,18274 L 12987,16057 L 9433,13135 L 6425,10145 L 3965,7122 L 1777,3594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7" style="position:absolute;left:693295;top:3021560;width:123006;height:217578;" coordorigin="0,0" coordsize="21600,21600" path="M 0,0 L 21600,21600 L 15709,21600 L 7200,1095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8" style="position:absolute;left:59638;top:916275;width:55913;height:291126;" coordorigin="0,0" coordsize="21600,21600" path="M 0,0 L 11520,8413 L 11520,9322 L 21600,21600 L 5760,11141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9" style="position:absolute;left:555380;top:0;width:1498414;height:2396410;" coordorigin="0,0" coordsize="21600,21600" path="M 21600,0 L 21600,28 L 19504,1077 L 17463,2182 L 15582,3342 L 13701,4530 L 11337,6132 L 9188,7845 L 7146,9557 L 5373,11352 L 3815,13203 L 2418,15081 L 1451,17042 L 699,19031 L 376,21020 L 376,21600 L 0,21130 L 54,21020 L 376,19004 L 1128,17015 L 2149,15054 L 3546,13120 L 5104,11297 L 6985,9474 L 8973,7762 L 11230,6077 L 13594,4502 L 15421,3315 L 17409,2154 L 19451,1050 L 2160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0" style="position:absolute;left:555380;top:2420925;width:137916;height:600636;" coordorigin="0,0" coordsize="21600,21600" path="M 0,0 L 3503,1653 L 4086,1984 L 7005,8816 L 12259,14767 L 19265,20718 L 21600,21600 L 12843,17853 L 8757,16090 L 2919,8927 L 584,4408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1" style="position:absolute;left:663476;top:3036883;width:115551;height:202255;" coordorigin="0,0" coordsize="21600,21600" path="M 0,0 L 21600,21600 L 16723,21600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2" style="position:absolute;left:555380;top:2344314;width:26094;height:131774;" coordorigin="0,0" coordsize="21600,21600" path="M 0,0 L 21600,8540 L 21600,21600 L 18514,20093 L 0,12558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3" style="position:absolute;left:611292;top:2868337;width:171461;height:370801;" coordorigin="0,0" coordsize="21600,21600" path="M 0,0 L 3287,2856 L 10330,8926 L 15496,15352 L 21600,21600 L 21130,21600 L 6574,9818 L 5165,7855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group>
                </v:group>
              </v:group>
            </w:pict>
          </mc:Fallback>
        </mc:AlternateContent>
      </w:r>
      <w:r>
        <w:rPr>
          <w:outline w:val="0"/>
          <w:color w:val="000000"/>
          <w:u w:color="000000"/>
          <w14:textFill>
            <w14:solidFill>
              <w14:srgbClr w14:val="000000"/>
            </w14:solidFill>
          </w14:textFill>
        </w:rPr>
        <mc:AlternateContent>
          <mc:Choice Requires="wps">
            <w:drawing xmlns:a="http://schemas.openxmlformats.org/drawingml/2006/main">
              <wp:anchor distT="0" distB="0" distL="0" distR="0" simplePos="0" relativeHeight="251659264" behindDoc="0" locked="0" layoutInCell="1" allowOverlap="1">
                <wp:simplePos x="0" y="0"/>
                <wp:positionH relativeFrom="page">
                  <wp:posOffset>3170236</wp:posOffset>
                </wp:positionH>
                <wp:positionV relativeFrom="page">
                  <wp:posOffset>9404032</wp:posOffset>
                </wp:positionV>
                <wp:extent cx="3667125" cy="366714"/>
                <wp:effectExtent l="0" t="0" r="0" b="0"/>
                <wp:wrapNone/>
                <wp:docPr id="1073741853" name="officeArt object" descr="Rectangle 35"/>
                <wp:cNvGraphicFramePr/>
                <a:graphic xmlns:a="http://schemas.openxmlformats.org/drawingml/2006/main">
                  <a:graphicData uri="http://schemas.microsoft.com/office/word/2010/wordprocessingShape">
                    <wps:wsp>
                      <wps:cNvSpPr txBox="1"/>
                      <wps:spPr>
                        <a:xfrm>
                          <a:off x="0" y="0"/>
                          <a:ext cx="3667125" cy="366714"/>
                        </a:xfrm>
                        <a:prstGeom prst="rect">
                          <a:avLst/>
                        </a:prstGeom>
                        <a:noFill/>
                        <a:ln w="12700" cap="flat">
                          <a:noFill/>
                          <a:miter lim="400000"/>
                        </a:ln>
                        <a:effectLst/>
                      </wps:spPr>
                      <wps:txbx>
                        <w:txbxContent>
                          <w:p>
                            <w:pPr>
                              <w:pStyle w:val="Body A"/>
                              <w:spacing w:after="0" w:line="240" w:lineRule="auto"/>
                            </w:pPr>
                            <w:r>
                              <w:rPr>
                                <w:outline w:val="0"/>
                                <w:color w:val="156082"/>
                                <w:sz w:val="26"/>
                                <w:szCs w:val="26"/>
                                <w:u w:color="156082"/>
                                <w:rtl w:val="0"/>
                                <w:lang w:val="en-US"/>
                                <w14:textFill>
                                  <w14:solidFill>
                                    <w14:srgbClr w14:val="156082"/>
                                  </w14:solidFill>
                                </w14:textFill>
                              </w:rPr>
                              <w:t>University of Wales Trinity Saint David</w:t>
                            </w:r>
                          </w:p>
                          <w:p>
                            <w:pPr>
                              <w:pStyle w:val="Body A"/>
                              <w:spacing w:after="0" w:line="240" w:lineRule="auto"/>
                            </w:pPr>
                            <w:r>
                              <w:rPr>
                                <w:smallCaps w:val="1"/>
                                <w:outline w:val="0"/>
                                <w:color w:val="595959"/>
                                <w:sz w:val="20"/>
                                <w:szCs w:val="20"/>
                                <w:u w:color="595959"/>
                                <w:rtl w:val="0"/>
                                <w:lang w:val="es-ES_tradnl"/>
                                <w14:textFill>
                                  <w14:solidFill>
                                    <w14:srgbClr w14:val="595959"/>
                                  </w14:solidFill>
                                </w14:textFill>
                              </w:rPr>
                              <w:t>LONDON CAMPUS</w:t>
                            </w:r>
                          </w:p>
                        </w:txbxContent>
                      </wps:txbx>
                      <wps:bodyPr wrap="square" lIns="0" tIns="0" rIns="0" bIns="0" numCol="1" anchor="b">
                        <a:noAutofit/>
                      </wps:bodyPr>
                    </wps:wsp>
                  </a:graphicData>
                </a:graphic>
              </wp:anchor>
            </w:drawing>
          </mc:Choice>
          <mc:Fallback>
            <w:pict>
              <v:shape id="_x0000_s1054" type="#_x0000_t202" style="visibility:visible;position:absolute;margin-left:249.6pt;margin-top:740.5pt;width:288.8pt;height:28.9pt;z-index:251659264;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A"/>
                        <w:spacing w:after="0" w:line="240" w:lineRule="auto"/>
                      </w:pPr>
                      <w:r>
                        <w:rPr>
                          <w:outline w:val="0"/>
                          <w:color w:val="156082"/>
                          <w:sz w:val="26"/>
                          <w:szCs w:val="26"/>
                          <w:u w:color="156082"/>
                          <w:rtl w:val="0"/>
                          <w:lang w:val="en-US"/>
                          <w14:textFill>
                            <w14:solidFill>
                              <w14:srgbClr w14:val="156082"/>
                            </w14:solidFill>
                          </w14:textFill>
                        </w:rPr>
                        <w:t>University of Wales Trinity Saint David</w:t>
                      </w:r>
                    </w:p>
                    <w:p>
                      <w:pPr>
                        <w:pStyle w:val="Body A"/>
                        <w:spacing w:after="0" w:line="240" w:lineRule="auto"/>
                      </w:pPr>
                      <w:r>
                        <w:rPr>
                          <w:smallCaps w:val="1"/>
                          <w:outline w:val="0"/>
                          <w:color w:val="595959"/>
                          <w:sz w:val="20"/>
                          <w:szCs w:val="20"/>
                          <w:u w:color="595959"/>
                          <w:rtl w:val="0"/>
                          <w:lang w:val="es-ES_tradnl"/>
                          <w14:textFill>
                            <w14:solidFill>
                              <w14:srgbClr w14:val="595959"/>
                            </w14:solidFill>
                          </w14:textFill>
                        </w:rPr>
                        <w:t>LONDON CAMPUS</w:t>
                      </w:r>
                    </w:p>
                  </w:txbxContent>
                </v:textbox>
                <w10:wrap type="none" side="bothSides" anchorx="page" anchory="page"/>
              </v:shape>
            </w:pict>
          </mc:Fallback>
        </mc:AlternateContent>
      </w:r>
    </w:p>
    <w:p>
      <w:pPr>
        <w:pStyle w:val="Body A"/>
      </w:pPr>
      <w:r>
        <w:rPr>
          <w:outline w:val="0"/>
          <w:color w:val="000000"/>
          <w:u w:color="000000"/>
          <w14:textFill>
            <w14:solidFill>
              <w14:srgbClr w14:val="000000"/>
            </w14:solidFill>
          </w14:textFill>
        </w:rPr>
        <mc:AlternateContent>
          <mc:Choice Requires="wps">
            <w:drawing xmlns:a="http://schemas.openxmlformats.org/drawingml/2006/main">
              <wp:anchor distT="0" distB="0" distL="0" distR="0" simplePos="0" relativeHeight="251660288" behindDoc="0" locked="0" layoutInCell="1" allowOverlap="1">
                <wp:simplePos x="0" y="0"/>
                <wp:positionH relativeFrom="page">
                  <wp:posOffset>1046162</wp:posOffset>
                </wp:positionH>
                <wp:positionV relativeFrom="line">
                  <wp:posOffset>1667193</wp:posOffset>
                </wp:positionV>
                <wp:extent cx="5791200" cy="3091184"/>
                <wp:effectExtent l="0" t="0" r="0" b="0"/>
                <wp:wrapNone/>
                <wp:docPr id="1073741854" name="officeArt object" descr="Rectangle 33"/>
                <wp:cNvGraphicFramePr/>
                <a:graphic xmlns:a="http://schemas.openxmlformats.org/drawingml/2006/main">
                  <a:graphicData uri="http://schemas.microsoft.com/office/word/2010/wordprocessingShape">
                    <wps:wsp>
                      <wps:cNvSpPr txBox="1"/>
                      <wps:spPr>
                        <a:xfrm>
                          <a:off x="0" y="0"/>
                          <a:ext cx="5791200" cy="3091184"/>
                        </a:xfrm>
                        <a:prstGeom prst="rect">
                          <a:avLst/>
                        </a:prstGeom>
                        <a:noFill/>
                        <a:ln w="12700" cap="flat">
                          <a:noFill/>
                          <a:miter lim="400000"/>
                        </a:ln>
                        <a:effectLst/>
                      </wps:spPr>
                      <wps:txbx>
                        <w:txbxContent>
                          <w:p>
                            <w:pPr>
                              <w:pStyle w:val="Body A"/>
                              <w:spacing w:after="0" w:line="240" w:lineRule="auto"/>
                            </w:pPr>
                            <w:r>
                              <w:rPr>
                                <w:rFonts w:ascii="Times New Roman" w:hAnsi="Times New Roman"/>
                                <w:outline w:val="0"/>
                                <w:color w:val="262626"/>
                                <w:sz w:val="72"/>
                                <w:szCs w:val="72"/>
                                <w:u w:color="262626"/>
                                <w:rtl w:val="0"/>
                                <w:lang w:val="en-US"/>
                                <w14:textFill>
                                  <w14:solidFill>
                                    <w14:srgbClr w14:val="262626"/>
                                  </w14:solidFill>
                                </w14:textFill>
                              </w:rPr>
                              <w:t>Individual Report</w:t>
                            </w:r>
                          </w:p>
                          <w:p>
                            <w:pPr>
                              <w:pStyle w:val="Body A"/>
                              <w:spacing w:before="120" w:line="277" w:lineRule="auto"/>
                            </w:pPr>
                            <w:r>
                              <w:rPr>
                                <w:outline w:val="0"/>
                                <w:color w:val="404040"/>
                                <w:sz w:val="36"/>
                                <w:szCs w:val="36"/>
                                <w:u w:color="404040"/>
                                <w:rtl w:val="0"/>
                                <w:lang w:val="en-US"/>
                                <w14:textFill>
                                  <w14:solidFill>
                                    <w14:srgbClr w14:val="404040"/>
                                  </w14:solidFill>
                                </w14:textFill>
                              </w:rPr>
                              <w:t>Module Name: Digital Skills and Research Methods</w:t>
                            </w:r>
                          </w:p>
                          <w:p>
                            <w:pPr>
                              <w:pStyle w:val="Body A"/>
                              <w:spacing w:before="120" w:line="277" w:lineRule="auto"/>
                            </w:pPr>
                            <w:r>
                              <w:rPr>
                                <w:outline w:val="0"/>
                                <w:color w:val="404040"/>
                                <w:sz w:val="36"/>
                                <w:szCs w:val="36"/>
                                <w:u w:color="404040"/>
                                <w:rtl w:val="0"/>
                                <w:lang w:val="en-US"/>
                                <w14:textFill>
                                  <w14:solidFill>
                                    <w14:srgbClr w14:val="404040"/>
                                  </w14:solidFill>
                                </w14:textFill>
                              </w:rPr>
                              <w:t xml:space="preserve">Module Code: LCHS </w:t>
                            </w:r>
                            <w:r>
                              <w:rPr>
                                <w:outline w:val="0"/>
                                <w:color w:val="404040"/>
                                <w:sz w:val="36"/>
                                <w:szCs w:val="36"/>
                                <w:u w:color="404040"/>
                                <w:rtl w:val="0"/>
                                <w14:textFill>
                                  <w14:solidFill>
                                    <w14:srgbClr w14:val="404040"/>
                                  </w14:solidFill>
                                </w14:textFill>
                              </w:rPr>
                              <w:t>4007</w:t>
                            </w:r>
                          </w:p>
                          <w:p>
                            <w:pPr>
                              <w:pStyle w:val="Body A"/>
                              <w:spacing w:before="120"/>
                              <w:jc w:val="both"/>
                            </w:pPr>
                            <w:r>
                              <w:rPr>
                                <w:outline w:val="0"/>
                                <w:color w:val="404040"/>
                                <w:sz w:val="36"/>
                                <w:szCs w:val="36"/>
                                <w:u w:color="404040"/>
                                <w:rtl w:val="0"/>
                                <w:lang w:val="nl-NL"/>
                                <w14:textFill>
                                  <w14:solidFill>
                                    <w14:srgbClr w14:val="404040"/>
                                  </w14:solidFill>
                                </w14:textFill>
                              </w:rPr>
                              <w:t xml:space="preserve">Student name: </w:t>
                            </w:r>
                            <w:r>
                              <w:rPr>
                                <w:outline w:val="0"/>
                                <w:color w:val="404040"/>
                                <w:sz w:val="36"/>
                                <w:szCs w:val="36"/>
                                <w:u w:color="404040"/>
                                <w:rtl w:val="0"/>
                                <w:lang w:val="en-US"/>
                                <w14:textFill>
                                  <w14:solidFill>
                                    <w14:srgbClr w14:val="404040"/>
                                  </w14:solidFill>
                                </w14:textFill>
                              </w:rPr>
                              <w:t>Emma Lawingco Duay</w:t>
                            </w:r>
                          </w:p>
                          <w:p>
                            <w:pPr>
                              <w:pStyle w:val="Body A"/>
                              <w:spacing w:before="120" w:line="277" w:lineRule="auto"/>
                            </w:pPr>
                            <w:r>
                              <w:rPr>
                                <w:outline w:val="0"/>
                                <w:color w:val="404040"/>
                                <w:sz w:val="36"/>
                                <w:szCs w:val="36"/>
                                <w:u w:color="404040"/>
                                <w:rtl w:val="0"/>
                                <w:lang w:val="en-US"/>
                                <w14:textFill>
                                  <w14:solidFill>
                                    <w14:srgbClr w14:val="404040"/>
                                  </w14:solidFill>
                                </w14:textFill>
                              </w:rPr>
                              <w:t>Student ID:2524373</w:t>
                            </w:r>
                          </w:p>
                          <w:p>
                            <w:pPr>
                              <w:pStyle w:val="Body A"/>
                              <w:spacing w:before="120" w:line="277" w:lineRule="auto"/>
                            </w:pPr>
                            <w:r>
                              <w:rPr>
                                <w:outline w:val="0"/>
                                <w:color w:val="404040"/>
                                <w:sz w:val="36"/>
                                <w:szCs w:val="36"/>
                                <w:u w:color="404040"/>
                                <w:rtl w:val="0"/>
                                <w:lang w:val="fr-FR"/>
                                <w14:textFill>
                                  <w14:solidFill>
                                    <w14:srgbClr w14:val="404040"/>
                                  </w14:solidFill>
                                </w14:textFill>
                              </w:rPr>
                              <w:t>Lecturer</w:t>
                            </w:r>
                            <w:r>
                              <w:rPr>
                                <w:rFonts w:ascii="Arial Unicode MS" w:hAnsi="Arial Unicode MS" w:hint="default"/>
                                <w:outline w:val="0"/>
                                <w:color w:val="404040"/>
                                <w:sz w:val="36"/>
                                <w:szCs w:val="36"/>
                                <w:u w:color="404040"/>
                                <w:rtl w:val="1"/>
                                <w14:textFill>
                                  <w14:solidFill>
                                    <w14:srgbClr w14:val="404040"/>
                                  </w14:solidFill>
                                </w14:textFill>
                              </w:rPr>
                              <w:t>’</w:t>
                            </w:r>
                            <w:r>
                              <w:rPr>
                                <w:outline w:val="0"/>
                                <w:color w:val="404040"/>
                                <w:sz w:val="36"/>
                                <w:szCs w:val="36"/>
                                <w:u w:color="404040"/>
                                <w:rtl w:val="0"/>
                                <w:lang w:val="de-DE"/>
                                <w14:textFill>
                                  <w14:solidFill>
                                    <w14:srgbClr w14:val="404040"/>
                                  </w14:solidFill>
                                </w14:textFill>
                              </w:rPr>
                              <w:t>s Name:</w:t>
                            </w:r>
                            <w:r>
                              <w:rPr>
                                <w:outline w:val="0"/>
                                <w:color w:val="404040"/>
                                <w:sz w:val="36"/>
                                <w:szCs w:val="36"/>
                                <w:u w:color="404040"/>
                                <w:rtl w:val="0"/>
                                <w:lang w:val="en-US"/>
                                <w14:textFill>
                                  <w14:solidFill>
                                    <w14:srgbClr w14:val="404040"/>
                                  </w14:solidFill>
                                </w14:textFill>
                              </w:rPr>
                              <w:t xml:space="preserve"> Md Sadeque  Shaikh</w:t>
                            </w:r>
                          </w:p>
                        </w:txbxContent>
                      </wps:txbx>
                      <wps:bodyPr wrap="square" lIns="0" tIns="0" rIns="0" bIns="0" numCol="1" anchor="t">
                        <a:noAutofit/>
                      </wps:bodyPr>
                    </wps:wsp>
                  </a:graphicData>
                </a:graphic>
              </wp:anchor>
            </w:drawing>
          </mc:Choice>
          <mc:Fallback>
            <w:pict>
              <v:shape id="_x0000_s1055" type="#_x0000_t202" style="visibility:visible;position:absolute;margin-left:82.4pt;margin-top:131.3pt;width:456.0pt;height:243.4pt;z-index:251660288;mso-position-horizontal:absolute;mso-position-horizontal-relative:page;mso-position-vertical:absolute;mso-position-vertical-relative:lin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A"/>
                        <w:spacing w:after="0" w:line="240" w:lineRule="auto"/>
                      </w:pPr>
                      <w:r>
                        <w:rPr>
                          <w:rFonts w:ascii="Times New Roman" w:hAnsi="Times New Roman"/>
                          <w:outline w:val="0"/>
                          <w:color w:val="262626"/>
                          <w:sz w:val="72"/>
                          <w:szCs w:val="72"/>
                          <w:u w:color="262626"/>
                          <w:rtl w:val="0"/>
                          <w:lang w:val="en-US"/>
                          <w14:textFill>
                            <w14:solidFill>
                              <w14:srgbClr w14:val="262626"/>
                            </w14:solidFill>
                          </w14:textFill>
                        </w:rPr>
                        <w:t>Individual Report</w:t>
                      </w:r>
                    </w:p>
                    <w:p>
                      <w:pPr>
                        <w:pStyle w:val="Body A"/>
                        <w:spacing w:before="120" w:line="277" w:lineRule="auto"/>
                      </w:pPr>
                      <w:r>
                        <w:rPr>
                          <w:outline w:val="0"/>
                          <w:color w:val="404040"/>
                          <w:sz w:val="36"/>
                          <w:szCs w:val="36"/>
                          <w:u w:color="404040"/>
                          <w:rtl w:val="0"/>
                          <w:lang w:val="en-US"/>
                          <w14:textFill>
                            <w14:solidFill>
                              <w14:srgbClr w14:val="404040"/>
                            </w14:solidFill>
                          </w14:textFill>
                        </w:rPr>
                        <w:t>Module Name: Digital Skills and Research Methods</w:t>
                      </w:r>
                    </w:p>
                    <w:p>
                      <w:pPr>
                        <w:pStyle w:val="Body A"/>
                        <w:spacing w:before="120" w:line="277" w:lineRule="auto"/>
                      </w:pPr>
                      <w:r>
                        <w:rPr>
                          <w:outline w:val="0"/>
                          <w:color w:val="404040"/>
                          <w:sz w:val="36"/>
                          <w:szCs w:val="36"/>
                          <w:u w:color="404040"/>
                          <w:rtl w:val="0"/>
                          <w:lang w:val="en-US"/>
                          <w14:textFill>
                            <w14:solidFill>
                              <w14:srgbClr w14:val="404040"/>
                            </w14:solidFill>
                          </w14:textFill>
                        </w:rPr>
                        <w:t xml:space="preserve">Module Code: LCHS </w:t>
                      </w:r>
                      <w:r>
                        <w:rPr>
                          <w:outline w:val="0"/>
                          <w:color w:val="404040"/>
                          <w:sz w:val="36"/>
                          <w:szCs w:val="36"/>
                          <w:u w:color="404040"/>
                          <w:rtl w:val="0"/>
                          <w14:textFill>
                            <w14:solidFill>
                              <w14:srgbClr w14:val="404040"/>
                            </w14:solidFill>
                          </w14:textFill>
                        </w:rPr>
                        <w:t>4007</w:t>
                      </w:r>
                    </w:p>
                    <w:p>
                      <w:pPr>
                        <w:pStyle w:val="Body A"/>
                        <w:spacing w:before="120"/>
                        <w:jc w:val="both"/>
                      </w:pPr>
                      <w:r>
                        <w:rPr>
                          <w:outline w:val="0"/>
                          <w:color w:val="404040"/>
                          <w:sz w:val="36"/>
                          <w:szCs w:val="36"/>
                          <w:u w:color="404040"/>
                          <w:rtl w:val="0"/>
                          <w:lang w:val="nl-NL"/>
                          <w14:textFill>
                            <w14:solidFill>
                              <w14:srgbClr w14:val="404040"/>
                            </w14:solidFill>
                          </w14:textFill>
                        </w:rPr>
                        <w:t xml:space="preserve">Student name: </w:t>
                      </w:r>
                      <w:r>
                        <w:rPr>
                          <w:outline w:val="0"/>
                          <w:color w:val="404040"/>
                          <w:sz w:val="36"/>
                          <w:szCs w:val="36"/>
                          <w:u w:color="404040"/>
                          <w:rtl w:val="0"/>
                          <w:lang w:val="en-US"/>
                          <w14:textFill>
                            <w14:solidFill>
                              <w14:srgbClr w14:val="404040"/>
                            </w14:solidFill>
                          </w14:textFill>
                        </w:rPr>
                        <w:t>Emma Lawingco Duay</w:t>
                      </w:r>
                    </w:p>
                    <w:p>
                      <w:pPr>
                        <w:pStyle w:val="Body A"/>
                        <w:spacing w:before="120" w:line="277" w:lineRule="auto"/>
                      </w:pPr>
                      <w:r>
                        <w:rPr>
                          <w:outline w:val="0"/>
                          <w:color w:val="404040"/>
                          <w:sz w:val="36"/>
                          <w:szCs w:val="36"/>
                          <w:u w:color="404040"/>
                          <w:rtl w:val="0"/>
                          <w:lang w:val="en-US"/>
                          <w14:textFill>
                            <w14:solidFill>
                              <w14:srgbClr w14:val="404040"/>
                            </w14:solidFill>
                          </w14:textFill>
                        </w:rPr>
                        <w:t>Student ID:2524373</w:t>
                      </w:r>
                    </w:p>
                    <w:p>
                      <w:pPr>
                        <w:pStyle w:val="Body A"/>
                        <w:spacing w:before="120" w:line="277" w:lineRule="auto"/>
                      </w:pPr>
                      <w:r>
                        <w:rPr>
                          <w:outline w:val="0"/>
                          <w:color w:val="404040"/>
                          <w:sz w:val="36"/>
                          <w:szCs w:val="36"/>
                          <w:u w:color="404040"/>
                          <w:rtl w:val="0"/>
                          <w:lang w:val="fr-FR"/>
                          <w14:textFill>
                            <w14:solidFill>
                              <w14:srgbClr w14:val="404040"/>
                            </w14:solidFill>
                          </w14:textFill>
                        </w:rPr>
                        <w:t>Lecturer</w:t>
                      </w:r>
                      <w:r>
                        <w:rPr>
                          <w:rFonts w:ascii="Arial Unicode MS" w:hAnsi="Arial Unicode MS" w:hint="default"/>
                          <w:outline w:val="0"/>
                          <w:color w:val="404040"/>
                          <w:sz w:val="36"/>
                          <w:szCs w:val="36"/>
                          <w:u w:color="404040"/>
                          <w:rtl w:val="1"/>
                          <w14:textFill>
                            <w14:solidFill>
                              <w14:srgbClr w14:val="404040"/>
                            </w14:solidFill>
                          </w14:textFill>
                        </w:rPr>
                        <w:t>’</w:t>
                      </w:r>
                      <w:r>
                        <w:rPr>
                          <w:outline w:val="0"/>
                          <w:color w:val="404040"/>
                          <w:sz w:val="36"/>
                          <w:szCs w:val="36"/>
                          <w:u w:color="404040"/>
                          <w:rtl w:val="0"/>
                          <w:lang w:val="de-DE"/>
                          <w14:textFill>
                            <w14:solidFill>
                              <w14:srgbClr w14:val="404040"/>
                            </w14:solidFill>
                          </w14:textFill>
                        </w:rPr>
                        <w:t>s Name:</w:t>
                      </w:r>
                      <w:r>
                        <w:rPr>
                          <w:outline w:val="0"/>
                          <w:color w:val="404040"/>
                          <w:sz w:val="36"/>
                          <w:szCs w:val="36"/>
                          <w:u w:color="404040"/>
                          <w:rtl w:val="0"/>
                          <w:lang w:val="en-US"/>
                          <w14:textFill>
                            <w14:solidFill>
                              <w14:srgbClr w14:val="404040"/>
                            </w14:solidFill>
                          </w14:textFill>
                        </w:rPr>
                        <w:t xml:space="preserve"> Md Sadeque  Shaikh</w:t>
                      </w:r>
                    </w:p>
                  </w:txbxContent>
                </v:textbox>
                <w10:wrap type="none" side="bothSides" anchorx="page"/>
              </v:shape>
            </w:pict>
          </mc:Fallback>
        </mc:AlternateContent>
      </w:r>
      <w:r>
        <w:rPr>
          <w:rFonts w:ascii="Arial Unicode MS" w:cs="Arial Unicode MS" w:hAnsi="Arial Unicode MS" w:eastAsia="Arial Unicode MS"/>
          <w:b w:val="0"/>
          <w:bCs w:val="0"/>
          <w:i w:val="0"/>
          <w:iCs w:val="0"/>
        </w:rPr>
        <w:br w:type="page"/>
      </w:r>
    </w:p>
    <w:p>
      <w:pPr>
        <w:pStyle w:val="Body A"/>
      </w:pPr>
    </w:p>
    <w:p>
      <w:pPr>
        <w:pStyle w:val="Body A"/>
        <w:keepNext w:val="1"/>
        <w:keepLines w:val="1"/>
        <w:spacing w:before="240" w:after="0" w:line="259" w:lineRule="auto"/>
        <w:rPr>
          <w:rFonts w:ascii="Times New Roman" w:cs="Times New Roman" w:hAnsi="Times New Roman" w:eastAsia="Times New Roman"/>
          <w:outline w:val="0"/>
          <w:color w:val="0f4761"/>
          <w:sz w:val="32"/>
          <w:szCs w:val="32"/>
          <w:u w:color="0f4761"/>
          <w14:textFill>
            <w14:solidFill>
              <w14:srgbClr w14:val="0F4761"/>
            </w14:solidFill>
          </w14:textFill>
        </w:rPr>
      </w:pPr>
      <w:r>
        <w:rPr>
          <w:rFonts w:ascii="Times New Roman" w:hAnsi="Times New Roman"/>
          <w:outline w:val="0"/>
          <w:color w:val="0f4761"/>
          <w:sz w:val="32"/>
          <w:szCs w:val="32"/>
          <w:u w:color="0f4761"/>
          <w:rtl w:val="0"/>
          <w:lang w:val="en-US"/>
          <w14:textFill>
            <w14:solidFill>
              <w14:srgbClr w14:val="0F4761"/>
            </w14:solidFill>
          </w14:textFill>
        </w:rPr>
        <w:t>Table of Contents</w:t>
      </w:r>
    </w:p>
    <w:p>
      <w:pPr>
        <w:pStyle w:val="Body A"/>
      </w:pPr>
      <w:r>
        <w:rPr>
          <w:rFonts w:ascii="Times New Roman" w:cs="Times New Roman" w:hAnsi="Times New Roman" w:eastAsia="Times New Roman"/>
          <w:outline w:val="0"/>
          <w:color w:val="0f4761"/>
          <w:sz w:val="32"/>
          <w:szCs w:val="32"/>
          <w:u w:color="0f4761"/>
          <w14:textFill>
            <w14:solidFill>
              <w14:srgbClr w14:val="0F4761"/>
            </w14:solidFill>
          </w14:textFill>
        </w:rPr>
        <w:fldChar w:fldCharType="begin" w:fldLock="0"/>
      </w:r>
      <w:r>
        <w:rPr>
          <w:rFonts w:ascii="Times New Roman" w:cs="Times New Roman" w:hAnsi="Times New Roman" w:eastAsia="Times New Roman"/>
          <w:outline w:val="0"/>
          <w:color w:val="0f4761"/>
          <w:sz w:val="32"/>
          <w:szCs w:val="32"/>
          <w:u w:color="0f4761"/>
          <w14:textFill>
            <w14:solidFill>
              <w14:srgbClr w14:val="0F4761"/>
            </w14:solidFill>
          </w14:textFill>
        </w:rPr>
        <w:instrText xml:space="preserve"> TOC \o 1-2 </w:instrText>
      </w:r>
      <w:r>
        <w:rPr>
          <w:rFonts w:ascii="Times New Roman" w:cs="Times New Roman" w:hAnsi="Times New Roman" w:eastAsia="Times New Roman"/>
          <w:outline w:val="0"/>
          <w:color w:val="0f4761"/>
          <w:sz w:val="32"/>
          <w:szCs w:val="32"/>
          <w:u w:color="0f4761"/>
          <w14:textFill>
            <w14:solidFill>
              <w14:srgbClr w14:val="0F4761"/>
            </w14:solidFill>
          </w14:textFill>
        </w:rPr>
        <w:fldChar w:fldCharType="separate" w:fldLock="0"/>
      </w:r>
    </w:p>
    <w:p>
      <w:pPr>
        <w:pStyle w:val="TOC 1"/>
      </w:pPr>
      <w:r>
        <w:rPr>
          <w:rtl w:val="0"/>
        </w:rPr>
        <w:t>Introduction</w:t>
        <w:tab/>
      </w:r>
      <w:r>
        <w:rPr/>
        <w:fldChar w:fldCharType="begin" w:fldLock="0"/>
      </w:r>
      <w:r>
        <w:instrText xml:space="preserve"> PAGEREF _Toc \h </w:instrText>
      </w:r>
      <w:r>
        <w:rPr/>
        <w:fldChar w:fldCharType="separate" w:fldLock="0"/>
      </w:r>
      <w:r>
        <w:rPr>
          <w:rtl w:val="0"/>
        </w:rPr>
        <w:t>1</w:t>
      </w:r>
      <w:r>
        <w:rPr/>
        <w:fldChar w:fldCharType="end" w:fldLock="0"/>
      </w:r>
    </w:p>
    <w:p>
      <w:pPr>
        <w:pStyle w:val="TOC 1"/>
      </w:pPr>
      <w:r>
        <w:rPr>
          <w:rtl w:val="0"/>
        </w:rPr>
        <w:t>Task 2 – Evaluating Information Sources</w:t>
        <w:tab/>
      </w:r>
      <w:r>
        <w:rPr/>
        <w:fldChar w:fldCharType="begin" w:fldLock="0"/>
      </w:r>
      <w:r>
        <w:instrText xml:space="preserve"> PAGEREF _Toc1 \h </w:instrText>
      </w:r>
      <w:r>
        <w:rPr/>
        <w:fldChar w:fldCharType="separate" w:fldLock="0"/>
      </w:r>
      <w:r>
        <w:rPr>
          <w:rtl w:val="0"/>
        </w:rPr>
        <w:t>3</w:t>
      </w:r>
      <w:r>
        <w:rPr/>
        <w:fldChar w:fldCharType="end" w:fldLock="0"/>
      </w:r>
    </w:p>
    <w:p>
      <w:pPr>
        <w:pStyle w:val="TOC 2"/>
      </w:pPr>
      <w:r>
        <w:rPr>
          <w:rtl w:val="0"/>
        </w:rPr>
        <w:t>2.1 Source 1 - Academic Research Article</w:t>
        <w:tab/>
      </w:r>
      <w:r>
        <w:rPr/>
        <w:fldChar w:fldCharType="begin" w:fldLock="0"/>
      </w:r>
      <w:r>
        <w:instrText xml:space="preserve"> PAGEREF _Toc2 \h </w:instrText>
      </w:r>
      <w:r>
        <w:rPr/>
        <w:fldChar w:fldCharType="separate" w:fldLock="0"/>
      </w:r>
      <w:r>
        <w:rPr>
          <w:rtl w:val="0"/>
        </w:rPr>
        <w:t>3</w:t>
      </w:r>
      <w:r>
        <w:rPr/>
        <w:fldChar w:fldCharType="end" w:fldLock="0"/>
      </w:r>
    </w:p>
    <w:p>
      <w:pPr>
        <w:pStyle w:val="TOC 2"/>
      </w:pPr>
      <w:r>
        <w:rPr>
          <w:rtl w:val="0"/>
        </w:rPr>
        <w:t>2.2 Source 2- Review on Digital Inequality</w:t>
        <w:tab/>
      </w:r>
      <w:r>
        <w:rPr/>
        <w:fldChar w:fldCharType="begin" w:fldLock="0"/>
      </w:r>
      <w:r>
        <w:instrText xml:space="preserve"> PAGEREF _Toc3 \h </w:instrText>
      </w:r>
      <w:r>
        <w:rPr/>
        <w:fldChar w:fldCharType="separate" w:fldLock="0"/>
      </w:r>
      <w:r>
        <w:rPr>
          <w:rtl w:val="0"/>
        </w:rPr>
        <w:t>3</w:t>
      </w:r>
      <w:r>
        <w:rPr/>
        <w:fldChar w:fldCharType="end" w:fldLock="0"/>
      </w:r>
    </w:p>
    <w:p>
      <w:pPr>
        <w:pStyle w:val="TOC 2"/>
      </w:pPr>
      <w:r>
        <w:rPr>
          <w:rtl w:val="0"/>
        </w:rPr>
        <w:t>2.3 Source 3- Government/Public Organisation</w:t>
        <w:tab/>
      </w:r>
      <w:r>
        <w:rPr/>
        <w:fldChar w:fldCharType="begin" w:fldLock="0"/>
      </w:r>
      <w:r>
        <w:instrText xml:space="preserve"> PAGEREF _Toc4 \h </w:instrText>
      </w:r>
      <w:r>
        <w:rPr/>
        <w:fldChar w:fldCharType="separate" w:fldLock="0"/>
      </w:r>
      <w:r>
        <w:rPr>
          <w:rtl w:val="0"/>
        </w:rPr>
        <w:t>4</w:t>
      </w:r>
      <w:r>
        <w:rPr/>
        <w:fldChar w:fldCharType="end" w:fldLock="0"/>
      </w:r>
    </w:p>
    <w:p>
      <w:pPr>
        <w:pStyle w:val="TOC 2"/>
      </w:pPr>
      <w:r>
        <w:rPr>
          <w:rtl w:val="0"/>
        </w:rPr>
        <w:t>2.4 Gaps in Current Research in Technology in Healthcare</w:t>
        <w:tab/>
      </w:r>
      <w:r>
        <w:rPr/>
        <w:fldChar w:fldCharType="begin" w:fldLock="0"/>
      </w:r>
      <w:r>
        <w:instrText xml:space="preserve"> PAGEREF _Toc5 \h </w:instrText>
      </w:r>
      <w:r>
        <w:rPr/>
        <w:fldChar w:fldCharType="separate" w:fldLock="0"/>
      </w:r>
      <w:r>
        <w:rPr>
          <w:rtl w:val="0"/>
        </w:rPr>
        <w:t>4</w:t>
      </w:r>
      <w:r>
        <w:rPr/>
        <w:fldChar w:fldCharType="end" w:fldLock="0"/>
      </w:r>
    </w:p>
    <w:p>
      <w:pPr>
        <w:pStyle w:val="TOC 1"/>
      </w:pPr>
      <w:r>
        <w:rPr>
          <w:rtl w:val="0"/>
        </w:rPr>
        <w:t>3 – Research Methodologies</w:t>
        <w:tab/>
      </w:r>
      <w:r>
        <w:rPr/>
        <w:fldChar w:fldCharType="begin" w:fldLock="0"/>
      </w:r>
      <w:r>
        <w:instrText xml:space="preserve"> PAGEREF _Toc6 \h </w:instrText>
      </w:r>
      <w:r>
        <w:rPr/>
        <w:fldChar w:fldCharType="separate" w:fldLock="0"/>
      </w:r>
      <w:r>
        <w:rPr>
          <w:rtl w:val="0"/>
        </w:rPr>
        <w:t>5</w:t>
      </w:r>
      <w:r>
        <w:rPr/>
        <w:fldChar w:fldCharType="end" w:fldLock="0"/>
      </w:r>
    </w:p>
    <w:p>
      <w:pPr>
        <w:pStyle w:val="TOC 1"/>
      </w:pPr>
      <w:r>
        <w:rPr>
          <w:rtl w:val="0"/>
        </w:rPr>
        <w:t>3.1 Definitions and Examples</w:t>
        <w:tab/>
      </w:r>
      <w:r>
        <w:rPr/>
        <w:fldChar w:fldCharType="begin" w:fldLock="0"/>
      </w:r>
      <w:r>
        <w:instrText xml:space="preserve"> PAGEREF _Toc7 \h </w:instrText>
      </w:r>
      <w:r>
        <w:rPr/>
        <w:fldChar w:fldCharType="separate" w:fldLock="0"/>
      </w:r>
      <w:r>
        <w:rPr>
          <w:rtl w:val="0"/>
        </w:rPr>
        <w:t>5</w:t>
      </w:r>
      <w:r>
        <w:rPr/>
        <w:fldChar w:fldCharType="end" w:fldLock="0"/>
      </w:r>
    </w:p>
    <w:p>
      <w:pPr>
        <w:pStyle w:val="TOC 2"/>
      </w:pPr>
      <w:r>
        <w:rPr>
          <w:rtl w:val="0"/>
        </w:rPr>
        <w:t>3.2 Chosen Methodology and Justification</w:t>
        <w:tab/>
      </w:r>
      <w:r>
        <w:rPr/>
        <w:fldChar w:fldCharType="begin" w:fldLock="0"/>
      </w:r>
      <w:r>
        <w:instrText xml:space="preserve"> PAGEREF _Toc8 \h </w:instrText>
      </w:r>
      <w:r>
        <w:rPr/>
        <w:fldChar w:fldCharType="separate" w:fldLock="0"/>
      </w:r>
      <w:r>
        <w:rPr>
          <w:rtl w:val="0"/>
        </w:rPr>
        <w:t>6</w:t>
      </w:r>
      <w:r>
        <w:rPr/>
        <w:fldChar w:fldCharType="end" w:fldLock="0"/>
      </w:r>
    </w:p>
    <w:p>
      <w:pPr>
        <w:pStyle w:val="TOC 2"/>
      </w:pPr>
      <w:r>
        <w:rPr>
          <w:rtl w:val="0"/>
        </w:rPr>
        <w:t>4.1 Primary vs Secondary Data</w:t>
        <w:tab/>
      </w:r>
      <w:r>
        <w:rPr/>
        <w:fldChar w:fldCharType="begin" w:fldLock="0"/>
      </w:r>
      <w:r>
        <w:instrText xml:space="preserve"> PAGEREF _Toc9 \h </w:instrText>
      </w:r>
      <w:r>
        <w:rPr/>
        <w:fldChar w:fldCharType="separate" w:fldLock="0"/>
      </w:r>
      <w:r>
        <w:rPr>
          <w:rtl w:val="0"/>
        </w:rPr>
        <w:t>7</w:t>
      </w:r>
      <w:r>
        <w:rPr/>
        <w:fldChar w:fldCharType="end" w:fldLock="0"/>
      </w:r>
    </w:p>
    <w:p>
      <w:pPr>
        <w:pStyle w:val="TOC 2"/>
      </w:pPr>
      <w:r>
        <w:rPr>
          <w:rtl w:val="0"/>
        </w:rPr>
        <w:t>4.2 Chosen Data Type and Justification</w:t>
        <w:tab/>
      </w:r>
      <w:r>
        <w:rPr/>
        <w:fldChar w:fldCharType="begin" w:fldLock="0"/>
      </w:r>
      <w:r>
        <w:instrText xml:space="preserve"> PAGEREF _Toc10 \h </w:instrText>
      </w:r>
      <w:r>
        <w:rPr/>
        <w:fldChar w:fldCharType="separate" w:fldLock="0"/>
      </w:r>
      <w:r>
        <w:rPr>
          <w:rtl w:val="0"/>
        </w:rPr>
        <w:t>7</w:t>
      </w:r>
      <w:r>
        <w:rPr/>
        <w:fldChar w:fldCharType="end" w:fldLock="0"/>
      </w:r>
    </w:p>
    <w:p>
      <w:pPr>
        <w:pStyle w:val="TOC 2"/>
      </w:pPr>
      <w:r>
        <w:rPr>
          <w:rtl w:val="0"/>
        </w:rPr>
        <w:t>In-depth and meaningful findings</w:t>
        <w:tab/>
      </w:r>
      <w:r>
        <w:rPr/>
        <w:fldChar w:fldCharType="begin" w:fldLock="0"/>
      </w:r>
      <w:r>
        <w:instrText xml:space="preserve"> PAGEREF _Toc11 \h </w:instrText>
      </w:r>
      <w:r>
        <w:rPr/>
        <w:fldChar w:fldCharType="separate" w:fldLock="0"/>
      </w:r>
      <w:r>
        <w:rPr>
          <w:rtl w:val="0"/>
        </w:rPr>
        <w:t>8</w:t>
      </w:r>
      <w:r>
        <w:rPr/>
        <w:fldChar w:fldCharType="end" w:fldLock="0"/>
      </w:r>
    </w:p>
    <w:p>
      <w:pPr>
        <w:pStyle w:val="TOC 2"/>
      </w:pPr>
      <w:r>
        <w:rPr>
          <w:rtl w:val="0"/>
        </w:rPr>
        <w:t>Direct relevance to the research topic</w:t>
        <w:tab/>
      </w:r>
      <w:r>
        <w:rPr/>
        <w:fldChar w:fldCharType="begin" w:fldLock="0"/>
      </w:r>
      <w:r>
        <w:instrText xml:space="preserve"> PAGEREF _Toc12 \h </w:instrText>
      </w:r>
      <w:r>
        <w:rPr/>
        <w:fldChar w:fldCharType="separate" w:fldLock="0"/>
      </w:r>
      <w:r>
        <w:rPr>
          <w:rtl w:val="0"/>
        </w:rPr>
        <w:t>8</w:t>
      </w:r>
      <w:r>
        <w:rPr/>
        <w:fldChar w:fldCharType="end" w:fldLock="0"/>
      </w:r>
    </w:p>
    <w:p>
      <w:pPr>
        <w:pStyle w:val="TOC 1"/>
      </w:pPr>
      <w:r>
        <w:rPr>
          <w:rtl w:val="0"/>
        </w:rPr>
        <w:t>Conclusion</w:t>
        <w:tab/>
      </w:r>
      <w:r>
        <w:rPr/>
        <w:fldChar w:fldCharType="begin" w:fldLock="0"/>
      </w:r>
      <w:r>
        <w:instrText xml:space="preserve"> PAGEREF _Toc13 \h </w:instrText>
      </w:r>
      <w:r>
        <w:rPr/>
        <w:fldChar w:fldCharType="separate" w:fldLock="0"/>
      </w:r>
      <w:r>
        <w:rPr>
          <w:rtl w:val="0"/>
        </w:rPr>
        <w:t>9</w:t>
      </w:r>
      <w:r>
        <w:rPr/>
        <w:fldChar w:fldCharType="end" w:fldLock="0"/>
      </w:r>
    </w:p>
    <w:p>
      <w:pPr>
        <w:pStyle w:val="Body A"/>
      </w:pPr>
      <w:r>
        <w:rPr>
          <w:rFonts w:ascii="Times New Roman" w:cs="Times New Roman" w:hAnsi="Times New Roman" w:eastAsia="Times New Roman"/>
          <w:outline w:val="0"/>
          <w:color w:val="0f4761"/>
          <w:sz w:val="32"/>
          <w:szCs w:val="32"/>
          <w:u w:color="0f4761"/>
          <w14:textFill>
            <w14:solidFill>
              <w14:srgbClr w14:val="0F4761"/>
            </w14:solidFill>
          </w14:textFill>
        </w:rPr>
        <w:fldChar w:fldCharType="end" w:fldLock="0"/>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sectPr>
          <w:headerReference w:type="default" r:id="rId4"/>
          <w:headerReference w:type="first" r:id="rId5"/>
          <w:footerReference w:type="default" r:id="rId6"/>
          <w:footerReference w:type="first" r:id="rId7"/>
          <w:pgSz w:w="11900" w:h="16840" w:orient="portrait"/>
          <w:pgMar w:top="1440" w:right="1440" w:bottom="1440" w:left="1440" w:header="708" w:footer="708"/>
          <w:pgNumType w:start="0"/>
          <w:titlePg w:val="1"/>
          <w:bidi w:val="0"/>
        </w:sectPr>
      </w:pPr>
    </w:p>
    <w:p>
      <w:pPr>
        <w:pStyle w:val="Body A"/>
        <w:jc w:val="both"/>
        <w:rPr>
          <w:sz w:val="36"/>
          <w:szCs w:val="36"/>
        </w:rPr>
      </w:pPr>
      <w:r>
        <w:rPr>
          <w:sz w:val="36"/>
          <w:szCs w:val="36"/>
          <w:rtl w:val="0"/>
          <w:lang w:val="en-US"/>
        </w:rPr>
        <w:t xml:space="preserve">                      </w:t>
      </w:r>
    </w:p>
    <w:p>
      <w:pPr>
        <w:pStyle w:val="Body A"/>
        <w:jc w:val="both"/>
        <w:rPr>
          <w:sz w:val="40"/>
          <w:szCs w:val="40"/>
        </w:rPr>
      </w:pPr>
      <w:r>
        <w:rPr>
          <w:sz w:val="36"/>
          <w:szCs w:val="36"/>
          <w:rtl w:val="0"/>
          <w:lang w:val="en-US"/>
        </w:rPr>
        <w:t xml:space="preserve">                      </w:t>
      </w:r>
      <w:r>
        <w:rPr>
          <w:sz w:val="40"/>
          <w:szCs w:val="40"/>
          <w:rtl w:val="0"/>
          <w:lang w:val="en-US"/>
        </w:rPr>
        <w:t>Technology in Healthcare</w:t>
      </w:r>
    </w:p>
    <w:p>
      <w:pPr>
        <w:pStyle w:val="Heading"/>
        <w:rPr>
          <w:rFonts w:ascii="Arial" w:cs="Arial" w:hAnsi="Arial" w:eastAsia="Arial"/>
        </w:rPr>
      </w:pPr>
    </w:p>
    <w:p>
      <w:pPr>
        <w:pStyle w:val="Heading"/>
        <w:rPr>
          <w:rFonts w:ascii="Arial" w:cs="Arial" w:hAnsi="Arial" w:eastAsia="Arial"/>
        </w:rPr>
      </w:pPr>
    </w:p>
    <w:p>
      <w:pPr>
        <w:pStyle w:val="Heading"/>
      </w:pPr>
      <w:bookmarkStart w:name="_Toc" w:id="0"/>
      <w:r>
        <w:rPr>
          <w:rtl w:val="0"/>
          <w:lang w:val="fr-FR"/>
        </w:rPr>
        <w:t xml:space="preserve">Introduction </w:t>
      </w:r>
      <w:bookmarkEnd w:id="0"/>
    </w:p>
    <w:p>
      <w:pPr>
        <w:pStyle w:val="Heading"/>
        <w:spacing w:line="360" w:lineRule="auto"/>
      </w:pPr>
      <w:r>
        <w:rPr>
          <w:rtl w:val="0"/>
        </w:rPr>
        <w:t xml:space="preserve"> </w:t>
      </w:r>
    </w:p>
    <w:p>
      <w:pPr>
        <w:pStyle w:val="Body A"/>
      </w:pPr>
      <w:r>
        <w:rPr>
          <w:rtl w:val="0"/>
          <w:lang w:val="en-US"/>
        </w:rPr>
        <w:t>This report, technology in healthcare is presented as essential for improving access, quality, and safety across different settings. Telemedicine, wearable devices, remote monitoring, and electronic records support people with chronic conditions, diverse In healthcare groups, and those needing ongoing care. Evidence shows that telemedicine significantly improves outcomes and expands access for underserved populations (Ezeamii et al., 2024, Abstract). This highlights why technology is vital in modern healthcare practice. Digital systems, AI, and telehealth discussed in the report also reveal issues such as digital inequality and data security. Research suggests digital transformation enhances efficiency and disease monitoring (Kakale, 2023), linking technology to safer, better healthcare.</w:t>
      </w:r>
      <w:r>
        <w:rPr>
          <w:rtl w:val="0"/>
        </w:rPr>
        <w:t> </w:t>
      </w:r>
    </w:p>
    <w:p>
      <w:pPr>
        <w:pStyle w:val="Default"/>
        <w:rPr>
          <w:rFonts w:ascii="Arial" w:cs="Arial" w:hAnsi="Arial" w:eastAsia="Arial"/>
          <w:sz w:val="28"/>
          <w:szCs w:val="28"/>
        </w:rPr>
      </w:pPr>
    </w:p>
    <w:p>
      <w:pPr>
        <w:pStyle w:val="Heading 2"/>
      </w:pPr>
    </w:p>
    <w:p>
      <w:pPr>
        <w:pStyle w:val="Default"/>
        <w:rPr>
          <w:rFonts w:ascii="Arial" w:cs="Arial" w:hAnsi="Arial" w:eastAsia="Arial"/>
        </w:rPr>
      </w:pPr>
    </w:p>
    <w:p>
      <w:pPr>
        <w:pStyle w:val="Heading 2"/>
        <w:rPr>
          <w:rFonts w:ascii="Aptos" w:cs="Aptos" w:hAnsi="Aptos" w:eastAsia="Aptos"/>
        </w:rPr>
      </w:pPr>
    </w:p>
    <w:p>
      <w:pPr>
        <w:pStyle w:val="Heading 2"/>
        <w:rPr>
          <w:rFonts w:ascii="Aptos" w:cs="Aptos" w:hAnsi="Aptos" w:eastAsia="Aptos"/>
        </w:rPr>
      </w:pPr>
    </w:p>
    <w:p>
      <w:pPr>
        <w:pStyle w:val="Heading 2"/>
        <w:rPr>
          <w:rFonts w:ascii="Aptos" w:cs="Aptos" w:hAnsi="Aptos" w:eastAsia="Aptos"/>
        </w:rPr>
      </w:pPr>
    </w:p>
    <w:p>
      <w:pPr>
        <w:pStyle w:val="Heading 2"/>
        <w:rPr>
          <w:rFonts w:ascii="Aptos" w:cs="Aptos" w:hAnsi="Aptos" w:eastAsia="Aptos"/>
        </w:rPr>
      </w:pPr>
    </w:p>
    <w:p>
      <w:pPr>
        <w:pStyle w:val="Heading 2"/>
        <w:rPr>
          <w:rFonts w:ascii="Aptos" w:cs="Aptos" w:hAnsi="Aptos" w:eastAsia="Aptos"/>
        </w:rPr>
      </w:pPr>
    </w:p>
    <w:p>
      <w:pPr>
        <w:pStyle w:val="Heading 2"/>
        <w:rPr>
          <w:rFonts w:ascii="Aptos" w:cs="Aptos" w:hAnsi="Aptos" w:eastAsia="Aptos"/>
        </w:rPr>
      </w:pPr>
    </w:p>
    <w:p>
      <w:pPr>
        <w:pStyle w:val="Body A"/>
        <w:rPr>
          <w:sz w:val="32"/>
          <w:szCs w:val="32"/>
        </w:rPr>
      </w:pPr>
    </w:p>
    <w:p>
      <w:pPr>
        <w:pStyle w:val="Body A"/>
        <w:rPr>
          <w:sz w:val="32"/>
          <w:szCs w:val="32"/>
        </w:rPr>
      </w:pPr>
    </w:p>
    <w:p>
      <w:pPr>
        <w:pStyle w:val="Body A"/>
        <w:rPr>
          <w:sz w:val="32"/>
          <w:szCs w:val="32"/>
        </w:rPr>
      </w:pPr>
      <w:r>
        <w:rPr>
          <w:sz w:val="32"/>
          <w:szCs w:val="32"/>
          <w:rtl w:val="0"/>
          <w:lang w:val="en-US"/>
        </w:rPr>
        <w:t>1.1 The Issue and Why It Matters</w:t>
      </w:r>
    </w:p>
    <w:p>
      <w:pPr>
        <w:pStyle w:val="Body A"/>
        <w:jc w:val="both"/>
      </w:pPr>
      <w:r>
        <w:rPr>
          <w:rtl w:val="0"/>
          <w:lang w:val="en-US"/>
        </w:rPr>
        <w:t>The main current challenge in technology</w:t>
      </w:r>
      <w:r>
        <w:rPr>
          <w:rtl w:val="0"/>
        </w:rPr>
        <w:t>‑</w:t>
      </w:r>
      <w:r>
        <w:rPr>
          <w:rtl w:val="0"/>
          <w:lang w:val="en-US"/>
        </w:rPr>
        <w:t>supported healthcare is the digital health divide, which refers to limited access to digital tools such as health apps, telemedicine, patient portals, remote monitoring systems, and wearable devices. Limited digital literacy affects a significant number of people, especially those with poor internet access, chronic illness, low income, or who belong to underrepresented communities. For example, research shows that digital tools often benefit people who are well educated, while underrepresented groups struggle to access or use these technologies effectively (Western et al., 2025). This creates problems for individuals who require continuous, coordinated care, who must manage their own conditions, and who risk being left behind. The digital divide is important because it compromises patient safety, health outcomes, and fair access to healthcare services. Findings suggest that barriers such as limited broadband access, poor digital literacy, and inappropriate technology design reinforce existing racial, socioeconomic, and geographic health disparities (Culli, 2025). When people cannot access digital services, they lose opportunities for remote consultations, chronic illness monitoring, and prevention initiatives. As digital technology in healthcare continues to expand, inequalities may increase if these issues are not addressed, particularly for vulnerable individuals who could benefit most from new technology development.</w:t>
      </w:r>
    </w:p>
    <w:p>
      <w:pPr>
        <w:pStyle w:val="Heading 2"/>
      </w:pPr>
    </w:p>
    <w:p>
      <w:pPr>
        <w:pStyle w:val="Default"/>
        <w:rPr>
          <w:rFonts w:ascii="Arial" w:cs="Arial" w:hAnsi="Arial" w:eastAsia="Arial"/>
        </w:rPr>
      </w:pPr>
    </w:p>
    <w:p>
      <w:pPr>
        <w:pStyle w:val="Default"/>
        <w:rPr>
          <w:rFonts w:ascii="Arial" w:cs="Arial" w:hAnsi="Arial" w:eastAsia="Arial"/>
        </w:rPr>
      </w:pPr>
    </w:p>
    <w:p>
      <w:pPr>
        <w:pStyle w:val="Default"/>
        <w:rPr>
          <w:rFonts w:ascii="Aptos" w:cs="Aptos" w:hAnsi="Aptos" w:eastAsia="Aptos"/>
          <w:sz w:val="32"/>
          <w:szCs w:val="32"/>
        </w:rPr>
      </w:pPr>
      <w:r>
        <w:rPr>
          <w:rFonts w:ascii="Aptos" w:cs="Aptos" w:hAnsi="Aptos" w:eastAsia="Aptos"/>
          <w:sz w:val="32"/>
          <w:szCs w:val="32"/>
          <w:rtl w:val="0"/>
          <w:lang w:val="en-US"/>
        </w:rPr>
        <w:t xml:space="preserve">1.2 Personal Reflection </w:t>
      </w:r>
      <w:r>
        <w:rPr>
          <w:rFonts w:ascii="Aptos" w:cs="Aptos" w:hAnsi="Aptos" w:eastAsia="Aptos"/>
          <w:sz w:val="32"/>
          <w:szCs w:val="32"/>
          <w:rtl w:val="0"/>
        </w:rPr>
        <w:t xml:space="preserve">– </w:t>
      </w:r>
      <w:r>
        <w:rPr>
          <w:rFonts w:ascii="Aptos" w:cs="Aptos" w:hAnsi="Aptos" w:eastAsia="Aptos"/>
          <w:sz w:val="32"/>
          <w:szCs w:val="32"/>
          <w:rtl w:val="0"/>
          <w:lang w:val="en-US"/>
        </w:rPr>
        <w:t>Why I Chose This Topic</w:t>
      </w:r>
    </w:p>
    <w:p>
      <w:pPr>
        <w:pStyle w:val="Default"/>
        <w:spacing w:after="213"/>
        <w:rPr>
          <w:rFonts w:ascii="Arial" w:cs="Arial" w:hAnsi="Arial" w:eastAsia="Arial"/>
        </w:rPr>
      </w:pPr>
      <w:r>
        <w:rPr>
          <w:rFonts w:ascii="Arial" w:hAnsi="Arial" w:hint="default"/>
          <w:rtl w:val="0"/>
        </w:rPr>
        <w:t> </w:t>
      </w:r>
      <w:r>
        <w:rPr>
          <w:rFonts w:ascii="Arial" w:hAnsi="Arial"/>
          <w:rtl w:val="0"/>
          <w:lang w:val="en-US"/>
        </w:rPr>
        <w:t>I chose technology in healthcare because I have seen how much it has grown in health organisations around the world. Digital tools are increasingly improving care services, and through my health and social care studies, I have learned how technology supports both professionals and service users, especially those who struggle with appointments or need ongoing care. Understanding the benefits and challenges of digital systems is essential for future healthcare. Choosing this topic motivates me to support people</w:t>
      </w:r>
      <w:r>
        <w:rPr>
          <w:rtl w:val="1"/>
        </w:rPr>
        <w:t>’</w:t>
      </w:r>
      <w:r>
        <w:rPr>
          <w:rFonts w:ascii="Arial" w:hAnsi="Arial"/>
          <w:rtl w:val="0"/>
          <w:lang w:val="en-US"/>
        </w:rPr>
        <w:t>s needs and raise awareness of digital inequalities. Completing this research has strengthened my interest in technology and given me knowledge I can use safely and effectively in practice.</w:t>
      </w:r>
      <w:r>
        <w:rPr>
          <w:rFonts w:ascii="Arial" w:hAnsi="Arial" w:hint="default"/>
          <w:rtl w:val="0"/>
        </w:rPr>
        <w:t> </w:t>
      </w:r>
    </w:p>
    <w:p>
      <w:pPr>
        <w:pStyle w:val="Body A"/>
        <w:jc w:val="both"/>
      </w:pPr>
      <w:r>
        <w:rPr>
          <w:rtl w:val="0"/>
        </w:rPr>
        <w:t>.</w:t>
      </w:r>
    </w:p>
    <w:p>
      <w:pPr>
        <w:pStyle w:val="Body A"/>
      </w:pPr>
    </w:p>
    <w:p>
      <w:pPr>
        <w:pStyle w:val="Body A"/>
      </w:pPr>
    </w:p>
    <w:p>
      <w:pPr>
        <w:pStyle w:val="Heading"/>
      </w:pPr>
      <w:bookmarkStart w:name="_Toc1" w:id="1"/>
      <w:r>
        <w:rPr>
          <w:rtl w:val="0"/>
          <w:lang w:val="en-US"/>
        </w:rPr>
        <w:t xml:space="preserve">Task 2 </w:t>
      </w:r>
      <w:r>
        <w:rPr>
          <w:rtl w:val="0"/>
        </w:rPr>
        <w:t xml:space="preserve">– </w:t>
      </w:r>
      <w:r>
        <w:rPr>
          <w:rtl w:val="0"/>
          <w:lang w:val="en-US"/>
        </w:rPr>
        <w:t xml:space="preserve">Evaluating Information Sources  </w:t>
      </w:r>
      <w:bookmarkEnd w:id="1"/>
    </w:p>
    <w:p>
      <w:pPr>
        <w:pStyle w:val="Heading 2"/>
        <w:rPr>
          <w:sz w:val="32"/>
          <w:szCs w:val="32"/>
        </w:rPr>
      </w:pPr>
      <w:bookmarkStart w:name="_Toc2" w:id="2"/>
      <w:r>
        <w:rPr>
          <w:rFonts w:cs="Arial Unicode MS" w:eastAsia="Arial Unicode MS"/>
          <w:sz w:val="32"/>
          <w:szCs w:val="32"/>
          <w:rtl w:val="0"/>
          <w:lang w:val="en-US"/>
        </w:rPr>
        <w:t>2.1 Source 1 - Academic Research Article</w:t>
      </w:r>
      <w:bookmarkEnd w:id="2"/>
    </w:p>
    <w:p>
      <w:pPr>
        <w:pStyle w:val="Body A"/>
      </w:pPr>
      <w:r>
        <w:rPr>
          <w:rtl w:val="0"/>
          <w:lang w:val="en-US"/>
        </w:rPr>
        <w:t xml:space="preserve">In this article focuses on exploring how telemedicine improves patient outcomes in the management of chronic diseases such as diabetes. The data underscores the benefits  of improved monitoring, cost savings and enhanced accountability. Furthermore, this section provides an overview demonstrating that telehealth reduces geographical barriers while fostering long term engagement. The article was  peer reviewed  by professional medical journal and is indexed in a major database. Published in </w:t>
      </w:r>
      <w:r>
        <w:rPr>
          <w:i w:val="1"/>
          <w:iCs w:val="1"/>
          <w:rtl w:val="0"/>
          <w:lang w:val="en-US"/>
        </w:rPr>
        <w:t>Cureus</w:t>
      </w:r>
      <w:r>
        <w:rPr>
          <w:rtl w:val="0"/>
          <w:lang w:val="en-US"/>
        </w:rPr>
        <w:t xml:space="preserve"> in 2024, the research is current.This systematic review utilised methods that strengthen  the reliability of its findings, it was written by qualified health professionals and is evidence-based.</w:t>
      </w:r>
    </w:p>
    <w:p>
      <w:pPr>
        <w:pStyle w:val="Body A"/>
      </w:pPr>
      <w:r>
        <w:rPr>
          <w:rtl w:val="0"/>
          <w:lang w:val="en-US"/>
        </w:rPr>
        <w:t>This source supports my topic because technology plays an important role in modern healthcare, supporting the argument that telemedicine improves access and outcomes.(</w:t>
      </w:r>
      <w:r>
        <w:rPr>
          <w:rtl w:val="0"/>
        </w:rPr>
        <w:t>Ezeamii et al</w:t>
      </w:r>
      <w:r>
        <w:rPr>
          <w:rtl w:val="0"/>
          <w:lang w:val="en-US"/>
        </w:rPr>
        <w:t>, 2024). It demonstrates how digital tool directly benefit patients, providing strong scientific evidence to help justify the importance of technology in today</w:t>
      </w:r>
      <w:r>
        <w:rPr>
          <w:rtl w:val="0"/>
          <w:lang w:val="en-US"/>
        </w:rPr>
        <w:t>’</w:t>
      </w:r>
      <w:r>
        <w:rPr>
          <w:rtl w:val="0"/>
          <w:lang w:val="en-US"/>
        </w:rPr>
        <w:t>s health and social care system.</w:t>
      </w:r>
    </w:p>
    <w:p>
      <w:pPr>
        <w:pStyle w:val="Body A"/>
        <w:rPr>
          <w:sz w:val="32"/>
          <w:szCs w:val="32"/>
        </w:rPr>
      </w:pPr>
    </w:p>
    <w:p>
      <w:pPr>
        <w:pStyle w:val="Heading 2"/>
        <w:rPr>
          <w:sz w:val="32"/>
          <w:szCs w:val="32"/>
        </w:rPr>
      </w:pPr>
      <w:bookmarkStart w:name="_Toc3" w:id="3"/>
      <w:r>
        <w:rPr>
          <w:rFonts w:cs="Arial Unicode MS" w:eastAsia="Arial Unicode MS"/>
          <w:sz w:val="32"/>
          <w:szCs w:val="32"/>
          <w:rtl w:val="0"/>
          <w:lang w:val="en-US"/>
        </w:rPr>
        <w:t>2.2 Source 2- Review on Digital Inequality</w:t>
      </w:r>
      <w:bookmarkEnd w:id="3"/>
    </w:p>
    <w:p>
      <w:pPr>
        <w:pStyle w:val="Body A"/>
      </w:pPr>
      <w:r>
        <w:rPr>
          <w:rtl w:val="0"/>
          <w:lang w:val="en-US"/>
        </w:rPr>
        <w:t xml:space="preserve">This narrative review demonstrates  how the </w:t>
      </w:r>
      <w:r>
        <w:rPr>
          <w:rtl w:val="0"/>
          <w:lang w:val="en-US"/>
        </w:rPr>
        <w:t>“</w:t>
      </w:r>
      <w:r>
        <w:rPr>
          <w:rtl w:val="0"/>
          <w:lang w:val="en-US"/>
        </w:rPr>
        <w:t>digital health divide</w:t>
      </w:r>
      <w:r>
        <w:rPr>
          <w:rtl w:val="0"/>
          <w:lang w:val="en-US"/>
        </w:rPr>
        <w:t xml:space="preserve">” </w:t>
      </w:r>
      <w:r>
        <w:rPr>
          <w:rtl w:val="0"/>
          <w:lang w:val="en-US"/>
        </w:rPr>
        <w:t>involves unequal access, issues of digital illiteracy, and socioeconomic factors that prevent disadvantaged  groups from fully benefiting  from healthcare technologies,(</w:t>
      </w:r>
      <w:r>
        <w:rPr>
          <w:rtl w:val="0"/>
          <w:lang w:val="de-DE"/>
        </w:rPr>
        <w:t>Western, M.J. et al</w:t>
      </w:r>
      <w:r>
        <w:rPr>
          <w:rtl w:val="0"/>
          <w:lang w:val="en-US"/>
        </w:rPr>
        <w:t xml:space="preserve">., </w:t>
      </w:r>
      <w:r>
        <w:rPr>
          <w:rtl w:val="0"/>
        </w:rPr>
        <w:t>2025)</w:t>
      </w:r>
      <w:r>
        <w:rPr>
          <w:rtl w:val="0"/>
          <w:lang w:val="en-US"/>
        </w:rPr>
        <w:t>. Accordingly, differences in the uptake, engagement with, and effectiveness of digital health interventions according to social inequality indicators need to be understood across three underlying levels if the digital health divide. Addressing the first, second, and third levels requires more inclusive digital health designs.(</w:t>
      </w:r>
      <w:r>
        <w:rPr>
          <w:rtl w:val="0"/>
          <w:lang w:val="de-DE"/>
        </w:rPr>
        <w:t>Western, M.J. et al</w:t>
      </w:r>
      <w:r>
        <w:rPr>
          <w:rtl w:val="0"/>
          <w:lang w:val="en-US"/>
        </w:rPr>
        <w:t xml:space="preserve">., </w:t>
      </w:r>
      <w:r>
        <w:rPr>
          <w:rtl w:val="0"/>
        </w:rPr>
        <w:t>2025</w:t>
      </w:r>
      <w:r>
        <w:rPr>
          <w:rtl w:val="0"/>
          <w:lang w:val="en-US"/>
        </w:rPr>
        <w:t xml:space="preserve">) </w:t>
      </w:r>
    </w:p>
    <w:p>
      <w:pPr>
        <w:pStyle w:val="Body A"/>
      </w:pPr>
      <w:r>
        <w:rPr>
          <w:rtl w:val="0"/>
          <w:lang w:val="en-US"/>
        </w:rPr>
        <w:t>The source is credible because the researchers are from respectable institutions and large group authorship. Peer-reviewed and published in a professional academic journal. It synthesis shows from multiple studies that gives a strong research foundation, strengthening expertise and validity.</w:t>
      </w:r>
    </w:p>
    <w:p>
      <w:pPr>
        <w:pStyle w:val="Body A"/>
      </w:pPr>
      <w:r>
        <w:rPr>
          <w:rtl w:val="0"/>
          <w:lang w:val="en-US"/>
        </w:rPr>
        <w:t>This source support my topic because it provides a different perspective by demonstrating the challenges and inequalities created by digital healthcare technologies. It highlights that while technology can enhance care, ensuring equitable health outcomes these issues to be addressed accessible and inclusive way.</w:t>
      </w:r>
    </w:p>
    <w:p>
      <w:pPr>
        <w:pStyle w:val="Heading 2"/>
        <w:rPr>
          <w:sz w:val="32"/>
          <w:szCs w:val="32"/>
        </w:rPr>
      </w:pPr>
      <w:bookmarkStart w:name="_Toc4" w:id="4"/>
      <w:r>
        <w:rPr>
          <w:rFonts w:cs="Arial Unicode MS" w:eastAsia="Arial Unicode MS"/>
          <w:sz w:val="32"/>
          <w:szCs w:val="32"/>
          <w:rtl w:val="0"/>
          <w:lang w:val="en-US"/>
        </w:rPr>
        <w:t>2.3 Source 3- Government/Public Organisation</w:t>
      </w:r>
      <w:bookmarkEnd w:id="4"/>
    </w:p>
    <w:p>
      <w:pPr>
        <w:pStyle w:val="Body A"/>
      </w:pPr>
      <w:r>
        <w:rPr>
          <w:rtl w:val="0"/>
          <w:lang w:val="en-US"/>
        </w:rPr>
        <w:t>The government discusses a new digital healthcare equity framework that emphasises telemedicine and digital tools, highlighting that inclusive platforms can improve access and efficiency. Public policy supports vulnerable populations and promotes digital literacy while emphasising inclusive technology design. The framework aims to promote fair and accessible healthcare by embedding equity into digital health policy for all.</w:t>
      </w:r>
    </w:p>
    <w:p>
      <w:pPr>
        <w:pStyle w:val="Body A"/>
      </w:pPr>
      <w:r>
        <w:rPr>
          <w:rtl w:val="0"/>
          <w:lang w:val="en-US"/>
        </w:rPr>
        <w:t>Public health and NHS policy discussions align digital inclusion and health inequality priorities with real</w:t>
      </w:r>
      <w:r>
        <w:rPr>
          <w:rtl w:val="0"/>
        </w:rPr>
        <w:t>‑</w:t>
      </w:r>
      <w:r>
        <w:rPr>
          <w:rtl w:val="0"/>
          <w:lang w:val="en-US"/>
        </w:rPr>
        <w:t>world healthcare systems. The source is credible because it combines professional authorship, evidence</w:t>
      </w:r>
      <w:r>
        <w:rPr>
          <w:rtl w:val="0"/>
        </w:rPr>
        <w:t>‑</w:t>
      </w:r>
      <w:r>
        <w:rPr>
          <w:rtl w:val="0"/>
          <w:lang w:val="en-US"/>
        </w:rPr>
        <w:t>based analysis, and peer</w:t>
      </w:r>
      <w:r>
        <w:rPr>
          <w:rtl w:val="0"/>
        </w:rPr>
        <w:t>‑</w:t>
      </w:r>
      <w:r>
        <w:rPr>
          <w:rtl w:val="0"/>
          <w:lang w:val="en-US"/>
        </w:rPr>
        <w:t>reviewed research, making it a reliable reference for discussing the digital divide in healthcare.</w:t>
      </w:r>
    </w:p>
    <w:p>
      <w:pPr>
        <w:pStyle w:val="Body A"/>
      </w:pPr>
      <w:r>
        <w:rPr>
          <w:rtl w:val="0"/>
          <w:lang w:val="en-US"/>
        </w:rPr>
        <w:t>The source shows the need for a fair and inclusive digital healthcare system. It support the discussion on how to implement about the ethical and equitable of healthcare technology.</w:t>
      </w:r>
    </w:p>
    <w:p>
      <w:pPr>
        <w:pStyle w:val="Body A"/>
      </w:pPr>
    </w:p>
    <w:p>
      <w:pPr>
        <w:pStyle w:val="Heading 2"/>
      </w:pPr>
    </w:p>
    <w:p>
      <w:pPr>
        <w:pStyle w:val="Heading 2"/>
        <w:rPr>
          <w:sz w:val="32"/>
          <w:szCs w:val="32"/>
        </w:rPr>
      </w:pPr>
      <w:bookmarkStart w:name="_Toc5" w:id="5"/>
      <w:r>
        <w:rPr>
          <w:rFonts w:cs="Arial Unicode MS" w:eastAsia="Arial Unicode MS"/>
          <w:sz w:val="32"/>
          <w:szCs w:val="32"/>
          <w:rtl w:val="0"/>
          <w:lang w:val="en-US"/>
        </w:rPr>
        <w:t>2.4 Gaps in Current Research in Technology in Healthcare</w:t>
      </w:r>
      <w:bookmarkEnd w:id="5"/>
    </w:p>
    <w:p>
      <w:pPr>
        <w:pStyle w:val="Body A"/>
      </w:pPr>
      <w:r>
        <w:rPr>
          <w:rtl w:val="0"/>
          <w:lang w:val="en-US"/>
        </w:rPr>
        <w:t xml:space="preserve">The lack of a unified definition and framework for digital health equity is one of the the major gaps in measuring  fairness and accessibility across the digital health system making evaluation difficult. Although technology in healthcare is rapidly expanding, several important gaps remain under-researched and poor understood. The concept of digital health equity is   complex and multidimensional, with inconsistent definitions that continue to pose challenges for achieving equity. Findings from recent scoping reviews (2024-2025) highlight that this lack of conceptual clarity limits the ability to develop effective intervention (Petretto et al., 2024). The researchers continue struggle with comparing studies and reducing digital inequalities due to the absence of a standardised conceptual framework and strategy. </w:t>
      </w:r>
    </w:p>
    <w:p>
      <w:pPr>
        <w:pStyle w:val="Body A"/>
      </w:pPr>
    </w:p>
    <w:p>
      <w:pPr>
        <w:pStyle w:val="Body A"/>
      </w:pPr>
      <w:r>
        <w:rPr>
          <w:rtl w:val="0"/>
          <w:lang w:val="en-US"/>
        </w:rPr>
        <w:t>The second gap concerns the lack of long-term evidence on telehealth outcomes, particularly beyond the COVID-19 pandemic.Telehealth use surged during the pandemic, and a systematic review covering the period 2020-2025 highlights that long -term clinical outcomes, cost effectiveness and workforce remain unclear (Rabbani et al., 2025). Much of the existing evidence focuses on a short-term benefits, leaving gaps in understanding how remote healthcare affects chronic disease management, patient-provider relationship  and the long-term sustainability of telehealth systems.</w:t>
      </w:r>
    </w:p>
    <w:p>
      <w:pPr>
        <w:pStyle w:val="Body A"/>
      </w:pPr>
    </w:p>
    <w:p>
      <w:pPr>
        <w:pStyle w:val="Body A"/>
      </w:pPr>
    </w:p>
    <w:p>
      <w:pPr>
        <w:pStyle w:val="Body A"/>
      </w:pPr>
      <w:r>
        <w:rPr>
          <w:rtl w:val="0"/>
          <w:lang w:val="en-US"/>
        </w:rPr>
        <w:t>Another under-researched area relates to patient-centred barriers in digital health, particularly privacy concerns, trust and digital literacy differences. A 2025 narrative meta-synthesis is identified 25 gaps and 74 challenges quality of care, including generational differences, lack of trust, and unclear data ownership (Livieri et al., 2025). These values and beliefs rarely measured in clinical trials, limiting understanding of how technology is implemented without capturing patient experiences.</w:t>
      </w:r>
    </w:p>
    <w:p>
      <w:pPr>
        <w:pStyle w:val="Body A"/>
      </w:pPr>
      <w:r>
        <w:rPr>
          <w:rtl w:val="0"/>
          <w:lang w:val="en-US"/>
        </w:rPr>
        <w:t>There is also a gap in equity-focused digital health research involving ethnic minorities, low-income populations, and older adults. Evidence shows that digital transformation may unintentionally worsen existing inequalities, especially for people with digital literacy or poor broadband access (Adedinsewo et al., 2023). However, few studies test targeted interventions to reduce inequity, such as culturally tailored digital platforms or community-based digital literacy programmes.</w:t>
      </w:r>
    </w:p>
    <w:p>
      <w:pPr>
        <w:pStyle w:val="Body A"/>
      </w:pPr>
      <w:r>
        <w:rPr>
          <w:rtl w:val="0"/>
          <w:lang w:val="en-US"/>
        </w:rPr>
        <w:t>Finally, researchers highlight a lack of specialty-specific evidence in telehealth. A study found effectiveness and utilisation vary significantly across medical specialties, and outcomes are still not well understood. (Amagai et al., 2024). This indicates that not all patient groups benefit equally form digital tools and that research is needed to determine which areas of care are most suitable for Telehealth interventions.</w:t>
      </w:r>
    </w:p>
    <w:p>
      <w:pPr>
        <w:pStyle w:val="Body A"/>
      </w:pPr>
      <w:r>
        <w:rPr>
          <w:rtl w:val="0"/>
          <w:lang w:val="en-US"/>
        </w:rPr>
        <w:t>Finally, researchers highlight a lack of specialty</w:t>
      </w:r>
      <w:r>
        <w:rPr>
          <w:rtl w:val="0"/>
        </w:rPr>
        <w:t>‑</w:t>
      </w:r>
      <w:r>
        <w:rPr>
          <w:rtl w:val="0"/>
          <w:lang w:val="en-US"/>
        </w:rPr>
        <w:t>specific evidence in telehealth. A study found that telehealth effectiveness and utilisation vary significantly across medical specialties, and outcomes are still not well understood (Amagai et al., 2024). This indicates that not all patient groups benefit equally from digital tools, and that research is needed to determine which areas of care are most suitable for telehealth interventions.</w:t>
      </w:r>
    </w:p>
    <w:p>
      <w:pPr>
        <w:pStyle w:val="Heading"/>
        <w:rPr>
          <w:outline w:val="0"/>
          <w:color w:val="000000"/>
          <w:sz w:val="32"/>
          <w:szCs w:val="32"/>
          <w:u w:color="000000"/>
          <w14:textFill>
            <w14:solidFill>
              <w14:srgbClr w14:val="000000"/>
            </w14:solidFill>
          </w14:textFill>
        </w:rPr>
      </w:pPr>
      <w:bookmarkStart w:name="_Toc6" w:id="6"/>
      <w:r>
        <w:rPr>
          <w:outline w:val="0"/>
          <w:color w:val="000000"/>
          <w:sz w:val="32"/>
          <w:szCs w:val="32"/>
          <w:u w:color="000000"/>
          <w:rtl w:val="0"/>
          <w14:textFill>
            <w14:solidFill>
              <w14:srgbClr w14:val="000000"/>
            </w14:solidFill>
          </w14:textFill>
        </w:rPr>
        <w:t xml:space="preserve">3 </w:t>
      </w:r>
      <w:r>
        <w:rPr>
          <w:outline w:val="0"/>
          <w:color w:val="000000"/>
          <w:sz w:val="32"/>
          <w:szCs w:val="32"/>
          <w:u w:color="000000"/>
          <w:rtl w:val="0"/>
          <w14:textFill>
            <w14:solidFill>
              <w14:srgbClr w14:val="000000"/>
            </w14:solidFill>
          </w14:textFill>
        </w:rPr>
        <w:t xml:space="preserve">– </w:t>
      </w:r>
      <w:r>
        <w:rPr>
          <w:outline w:val="0"/>
          <w:color w:val="000000"/>
          <w:sz w:val="32"/>
          <w:szCs w:val="32"/>
          <w:u w:color="000000"/>
          <w:rtl w:val="0"/>
          <w:lang w:val="en-US"/>
          <w14:textFill>
            <w14:solidFill>
              <w14:srgbClr w14:val="000000"/>
            </w14:solidFill>
          </w14:textFill>
        </w:rPr>
        <w:t xml:space="preserve">Research Methodologies </w:t>
      </w:r>
      <w:bookmarkEnd w:id="6"/>
    </w:p>
    <w:p>
      <w:pPr>
        <w:pStyle w:val="Heading"/>
        <w:rPr>
          <w:outline w:val="0"/>
          <w:color w:val="000000"/>
          <w:sz w:val="32"/>
          <w:szCs w:val="32"/>
          <w:u w:color="000000"/>
          <w14:textFill>
            <w14:solidFill>
              <w14:srgbClr w14:val="000000"/>
            </w14:solidFill>
          </w14:textFill>
        </w:rPr>
      </w:pPr>
      <w:bookmarkStart w:name="_Toc7" w:id="7"/>
      <w:r>
        <w:rPr>
          <w:outline w:val="0"/>
          <w:color w:val="000000"/>
          <w:sz w:val="32"/>
          <w:szCs w:val="32"/>
          <w:u w:color="000000"/>
          <w:rtl w:val="0"/>
          <w:lang w:val="en-US"/>
          <w14:textFill>
            <w14:solidFill>
              <w14:srgbClr w14:val="000000"/>
            </w14:solidFill>
          </w14:textFill>
        </w:rPr>
        <w:t>3.1 Definitions and Examples</w:t>
      </w:r>
      <w:bookmarkEnd w:id="7"/>
    </w:p>
    <w:p>
      <w:pPr>
        <w:pStyle w:val="Body A"/>
        <w:rPr>
          <w:sz w:val="32"/>
          <w:szCs w:val="32"/>
        </w:rPr>
      </w:pPr>
      <w:r>
        <w:rPr>
          <w:sz w:val="32"/>
          <w:szCs w:val="32"/>
          <w:rtl w:val="0"/>
          <w:lang w:val="en-US"/>
        </w:rPr>
        <w:t xml:space="preserve"> Quantitative Research</w:t>
      </w:r>
    </w:p>
    <w:p>
      <w:pPr>
        <w:pStyle w:val="Body A"/>
      </w:pPr>
      <w:r>
        <w:rPr>
          <w:rtl w:val="0"/>
          <w:lang w:val="en-US"/>
        </w:rPr>
        <w:t>Focuses on collecting numerical data and analysing it using statistical techniques. It aims to measure variables, identify patterns and test relationships objectively.</w:t>
      </w:r>
    </w:p>
    <w:p>
      <w:pPr>
        <w:pStyle w:val="Body A"/>
        <w:rPr>
          <w:sz w:val="28"/>
          <w:szCs w:val="28"/>
        </w:rPr>
      </w:pPr>
      <w:r>
        <w:rPr>
          <w:sz w:val="28"/>
          <w:szCs w:val="28"/>
          <w:rtl w:val="0"/>
          <w:lang w:val="en-US"/>
        </w:rPr>
        <w:t>Examples:</w:t>
      </w:r>
    </w:p>
    <w:p>
      <w:pPr>
        <w:pStyle w:val="Body A"/>
      </w:pPr>
      <w:r>
        <w:rPr>
          <w:rtl w:val="0"/>
          <w:lang w:val="en-US"/>
        </w:rPr>
        <w:t>A research measuring how many patients attend virtual GP appointments compared to in-person visits, or analysing whether telehealth reduces hospital readmission rates.</w:t>
      </w:r>
    </w:p>
    <w:p>
      <w:pPr>
        <w:pStyle w:val="Body A"/>
      </w:pPr>
    </w:p>
    <w:p>
      <w:pPr>
        <w:pStyle w:val="Body A"/>
      </w:pPr>
    </w:p>
    <w:p>
      <w:pPr>
        <w:pStyle w:val="Body A"/>
        <w:rPr>
          <w:sz w:val="32"/>
          <w:szCs w:val="32"/>
        </w:rPr>
      </w:pPr>
      <w:r>
        <w:rPr>
          <w:sz w:val="32"/>
          <w:szCs w:val="32"/>
          <w:rtl w:val="0"/>
          <w:lang w:val="en-US"/>
        </w:rPr>
        <w:t>Qualitative Research</w:t>
      </w:r>
    </w:p>
    <w:p>
      <w:pPr>
        <w:pStyle w:val="Body A"/>
      </w:pPr>
      <w:r>
        <w:rPr>
          <w:rtl w:val="0"/>
          <w:lang w:val="en-US"/>
        </w:rPr>
        <w:t>Explore people</w:t>
      </w:r>
      <w:r>
        <w:rPr>
          <w:rtl w:val="0"/>
          <w:lang w:val="en-US"/>
        </w:rPr>
        <w:t>’</w:t>
      </w:r>
      <w:r>
        <w:rPr>
          <w:rtl w:val="0"/>
          <w:lang w:val="en-US"/>
        </w:rPr>
        <w:t>s experiences, perceptions, and meanings. It uses non-numerical data such as interviews, focus groups and observations to develop an in-depth understanding of a topic.</w:t>
      </w:r>
    </w:p>
    <w:p>
      <w:pPr>
        <w:pStyle w:val="Body A"/>
        <w:rPr>
          <w:sz w:val="28"/>
          <w:szCs w:val="28"/>
        </w:rPr>
      </w:pPr>
      <w:r>
        <w:rPr>
          <w:sz w:val="28"/>
          <w:szCs w:val="28"/>
          <w:rtl w:val="0"/>
          <w:lang w:val="en-US"/>
        </w:rPr>
        <w:t>Examples in health and social care:</w:t>
      </w:r>
    </w:p>
    <w:p>
      <w:pPr>
        <w:pStyle w:val="Body A"/>
      </w:pPr>
      <w:r>
        <w:rPr>
          <w:rtl w:val="0"/>
          <w:lang w:val="en-US"/>
        </w:rPr>
        <w:t>Interviewing older adults to understand their feelings about using telemedicine, including barriers  such as confidence, trust, or digital literacy.</w:t>
      </w:r>
    </w:p>
    <w:p>
      <w:pPr>
        <w:pStyle w:val="Body A"/>
      </w:pPr>
    </w:p>
    <w:p>
      <w:pPr>
        <w:pStyle w:val="Body A"/>
        <w:rPr>
          <w:sz w:val="28"/>
          <w:szCs w:val="28"/>
        </w:rPr>
      </w:pPr>
      <w:r>
        <w:rPr>
          <w:sz w:val="28"/>
          <w:szCs w:val="28"/>
          <w:rtl w:val="0"/>
          <w:lang w:val="en-US"/>
        </w:rPr>
        <w:t>Mixed-Methods Research:</w:t>
      </w:r>
    </w:p>
    <w:p>
      <w:pPr>
        <w:pStyle w:val="Body A"/>
      </w:pPr>
      <w:r>
        <w:rPr>
          <w:rtl w:val="0"/>
          <w:lang w:val="en-US"/>
        </w:rPr>
        <w:t>Combines both quantitative and qualitative approaches in a single study. It collects numerical data and personal experiences to provide a more complete  understanding of a complex issue.</w:t>
      </w:r>
    </w:p>
    <w:p>
      <w:pPr>
        <w:pStyle w:val="Body A"/>
        <w:rPr>
          <w:sz w:val="28"/>
          <w:szCs w:val="28"/>
        </w:rPr>
      </w:pPr>
      <w:r>
        <w:rPr>
          <w:sz w:val="28"/>
          <w:szCs w:val="28"/>
          <w:rtl w:val="0"/>
          <w:lang w:val="en-US"/>
        </w:rPr>
        <w:t>Example in health and social care:</w:t>
      </w:r>
    </w:p>
    <w:p>
      <w:pPr>
        <w:pStyle w:val="Body A"/>
      </w:pPr>
      <w:r>
        <w:rPr>
          <w:rtl w:val="0"/>
          <w:lang w:val="en-US"/>
        </w:rPr>
        <w:t>A study measuring how many patients use a health app (quantitative) and conducting interviews to explore why some patients choose not to use it (qualitative).</w:t>
      </w:r>
    </w:p>
    <w:p>
      <w:pPr>
        <w:pStyle w:val="Body A"/>
      </w:pPr>
    </w:p>
    <w:p>
      <w:pPr>
        <w:pStyle w:val="Heading 2"/>
        <w:rPr>
          <w:sz w:val="32"/>
          <w:szCs w:val="32"/>
        </w:rPr>
      </w:pPr>
      <w:bookmarkStart w:name="_Toc8" w:id="8"/>
      <w:r>
        <w:rPr>
          <w:rFonts w:cs="Arial Unicode MS" w:eastAsia="Arial Unicode MS"/>
          <w:sz w:val="32"/>
          <w:szCs w:val="32"/>
          <w:rtl w:val="0"/>
          <w:lang w:val="en-US"/>
        </w:rPr>
        <w:t>3.2 Chosen Methodology and Justification</w:t>
      </w:r>
      <w:bookmarkEnd w:id="8"/>
    </w:p>
    <w:p>
      <w:pPr>
        <w:pStyle w:val="Body A"/>
      </w:pPr>
      <w:r>
        <w:rPr>
          <w:rtl w:val="0"/>
          <w:lang w:val="en-US"/>
        </w:rPr>
        <w:t>Qualitative Research</w:t>
      </w:r>
    </w:p>
    <w:p>
      <w:pPr>
        <w:pStyle w:val="Body A"/>
      </w:pPr>
      <w:r>
        <w:rPr>
          <w:rtl w:val="0"/>
          <w:lang w:val="en-US"/>
        </w:rPr>
        <w:t>A study on technology in healthcare, qualitative research is the most suitable methods.The issue on digital divide focusing on patient experiences, digital tools use to barriers. Allowing the researchers to explore people</w:t>
      </w:r>
      <w:r>
        <w:rPr>
          <w:rtl w:val="0"/>
          <w:lang w:val="en-US"/>
        </w:rPr>
        <w:t>’</w:t>
      </w:r>
      <w:r>
        <w:rPr>
          <w:rtl w:val="0"/>
          <w:lang w:val="en-US"/>
        </w:rPr>
        <w:t>s emotions, challenges, and real life experiences, which cannot be seen though numbers alone. Understanding how service users feel about telehealth, prevents them from using technology, and how confident they are with digital tools requires rich, descriptive data. Qualitative methods such as semi-structured interviews  or focus groups provide detailed insights into real life barriers such as digital literacy, trust, access, and usability. This depth is essential for identifying practical improvements and shaping person-centred digital healthcare systems.</w:t>
      </w:r>
    </w:p>
    <w:p>
      <w:pPr>
        <w:pStyle w:val="Body A"/>
      </w:pPr>
    </w:p>
    <w:p>
      <w:pPr>
        <w:pStyle w:val="Body A"/>
      </w:pPr>
    </w:p>
    <w:p>
      <w:pPr>
        <w:pStyle w:val="Body A"/>
      </w:pPr>
    </w:p>
    <w:p>
      <w:pPr>
        <w:pStyle w:val="Body A"/>
      </w:pPr>
    </w:p>
    <w:p>
      <w:pPr>
        <w:pStyle w:val="Body A"/>
        <w:rPr>
          <w:sz w:val="32"/>
          <w:szCs w:val="32"/>
        </w:rPr>
      </w:pPr>
      <w:r>
        <w:rPr>
          <w:sz w:val="32"/>
          <w:szCs w:val="32"/>
          <w:rtl w:val="0"/>
          <w:lang w:val="en-US"/>
        </w:rPr>
        <w:t xml:space="preserve">Task 4 </w:t>
      </w:r>
      <w:r>
        <w:rPr>
          <w:sz w:val="32"/>
          <w:szCs w:val="32"/>
          <w:rtl w:val="0"/>
        </w:rPr>
        <w:t xml:space="preserve">– </w:t>
      </w:r>
      <w:r>
        <w:rPr>
          <w:sz w:val="32"/>
          <w:szCs w:val="32"/>
          <w:rtl w:val="0"/>
          <w:lang w:val="fr-FR"/>
        </w:rPr>
        <w:t xml:space="preserve">Data Collection  </w:t>
      </w:r>
    </w:p>
    <w:p>
      <w:pPr>
        <w:pStyle w:val="Heading 2"/>
        <w:rPr>
          <w:sz w:val="28"/>
          <w:szCs w:val="28"/>
        </w:rPr>
      </w:pPr>
    </w:p>
    <w:p>
      <w:pPr>
        <w:pStyle w:val="Heading 2"/>
        <w:rPr>
          <w:sz w:val="28"/>
          <w:szCs w:val="28"/>
        </w:rPr>
      </w:pPr>
      <w:bookmarkStart w:name="_Toc9" w:id="9"/>
      <w:r>
        <w:rPr>
          <w:rFonts w:cs="Arial Unicode MS" w:eastAsia="Arial Unicode MS"/>
          <w:sz w:val="28"/>
          <w:szCs w:val="28"/>
          <w:rtl w:val="0"/>
          <w:lang w:val="en-US"/>
        </w:rPr>
        <w:t>4.1 Primary vs Secondary Data</w:t>
      </w:r>
      <w:bookmarkEnd w:id="9"/>
    </w:p>
    <w:p>
      <w:pPr>
        <w:pStyle w:val="Body A"/>
      </w:pPr>
    </w:p>
    <w:p>
      <w:pPr>
        <w:pStyle w:val="Body A"/>
      </w:pPr>
      <w:r>
        <w:rPr>
          <w:rtl w:val="0"/>
          <w:lang w:val="en-US"/>
        </w:rPr>
        <w:t>Primary data refers to original information gathered directly by the researcher through purposefully designed methods, including structured interviews, questionnaires, focus groups, and systematic observation. Within healthcare technology research, this may involve collecting first-hand accounts form service users about their experiences with telehealth platforms, or observing patient interactions with digital tools in real time.</w:t>
      </w:r>
    </w:p>
    <w:p>
      <w:pPr>
        <w:pStyle w:val="Body A"/>
      </w:pPr>
      <w:r>
        <w:rPr>
          <w:rtl w:val="0"/>
          <w:lang w:val="en-US"/>
        </w:rPr>
        <w:t>Secondary data, by contrast, consists of pre-existing information originally generated by third parties for independent purposes. Relevant  sources include governmental reports, NHS administrative records, peer-reviewed literature, and published programme evaluations. Within this field, secondary data may encompass national telehealth usage statistics, digital literacy indices, and formally published assessments of digital health service outcomes across diverse patient populations.</w:t>
      </w:r>
    </w:p>
    <w:p>
      <w:pPr>
        <w:pStyle w:val="Body A"/>
      </w:pPr>
    </w:p>
    <w:p>
      <w:pPr>
        <w:pStyle w:val="Heading 2"/>
        <w:rPr>
          <w:sz w:val="28"/>
          <w:szCs w:val="28"/>
        </w:rPr>
      </w:pPr>
      <w:bookmarkStart w:name="_Toc10" w:id="10"/>
      <w:r>
        <w:rPr>
          <w:sz w:val="28"/>
          <w:szCs w:val="28"/>
          <w:rtl w:val="0"/>
          <w:lang w:val="en-US"/>
        </w:rPr>
        <w:t>4.2 Chosen Data Type and Justification</w:t>
      </w:r>
      <w:bookmarkEnd w:id="10"/>
    </w:p>
    <w:p>
      <w:pPr>
        <w:pStyle w:val="Body A"/>
      </w:pPr>
    </w:p>
    <w:p>
      <w:pPr>
        <w:pStyle w:val="Body A"/>
      </w:pPr>
      <w:r>
        <w:rPr>
          <w:rtl w:val="0"/>
          <w:lang w:val="en-US"/>
        </w:rPr>
        <w:t>For the purposes of this study, qualitative primary data represents the most appropriate methodological  choice. Given that the overarching research approach is qualitative in nature, primary data collection aligns effectively, as it facilitates direct investigation into individuals lived experiences of healthcare technology. Examining obstacles such as digital confidence, interface usability, and accessibility necessitates direct engagement with service users or healthcare practitioners, rather than relying solely on pre-existing datasets.</w:t>
      </w:r>
    </w:p>
    <w:p>
      <w:pPr>
        <w:pStyle w:val="Body A"/>
      </w:pPr>
      <w:r>
        <w:rPr>
          <w:rtl w:val="0"/>
          <w:lang w:val="en-US"/>
        </w:rPr>
        <w:t>Utilisation of primary data allows the researcher to employ open-ended questioning techniques and conduct deeper exploration of participants personal accounts, generating nuanced insights into complex issues such as the digital divide, levels of trust in digital health tools, and the specific difficulties encountered by marginalised or vulnerable populations. Such depth and contextual richness of understanding is fundamentally unattainable through secondary data sources alone.</w:t>
      </w:r>
    </w:p>
    <w:p>
      <w:pPr>
        <w:pStyle w:val="Body A"/>
      </w:pPr>
    </w:p>
    <w:p>
      <w:pPr>
        <w:pStyle w:val="Body A"/>
      </w:pPr>
    </w:p>
    <w:p>
      <w:pPr>
        <w:pStyle w:val="Body A"/>
        <w:rPr>
          <w:sz w:val="32"/>
          <w:szCs w:val="32"/>
        </w:rPr>
      </w:pPr>
      <w:r>
        <w:rPr>
          <w:sz w:val="32"/>
          <w:szCs w:val="32"/>
          <w:rtl w:val="0"/>
          <w:lang w:val="en-US"/>
        </w:rPr>
        <w:t xml:space="preserve">4.3 Advantages  </w:t>
      </w:r>
    </w:p>
    <w:p>
      <w:pPr>
        <w:pStyle w:val="Heading 2"/>
        <w:rPr>
          <w:outline w:val="0"/>
          <w:color w:val="000000"/>
          <w:sz w:val="28"/>
          <w:szCs w:val="28"/>
          <w:u w:color="000000"/>
          <w14:textFill>
            <w14:solidFill>
              <w14:srgbClr w14:val="000000"/>
            </w14:solidFill>
          </w14:textFill>
        </w:rPr>
      </w:pPr>
      <w:bookmarkStart w:name="_Toc11" w:id="11"/>
      <w:r>
        <w:rPr>
          <w:rFonts w:cs="Arial Unicode MS" w:eastAsia="Arial Unicode MS"/>
          <w:outline w:val="0"/>
          <w:color w:val="000000"/>
          <w:sz w:val="28"/>
          <w:szCs w:val="28"/>
          <w:u w:color="000000"/>
          <w:rtl w:val="0"/>
          <w:lang w:val="en-US"/>
          <w14:textFill>
            <w14:solidFill>
              <w14:srgbClr w14:val="000000"/>
            </w14:solidFill>
          </w14:textFill>
        </w:rPr>
        <w:t>In-depth and meaningful findings</w:t>
      </w:r>
      <w:bookmarkEnd w:id="11"/>
    </w:p>
    <w:p>
      <w:pPr>
        <w:pStyle w:val="Body A"/>
      </w:pPr>
      <w:r>
        <w:rPr>
          <w:rtl w:val="0"/>
          <w:lang w:val="en-US"/>
        </w:rPr>
        <w:t>Primary qualitative data enables participants to elaborate on their personal experiences with technology, which is particularly valuable when investigating emotions, obstacles, and motivations related to the use of digital healthcare services.</w:t>
      </w:r>
    </w:p>
    <w:p>
      <w:pPr>
        <w:pStyle w:val="Heading 2"/>
        <w:rPr>
          <w:outline w:val="0"/>
          <w:color w:val="000000"/>
          <w:sz w:val="28"/>
          <w:szCs w:val="28"/>
          <w:u w:color="000000"/>
          <w14:textFill>
            <w14:solidFill>
              <w14:srgbClr w14:val="000000"/>
            </w14:solidFill>
          </w14:textFill>
        </w:rPr>
      </w:pPr>
      <w:bookmarkStart w:name="_Toc12" w:id="12"/>
      <w:r>
        <w:rPr>
          <w:rFonts w:cs="Arial Unicode MS" w:eastAsia="Arial Unicode MS"/>
          <w:outline w:val="0"/>
          <w:color w:val="000000"/>
          <w:sz w:val="28"/>
          <w:szCs w:val="28"/>
          <w:u w:color="000000"/>
          <w:rtl w:val="0"/>
          <w:lang w:val="en-US"/>
          <w14:textFill>
            <w14:solidFill>
              <w14:srgbClr w14:val="000000"/>
            </w14:solidFill>
          </w14:textFill>
        </w:rPr>
        <w:t>Direct relevance to the research topic</w:t>
      </w:r>
      <w:bookmarkEnd w:id="12"/>
    </w:p>
    <w:p>
      <w:pPr>
        <w:pStyle w:val="Body A"/>
      </w:pPr>
      <w:r>
        <w:rPr>
          <w:rtl w:val="0"/>
          <w:lang w:val="en-US"/>
        </w:rPr>
        <w:t>Since the researcher constructs the data collection tools, primary data can be precisely tailored to address the study</w:t>
      </w:r>
      <w:r>
        <w:rPr>
          <w:rtl w:val="0"/>
          <w:lang w:val="en-US"/>
        </w:rPr>
        <w:t>’</w:t>
      </w:r>
      <w:r>
        <w:rPr>
          <w:rtl w:val="0"/>
          <w:lang w:val="en-US"/>
        </w:rPr>
        <w:t>s objectives. This is especially significant when examining fast-evolving areas such as digital health technology, where previously published research may no longer reflect current realities.</w:t>
      </w:r>
    </w:p>
    <w:p>
      <w:pPr>
        <w:pStyle w:val="Body A"/>
      </w:pPr>
    </w:p>
    <w:p>
      <w:pPr>
        <w:pStyle w:val="Body A"/>
      </w:pPr>
    </w:p>
    <w:p>
      <w:pPr>
        <w:pStyle w:val="Body A"/>
      </w:pPr>
      <w:r>
        <w:rPr>
          <w:sz w:val="32"/>
          <w:szCs w:val="32"/>
          <w:rtl w:val="0"/>
          <w:lang w:val="nl-NL"/>
        </w:rPr>
        <w:t>Challenges</w:t>
      </w:r>
      <w:r>
        <w:rPr>
          <w:sz w:val="32"/>
          <w:szCs w:val="32"/>
          <w:rtl w:val="0"/>
          <w:lang w:val="en-US"/>
        </w:rPr>
        <w:t xml:space="preserve">  </w:t>
      </w:r>
      <w:r>
        <w:rPr>
          <w:rtl w:val="0"/>
          <w:lang w:val="en-US"/>
        </w:rPr>
        <w:t xml:space="preserve"> </w:t>
      </w:r>
    </w:p>
    <w:p>
      <w:pPr>
        <w:pStyle w:val="Body A"/>
        <w:rPr>
          <w:sz w:val="28"/>
          <w:szCs w:val="28"/>
        </w:rPr>
      </w:pPr>
      <w:r>
        <w:rPr>
          <w:sz w:val="28"/>
          <w:szCs w:val="28"/>
          <w:rtl w:val="0"/>
          <w:lang w:val="en-US"/>
        </w:rPr>
        <w:t>Demands considerable time and effort</w:t>
      </w:r>
    </w:p>
    <w:p>
      <w:pPr>
        <w:pStyle w:val="Body A"/>
      </w:pPr>
      <w:r>
        <w:rPr>
          <w:rtl w:val="0"/>
          <w:lang w:val="en-US"/>
        </w:rPr>
        <w:t>Undertaking interviews or focus groups involves extensive preparation, including scheduling sessions, formulating appropriate questions, obtaining ethical consent, and processing large volumes of descriptive data, rendering primary research considerably more demanding in terms of resources.</w:t>
      </w:r>
    </w:p>
    <w:p>
      <w:pPr>
        <w:pStyle w:val="Body A"/>
      </w:pPr>
    </w:p>
    <w:p>
      <w:pPr>
        <w:pStyle w:val="Body A"/>
        <w:rPr>
          <w:sz w:val="28"/>
          <w:szCs w:val="28"/>
        </w:rPr>
      </w:pPr>
      <w:r>
        <w:rPr>
          <w:sz w:val="28"/>
          <w:szCs w:val="28"/>
          <w:rtl w:val="0"/>
          <w:lang w:val="en-US"/>
        </w:rPr>
        <w:t>Limited participant numbers</w:t>
      </w:r>
    </w:p>
    <w:p>
      <w:pPr>
        <w:pStyle w:val="Body A"/>
      </w:pPr>
      <w:r>
        <w:rPr>
          <w:rtl w:val="0"/>
          <w:lang w:val="en-US"/>
        </w:rPr>
        <w:t>Qualitative primary research typically engages smaller participant samples, meaning that the findings may not adequately represent all populations engaging with healthcare technology-a notable limitation when examining digital inequality across diverse communities.</w:t>
      </w:r>
    </w:p>
    <w:p>
      <w:pPr>
        <w:pStyle w:val="Body A"/>
        <w:rPr>
          <w:sz w:val="28"/>
          <w:szCs w:val="28"/>
        </w:rPr>
      </w:pPr>
    </w:p>
    <w:p>
      <w:pPr>
        <w:pStyle w:val="Body A"/>
        <w:rPr>
          <w:sz w:val="32"/>
          <w:szCs w:val="32"/>
        </w:rPr>
      </w:pPr>
    </w:p>
    <w:p>
      <w:pPr>
        <w:pStyle w:val="Body A"/>
        <w:rPr>
          <w:sz w:val="32"/>
          <w:szCs w:val="32"/>
        </w:rPr>
      </w:pPr>
    </w:p>
    <w:p>
      <w:pPr>
        <w:pStyle w:val="Body A"/>
      </w:pPr>
    </w:p>
    <w:p>
      <w:pPr>
        <w:pStyle w:val="Heading"/>
        <w:rPr>
          <w:rFonts w:ascii="Arial" w:cs="Arial" w:hAnsi="Arial" w:eastAsia="Arial"/>
        </w:rPr>
      </w:pPr>
    </w:p>
    <w:p>
      <w:pPr>
        <w:pStyle w:val="Heading"/>
        <w:rPr>
          <w:rFonts w:ascii="Arial" w:cs="Arial" w:hAnsi="Arial" w:eastAsia="Arial"/>
        </w:rPr>
      </w:pPr>
    </w:p>
    <w:p>
      <w:pPr>
        <w:pStyle w:val="Heading"/>
      </w:pPr>
      <w:bookmarkStart w:name="_Toc13" w:id="13"/>
      <w:r>
        <w:rPr>
          <w:rtl w:val="0"/>
          <w:lang w:val="de-DE"/>
        </w:rPr>
        <w:t xml:space="preserve">Conclusion  </w:t>
      </w:r>
      <w:bookmarkEnd w:id="13"/>
    </w:p>
    <w:p>
      <w:pPr>
        <w:pStyle w:val="Body A"/>
      </w:pPr>
    </w:p>
    <w:p>
      <w:pPr>
        <w:pStyle w:val="Body A"/>
      </w:pPr>
      <w:r>
        <w:rPr>
          <w:rtl w:val="0"/>
          <w:lang w:val="en-US"/>
        </w:rPr>
        <w:t>In this report, healthcare technology was identified as a critical component in improving patient access and health outcomes, most notably through the expansion of telemedicine services. Research indicates that digital health tools considerably strengthen patient involvement and the management of long-term conditions  (Ezeamii et al., 2024). Nevertheless, the report also recognised persistent inequalities, as disadvantaged and vulnerable populations continue to encounter significant barriers, including restricted access to digital services and insufficient digital skills, thereby widening the digital divide (Western et al., 2025). Linking back to practice, these findings underline the urgent necessity for healthcare systems to adopt inclusive and fair approaches to digital implementation, ensuring that advancements in technology are accessible to, and beneficial for, all individuals and communities regardless of their background or circumstance.</w:t>
      </w: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p>
    <w:p>
      <w:pPr>
        <w:pStyle w:val="Body A"/>
        <w:rPr>
          <w:sz w:val="32"/>
          <w:szCs w:val="32"/>
        </w:rPr>
      </w:pPr>
      <w:r>
        <w:rPr>
          <w:sz w:val="32"/>
          <w:szCs w:val="32"/>
          <w:rtl w:val="0"/>
          <w:lang w:val="pt-PT"/>
        </w:rPr>
        <w:t>Reference List</w:t>
      </w:r>
    </w:p>
    <w:p>
      <w:pPr>
        <w:pStyle w:val="Body A"/>
      </w:pPr>
      <w:r>
        <w:rPr>
          <w:rtl w:val="0"/>
        </w:rPr>
        <w:t>Adesins</w:t>
      </w:r>
      <w:r>
        <w:rPr>
          <w:rtl w:val="0"/>
        </w:rPr>
        <w:t>ẹ</w:t>
      </w:r>
      <w:r>
        <w:rPr>
          <w:rtl w:val="0"/>
          <w:lang w:val="en-US"/>
        </w:rPr>
        <w:t xml:space="preserve">wo, D., Eberly, L.A., Sokumbi, O., Rodriguez, J.A., Patten, C.A. and Brewer, L.C. (2023) </w:t>
      </w:r>
      <w:r>
        <w:rPr>
          <w:rFonts w:ascii="Arial Unicode MS" w:hAnsi="Arial Unicode MS" w:hint="default"/>
          <w:rtl w:val="1"/>
        </w:rPr>
        <w:t>‘</w:t>
      </w:r>
      <w:r>
        <w:rPr>
          <w:rtl w:val="0"/>
          <w:lang w:val="en-US"/>
        </w:rPr>
        <w:t>Health disparities, clinical trials, and the digital divide</w:t>
      </w:r>
      <w:r>
        <w:rPr>
          <w:rFonts w:ascii="Arial Unicode MS" w:hAnsi="Arial Unicode MS" w:hint="default"/>
          <w:rtl w:val="1"/>
        </w:rPr>
        <w:t>’</w:t>
      </w:r>
      <w:r>
        <w:rPr>
          <w:rtl w:val="0"/>
        </w:rPr>
        <w:t xml:space="preserve">, </w:t>
      </w:r>
      <w:r>
        <w:rPr>
          <w:i w:val="1"/>
          <w:iCs w:val="1"/>
          <w:rtl w:val="0"/>
          <w:lang w:val="en-US"/>
        </w:rPr>
        <w:t>Mayo Clinic Proceedings</w:t>
      </w:r>
      <w:r>
        <w:rPr>
          <w:rtl w:val="0"/>
        </w:rPr>
        <w:t>, 98(12), pp. 1875</w:t>
      </w:r>
      <w:r>
        <w:rPr>
          <w:rtl w:val="0"/>
        </w:rPr>
        <w:t>–</w:t>
      </w:r>
      <w:r>
        <w:rPr>
          <w:rtl w:val="0"/>
          <w:lang w:val="en-US"/>
        </w:rPr>
        <w:t>1887. https://doi.org/10.1016/j.mayocp.2023.05.003</w:t>
      </w:r>
    </w:p>
    <w:p>
      <w:pPr>
        <w:pStyle w:val="Body A"/>
      </w:pPr>
      <w:r>
        <w:rPr>
          <w:rtl w:val="0"/>
          <w:lang w:val="en-US"/>
        </w:rPr>
        <w:t xml:space="preserve">Amagai, S., Vonesh, E., Adams, J. and Luo, Y. (2024) </w:t>
      </w:r>
      <w:r>
        <w:rPr>
          <w:rFonts w:ascii="Arial Unicode MS" w:hAnsi="Arial Unicode MS" w:hint="default"/>
          <w:rtl w:val="1"/>
        </w:rPr>
        <w:t>‘</w:t>
      </w:r>
      <w:r>
        <w:rPr>
          <w:rtl w:val="0"/>
          <w:lang w:val="en-US"/>
        </w:rPr>
        <w:t>Closing the gap: addressing telehealth disparities across specialties in the sustained pandemic era</w:t>
      </w:r>
      <w:r>
        <w:rPr>
          <w:rFonts w:ascii="Arial Unicode MS" w:hAnsi="Arial Unicode MS" w:hint="default"/>
          <w:rtl w:val="1"/>
        </w:rPr>
        <w:t>’</w:t>
      </w:r>
      <w:r>
        <w:rPr>
          <w:rtl w:val="0"/>
        </w:rPr>
        <w:t xml:space="preserve">, </w:t>
      </w:r>
      <w:r>
        <w:rPr>
          <w:i w:val="1"/>
          <w:iCs w:val="1"/>
          <w:rtl w:val="0"/>
        </w:rPr>
        <w:t>npj Digital Medicine</w:t>
      </w:r>
      <w:r>
        <w:rPr>
          <w:rtl w:val="0"/>
          <w:lang w:val="en-US"/>
        </w:rPr>
        <w:t>, 7, Article 217. https://doi.org/10.1038/s41746-024-01201-w</w:t>
      </w:r>
    </w:p>
    <w:p>
      <w:pPr>
        <w:pStyle w:val="Body A"/>
      </w:pPr>
      <w:r>
        <w:rPr>
          <w:rtl w:val="0"/>
          <w:lang w:val="en-US"/>
        </w:rPr>
        <w:t xml:space="preserve">Department of Health and Social Care (DHSC) and NHS England (2022) </w:t>
      </w:r>
      <w:r>
        <w:rPr>
          <w:i w:val="1"/>
          <w:iCs w:val="1"/>
          <w:rtl w:val="0"/>
          <w:lang w:val="en-US"/>
        </w:rPr>
        <w:t>A plan for digital health and social care</w:t>
      </w:r>
      <w:r>
        <w:rPr>
          <w:rtl w:val="0"/>
          <w:lang w:val="en-US"/>
        </w:rPr>
        <w:t>. London: DHSC. Available at: https://www.gov.uk/government/publications/a-plan-for-digital-health-and-social-care/a-plan-for-digital-health-and-social-care (Accessed: 18 April 2026).</w:t>
      </w:r>
    </w:p>
    <w:p>
      <w:pPr>
        <w:pStyle w:val="Body A"/>
      </w:pPr>
      <w:r>
        <w:rPr>
          <w:rtl w:val="0"/>
          <w:lang w:val="en-US"/>
        </w:rPr>
        <w:t>King</w:t>
      </w:r>
      <w:r>
        <w:rPr>
          <w:rFonts w:ascii="Arial Unicode MS" w:hAnsi="Arial Unicode MS" w:hint="default"/>
          <w:rtl w:val="1"/>
        </w:rPr>
        <w:t>’</w:t>
      </w:r>
      <w:r>
        <w:rPr>
          <w:rtl w:val="0"/>
        </w:rPr>
        <w:t xml:space="preserve">s Fund, The (2023) </w:t>
      </w:r>
      <w:r>
        <w:rPr>
          <w:i w:val="1"/>
          <w:iCs w:val="1"/>
          <w:rtl w:val="0"/>
          <w:lang w:val="en-US"/>
        </w:rPr>
        <w:t>Ensuring digitally enabled health care is equitable and effective for all</w:t>
      </w:r>
      <w:r>
        <w:rPr>
          <w:rtl w:val="0"/>
          <w:lang w:val="en-US"/>
        </w:rPr>
        <w:t>. Available at: https://www.kingsfund.org.uk/publications/ensuring-digitally-enabled-health-care-equitable-effective (Accessed: 18 April 2026).</w:t>
      </w:r>
    </w:p>
    <w:p>
      <w:pPr>
        <w:pStyle w:val="Body A"/>
      </w:pPr>
      <w:r>
        <w:rPr>
          <w:rtl w:val="0"/>
        </w:rPr>
        <w:t xml:space="preserve">Livieri, G., Mangina, E., Protopapadakis, E.D. and Panayiotou, A.G. (2025) </w:t>
      </w:r>
      <w:r>
        <w:rPr>
          <w:rFonts w:ascii="Arial Unicode MS" w:hAnsi="Arial Unicode MS" w:hint="default"/>
          <w:rtl w:val="1"/>
        </w:rPr>
        <w:t>‘</w:t>
      </w:r>
      <w:r>
        <w:rPr>
          <w:rtl w:val="0"/>
          <w:lang w:val="en-US"/>
        </w:rPr>
        <w:t>The gaps and challenges in digital health technology use as perceived by patients: a scoping review and narrative meta</w:t>
      </w:r>
      <w:r>
        <w:rPr>
          <w:rtl w:val="0"/>
        </w:rPr>
        <w:t>‑</w:t>
      </w:r>
      <w:r>
        <w:rPr>
          <w:rtl w:val="0"/>
          <w:lang w:val="en-US"/>
        </w:rPr>
        <w:t>synthesis</w:t>
      </w:r>
      <w:r>
        <w:rPr>
          <w:rFonts w:ascii="Arial Unicode MS" w:hAnsi="Arial Unicode MS" w:hint="default"/>
          <w:rtl w:val="1"/>
        </w:rPr>
        <w:t>’</w:t>
      </w:r>
      <w:r>
        <w:rPr>
          <w:rtl w:val="0"/>
        </w:rPr>
        <w:t xml:space="preserve">, </w:t>
      </w:r>
      <w:r>
        <w:rPr>
          <w:i w:val="1"/>
          <w:iCs w:val="1"/>
          <w:rtl w:val="0"/>
          <w:lang w:val="en-US"/>
        </w:rPr>
        <w:t>Frontiers in Digital Health</w:t>
      </w:r>
      <w:r>
        <w:rPr>
          <w:rtl w:val="0"/>
          <w:lang w:val="en-US"/>
        </w:rPr>
        <w:t>, 7, 1474956. https://doi.org/10.3389/fdgth.2025.1474956</w:t>
      </w:r>
    </w:p>
    <w:p>
      <w:pPr>
        <w:pStyle w:val="Body A"/>
      </w:pPr>
      <w:r>
        <w:rPr>
          <w:rtl w:val="0"/>
        </w:rPr>
        <w:t xml:space="preserve">NHS England (2023) </w:t>
      </w:r>
      <w:r>
        <w:rPr>
          <w:i w:val="1"/>
          <w:iCs w:val="1"/>
          <w:rtl w:val="0"/>
          <w:lang w:val="en-US"/>
        </w:rPr>
        <w:t>Inclusive digital healthcare: a framework for NHS action on digital inclusion</w:t>
      </w:r>
      <w:r>
        <w:rPr>
          <w:rtl w:val="0"/>
          <w:lang w:val="en-US"/>
        </w:rPr>
        <w:t>. Available at: https://www.england.nhs.uk/long-read/inclusive-digital-healthcare-a-framework-for-nhs-action-on-digital-inclusion/ (Accessed: 18 April 2026).</w:t>
      </w:r>
    </w:p>
    <w:p>
      <w:pPr>
        <w:pStyle w:val="Body A"/>
      </w:pPr>
      <w:r>
        <w:rPr>
          <w:rtl w:val="0"/>
          <w:lang w:val="it-IT"/>
        </w:rPr>
        <w:t xml:space="preserve">Petretto, D.R., Carrogu, G.P., Gaviano, L., Berti, R., Pinna, M., Petretto, A.D. and Pili, R. (2024) </w:t>
      </w:r>
      <w:r>
        <w:rPr>
          <w:rFonts w:ascii="Arial Unicode MS" w:hAnsi="Arial Unicode MS" w:hint="default"/>
          <w:rtl w:val="1"/>
        </w:rPr>
        <w:t>‘</w:t>
      </w:r>
      <w:r>
        <w:rPr>
          <w:rtl w:val="0"/>
        </w:rPr>
        <w:t>Telemedicine, e</w:t>
      </w:r>
      <w:r>
        <w:rPr>
          <w:rtl w:val="0"/>
        </w:rPr>
        <w:t>‑</w:t>
      </w:r>
      <w:r>
        <w:rPr>
          <w:rtl w:val="0"/>
          <w:lang w:val="en-US"/>
        </w:rPr>
        <w:t>Health, and digital health equity: a scoping review</w:t>
      </w:r>
      <w:r>
        <w:rPr>
          <w:rFonts w:ascii="Arial Unicode MS" w:hAnsi="Arial Unicode MS" w:hint="default"/>
          <w:rtl w:val="1"/>
        </w:rPr>
        <w:t>’</w:t>
      </w:r>
      <w:r>
        <w:rPr>
          <w:rtl w:val="0"/>
        </w:rPr>
        <w:t xml:space="preserve">, </w:t>
      </w:r>
      <w:r>
        <w:rPr>
          <w:i w:val="1"/>
          <w:iCs w:val="1"/>
          <w:rtl w:val="0"/>
          <w:lang w:val="en-US"/>
        </w:rPr>
        <w:t>Clinical Practice and Epidemiology in Mental Health</w:t>
      </w:r>
      <w:r>
        <w:rPr>
          <w:rtl w:val="0"/>
        </w:rPr>
        <w:t>, 20, pp. 1</w:t>
      </w:r>
      <w:r>
        <w:rPr>
          <w:rtl w:val="0"/>
        </w:rPr>
        <w:t>–</w:t>
      </w:r>
      <w:r>
        <w:rPr>
          <w:rtl w:val="0"/>
          <w:lang w:val="en-US"/>
        </w:rPr>
        <w:t>15. https://doi.org/10.2174/0117450179279732231211110248</w:t>
      </w:r>
    </w:p>
    <w:p>
      <w:pPr>
        <w:pStyle w:val="Body A"/>
      </w:pPr>
      <w:r>
        <w:rPr>
          <w:rtl w:val="0"/>
          <w:lang w:val="it-IT"/>
        </w:rPr>
        <w:t>Rabbani, S.A., El</w:t>
      </w:r>
      <w:r>
        <w:rPr>
          <w:rtl w:val="0"/>
        </w:rPr>
        <w:t>‑</w:t>
      </w:r>
      <w:r>
        <w:rPr>
          <w:rtl w:val="0"/>
          <w:lang w:val="it-IT"/>
        </w:rPr>
        <w:t>Tanani, M., Sharma, S., Rabbani, S.S., El</w:t>
      </w:r>
      <w:r>
        <w:rPr>
          <w:rtl w:val="0"/>
        </w:rPr>
        <w:t>‑</w:t>
      </w:r>
      <w:r>
        <w:rPr>
          <w:rtl w:val="0"/>
          <w:lang w:val="en-US"/>
        </w:rPr>
        <w:t xml:space="preserve">Tanani, Y., Kumar, R. and Saini, M. (2025) </w:t>
      </w:r>
      <w:r>
        <w:rPr>
          <w:rFonts w:ascii="Arial Unicode MS" w:hAnsi="Arial Unicode MS" w:hint="default"/>
          <w:rtl w:val="1"/>
        </w:rPr>
        <w:t>‘</w:t>
      </w:r>
      <w:r>
        <w:rPr>
          <w:rtl w:val="0"/>
          <w:lang w:val="en-US"/>
        </w:rPr>
        <w:t>Generative artificial intelligence in healthcare: applications, implementation challenges, and future directions</w:t>
      </w:r>
      <w:r>
        <w:rPr>
          <w:rFonts w:ascii="Arial Unicode MS" w:hAnsi="Arial Unicode MS" w:hint="default"/>
          <w:rtl w:val="1"/>
        </w:rPr>
        <w:t>’</w:t>
      </w:r>
      <w:r>
        <w:rPr>
          <w:rtl w:val="0"/>
        </w:rPr>
        <w:t xml:space="preserve">, </w:t>
      </w:r>
      <w:r>
        <w:rPr>
          <w:i w:val="1"/>
          <w:iCs w:val="1"/>
          <w:rtl w:val="0"/>
          <w:lang w:val="en-US"/>
        </w:rPr>
        <w:t>BioMedInformatics</w:t>
      </w:r>
      <w:r>
        <w:rPr>
          <w:rtl w:val="0"/>
          <w:lang w:val="en-US"/>
        </w:rPr>
        <w:t>, 5(3), p. 37. https://doi.org/10.3390/biomedinformatics5030037</w:t>
      </w:r>
    </w:p>
    <w:p>
      <w:pPr>
        <w:pStyle w:val="Body A"/>
      </w:pPr>
      <w:r>
        <w:rPr>
          <w:rtl w:val="0"/>
          <w:lang w:val="en-US"/>
        </w:rPr>
        <w:t xml:space="preserve">UK Parliament, Health and Social Care Committee (2023) </w:t>
      </w:r>
      <w:r>
        <w:rPr>
          <w:i w:val="1"/>
          <w:iCs w:val="1"/>
          <w:rtl w:val="0"/>
          <w:lang w:val="en-US"/>
        </w:rPr>
        <w:t>Digital transformation in the NHS. Eighth Report of Session 2022</w:t>
      </w:r>
      <w:r>
        <w:rPr>
          <w:i w:val="1"/>
          <w:iCs w:val="1"/>
          <w:rtl w:val="0"/>
        </w:rPr>
        <w:t>–</w:t>
      </w:r>
      <w:r>
        <w:rPr>
          <w:i w:val="1"/>
          <w:iCs w:val="1"/>
          <w:rtl w:val="0"/>
        </w:rPr>
        <w:t>23</w:t>
      </w:r>
      <w:r>
        <w:rPr>
          <w:rtl w:val="0"/>
          <w:lang w:val="en-US"/>
        </w:rPr>
        <w:t>. Available at: https://publications.parliament.uk/pa/cm5803/cmselect/cmhealth/223/report.html (Accessed: 18 April 2026).</w:t>
      </w:r>
    </w:p>
    <w:sectPr>
      <w:headerReference w:type="default" r:id="rId8"/>
      <w:headerReference w:type="first" r:id="rId9"/>
      <w:footerReference w:type="default" r:id="rId10"/>
      <w:footerReference w:type="first" r:id="rId11"/>
      <w:pgSz w:w="11900" w:h="16840" w:orient="portrait"/>
      <w:pgMar w:top="1440" w:right="1440" w:bottom="1440" w:left="1440" w:header="708" w:footer="708"/>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fldChar w:fldCharType="begin" w:fldLock="0"/>
    </w:r>
    <w:r>
      <w:instrText xml:space="preserve"> PAGE </w:instrText>
    </w:r>
    <w:r>
      <w:rPr/>
      <w:fldChar w:fldCharType="separate" w:fldLock="0"/>
    </w:r>
    <w:r/>
    <w:r>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fldChar w:fldCharType="begin" w:fldLock="0"/>
    </w:r>
    <w:r>
      <w:instrText xml:space="preserve"> PAGE </w:instrText>
    </w:r>
    <w:r>
      <w:rPr/>
      <w:fldChar w:fldCharType="separate" w:fldLock="0"/>
    </w:r>
    <w:r/>
    <w:r>
      <w:rPr/>
      <w:fldChar w:fldCharType="end" w:fldLock="0"/>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36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40"/>
      <w:szCs w:val="40"/>
      <w:u w:val="none" w:color="0f4761"/>
      <w:shd w:val="nil" w:color="auto" w:fill="auto"/>
      <w:vertAlign w:val="baseline"/>
      <w14:textOutline w14:w="12700" w14:cap="flat">
        <w14:noFill/>
        <w14:miter w14:lim="400000"/>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8" w:lineRule="auto"/>
      <w:ind w:left="24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160" w:after="80" w:line="360" w:lineRule="auto"/>
      <w:ind w:left="0" w:right="0" w:firstLine="0"/>
      <w:jc w:val="left"/>
      <w:outlineLvl w:val="1"/>
    </w:pPr>
    <w:rPr>
      <w:rFonts w:ascii="Arial" w:cs="Arial" w:hAnsi="Arial" w:eastAsia="Arial"/>
      <w:b w:val="0"/>
      <w:bCs w:val="0"/>
      <w:i w:val="0"/>
      <w:iCs w:val="0"/>
      <w:caps w:val="0"/>
      <w:smallCaps w:val="0"/>
      <w:strike w:val="0"/>
      <w:dstrike w:val="0"/>
      <w:outline w:val="0"/>
      <w:color w:val="0f4761"/>
      <w:spacing w:val="0"/>
      <w:kern w:val="0"/>
      <w:position w:val="0"/>
      <w:sz w:val="22"/>
      <w:szCs w:val="22"/>
      <w:u w:val="none" w:color="0f4761"/>
      <w:shd w:val="nil" w:color="auto" w:fill="auto"/>
      <w:vertAlign w:val="baseline"/>
      <w14:textOutline w14:w="12700" w14:cap="flat">
        <w14:noFill/>
        <w14:miter w14:lim="400000"/>
      </w14:textOutline>
      <w14:textFill>
        <w14:solidFill>
          <w14:srgbClr w14:val="0F4761"/>
        </w14:solidFill>
      </w14:textFill>
    </w:rPr>
  </w:style>
  <w:style w:type="paragraph" w:styleId="Default">
    <w:name w:val="Default"/>
    <w:next w:val="Default"/>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clear" w:color="auto" w:fill="ffffff"/>
      <w:vertAlign w:val="baseline"/>
      <w14:textOutline w14:w="12700" w14:cap="flat">
        <w14:noFill/>
        <w14:miter w14:lim="400000"/>
      </w14:textOutline>
      <w14:textFill>
        <w14:solidFill>
          <w14:srgbClr w14:val="000000">
            <w14:alpha w14:val="15293"/>
          </w14:srgbClr>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header" Target="header3.xml"/><Relationship Id="rId9" Type="http://schemas.openxmlformats.org/officeDocument/2006/relationships/header" Target="header4.xml"/><Relationship Id="rId10" Type="http://schemas.openxmlformats.org/officeDocument/2006/relationships/footer" Target="footer3.xml"/><Relationship Id="rId11" Type="http://schemas.openxmlformats.org/officeDocument/2006/relationships/footer" Target="footer4.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