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613EB" w14:textId="77777777" w:rsidR="00634231" w:rsidRDefault="00634231" w:rsidP="00634231">
      <w:pPr>
        <w:pStyle w:val="NoSpacing"/>
        <w:spacing w:line="360" w:lineRule="auto"/>
        <w:jc w:val="center"/>
        <w:rPr>
          <w:rFonts w:ascii="Arial" w:hAnsi="Arial" w:cs="Arial"/>
          <w:sz w:val="28"/>
          <w:szCs w:val="28"/>
          <w:lang w:val="en-GB"/>
        </w:rPr>
      </w:pPr>
    </w:p>
    <w:p w14:paraId="7BCF3F6B" w14:textId="77777777" w:rsidR="00634231" w:rsidRDefault="00634231" w:rsidP="00634231">
      <w:pPr>
        <w:pStyle w:val="NoSpacing"/>
        <w:spacing w:line="360" w:lineRule="auto"/>
        <w:jc w:val="center"/>
        <w:rPr>
          <w:rFonts w:ascii="Arial" w:hAnsi="Arial" w:cs="Arial"/>
          <w:sz w:val="28"/>
          <w:szCs w:val="28"/>
          <w:lang w:val="en-GB"/>
        </w:rPr>
      </w:pPr>
    </w:p>
    <w:p w14:paraId="7C474568" w14:textId="77777777" w:rsidR="00634231" w:rsidRDefault="00634231" w:rsidP="00634231">
      <w:pPr>
        <w:pStyle w:val="NoSpacing"/>
        <w:spacing w:line="360" w:lineRule="auto"/>
        <w:jc w:val="center"/>
        <w:rPr>
          <w:rFonts w:ascii="Arial" w:hAnsi="Arial" w:cs="Arial"/>
          <w:sz w:val="28"/>
          <w:szCs w:val="28"/>
          <w:lang w:val="en-GB"/>
        </w:rPr>
      </w:pPr>
    </w:p>
    <w:p w14:paraId="5FB881F2" w14:textId="77777777" w:rsidR="00634231" w:rsidRDefault="00634231" w:rsidP="00634231">
      <w:pPr>
        <w:pStyle w:val="NoSpacing"/>
        <w:spacing w:line="360" w:lineRule="auto"/>
        <w:jc w:val="center"/>
        <w:rPr>
          <w:rFonts w:ascii="Arial" w:hAnsi="Arial" w:cs="Arial"/>
          <w:sz w:val="28"/>
          <w:szCs w:val="28"/>
          <w:lang w:val="en-GB"/>
        </w:rPr>
      </w:pPr>
    </w:p>
    <w:p w14:paraId="6563A488" w14:textId="77777777" w:rsidR="00634231" w:rsidRDefault="00634231" w:rsidP="00634231">
      <w:pPr>
        <w:pStyle w:val="NoSpacing"/>
        <w:spacing w:line="360" w:lineRule="auto"/>
        <w:jc w:val="center"/>
        <w:rPr>
          <w:rFonts w:ascii="Arial" w:hAnsi="Arial" w:cs="Arial"/>
          <w:sz w:val="28"/>
          <w:szCs w:val="28"/>
          <w:lang w:val="en-GB"/>
        </w:rPr>
      </w:pPr>
    </w:p>
    <w:p w14:paraId="6FEC2B02" w14:textId="77777777" w:rsidR="00634231" w:rsidRDefault="00634231" w:rsidP="00634231">
      <w:pPr>
        <w:pStyle w:val="NoSpacing"/>
        <w:spacing w:line="360" w:lineRule="auto"/>
        <w:jc w:val="center"/>
        <w:rPr>
          <w:rFonts w:ascii="Arial" w:hAnsi="Arial" w:cs="Arial"/>
          <w:sz w:val="28"/>
          <w:szCs w:val="28"/>
          <w:lang w:val="en-GB"/>
        </w:rPr>
      </w:pPr>
    </w:p>
    <w:p w14:paraId="377192B1" w14:textId="77777777" w:rsidR="00634231" w:rsidRDefault="00634231" w:rsidP="00634231">
      <w:pPr>
        <w:pStyle w:val="NoSpacing"/>
        <w:spacing w:line="360" w:lineRule="auto"/>
        <w:jc w:val="center"/>
        <w:rPr>
          <w:rFonts w:ascii="Arial" w:hAnsi="Arial" w:cs="Arial"/>
          <w:sz w:val="28"/>
          <w:szCs w:val="28"/>
          <w:lang w:val="en-GB"/>
        </w:rPr>
      </w:pPr>
    </w:p>
    <w:p w14:paraId="4764F520" w14:textId="1B156246" w:rsidR="00634231" w:rsidRPr="00AF5F7B" w:rsidRDefault="00634231" w:rsidP="00634231">
      <w:pPr>
        <w:pStyle w:val="NoSpacing"/>
        <w:spacing w:line="360" w:lineRule="auto"/>
        <w:jc w:val="center"/>
        <w:rPr>
          <w:rFonts w:ascii="Arial" w:hAnsi="Arial" w:cs="Arial"/>
          <w:sz w:val="28"/>
          <w:szCs w:val="28"/>
          <w:lang w:val="en-GB"/>
        </w:rPr>
      </w:pPr>
      <w:r w:rsidRPr="00AF5F7B">
        <w:rPr>
          <w:rFonts w:ascii="Arial" w:hAnsi="Arial" w:cs="Arial"/>
          <w:sz w:val="28"/>
          <w:szCs w:val="28"/>
          <w:lang w:val="en-GB"/>
        </w:rPr>
        <w:t>Managing Food &amp; Beverage Operations</w:t>
      </w:r>
    </w:p>
    <w:p w14:paraId="071CB7A0" w14:textId="77777777" w:rsidR="00634231" w:rsidRPr="00AF5F7B" w:rsidRDefault="00634231" w:rsidP="00634231">
      <w:pPr>
        <w:pStyle w:val="NoSpacing"/>
        <w:spacing w:line="360" w:lineRule="auto"/>
        <w:jc w:val="center"/>
        <w:rPr>
          <w:rFonts w:ascii="Arial" w:hAnsi="Arial" w:cs="Arial"/>
          <w:sz w:val="28"/>
          <w:szCs w:val="28"/>
          <w:lang w:val="en-GB"/>
        </w:rPr>
      </w:pPr>
      <w:r w:rsidRPr="00AF5F7B">
        <w:rPr>
          <w:rFonts w:ascii="Arial" w:hAnsi="Arial" w:cs="Arial"/>
          <w:sz w:val="28"/>
          <w:szCs w:val="28"/>
          <w:lang w:val="en-GB"/>
        </w:rPr>
        <w:t>Module code: BMIH6002</w:t>
      </w:r>
    </w:p>
    <w:p w14:paraId="73BD3749" w14:textId="77777777" w:rsidR="00634231" w:rsidRDefault="00634231" w:rsidP="00634231">
      <w:pPr>
        <w:pStyle w:val="NoSpacing"/>
        <w:spacing w:line="360" w:lineRule="auto"/>
        <w:jc w:val="center"/>
        <w:rPr>
          <w:rFonts w:ascii="Arial" w:hAnsi="Arial" w:cs="Arial"/>
          <w:sz w:val="28"/>
          <w:szCs w:val="28"/>
          <w:lang w:val="en-GB"/>
        </w:rPr>
      </w:pPr>
      <w:r w:rsidRPr="00AF5F7B">
        <w:rPr>
          <w:rFonts w:ascii="Arial" w:hAnsi="Arial" w:cs="Arial"/>
          <w:sz w:val="28"/>
          <w:szCs w:val="28"/>
          <w:lang w:val="en-GB"/>
        </w:rPr>
        <w:t>Assignment Title: Student Learning Log</w:t>
      </w:r>
    </w:p>
    <w:p w14:paraId="236A33EB" w14:textId="77777777" w:rsidR="00601D75" w:rsidRDefault="00601D75" w:rsidP="00634231">
      <w:pPr>
        <w:pStyle w:val="NoSpacing"/>
        <w:spacing w:line="360" w:lineRule="auto"/>
        <w:jc w:val="center"/>
        <w:rPr>
          <w:rFonts w:ascii="Arial" w:hAnsi="Arial" w:cs="Arial"/>
          <w:sz w:val="28"/>
          <w:szCs w:val="28"/>
          <w:lang w:val="en-GB"/>
        </w:rPr>
      </w:pPr>
    </w:p>
    <w:p w14:paraId="5C1DDAB5" w14:textId="77777777" w:rsidR="00601D75" w:rsidRPr="00AF5F7B" w:rsidRDefault="00601D75" w:rsidP="00634231">
      <w:pPr>
        <w:pStyle w:val="NoSpacing"/>
        <w:spacing w:line="360" w:lineRule="auto"/>
        <w:jc w:val="center"/>
        <w:rPr>
          <w:rFonts w:ascii="Arial" w:hAnsi="Arial" w:cs="Arial"/>
          <w:sz w:val="28"/>
          <w:szCs w:val="28"/>
          <w:lang w:val="en-GB"/>
        </w:rPr>
      </w:pPr>
    </w:p>
    <w:p w14:paraId="3CFED445" w14:textId="1C446602" w:rsidR="00634231" w:rsidRPr="00634231" w:rsidRDefault="00634231" w:rsidP="00634231">
      <w:pPr>
        <w:pStyle w:val="NoSpacing"/>
        <w:spacing w:line="360" w:lineRule="auto"/>
        <w:jc w:val="center"/>
        <w:rPr>
          <w:rFonts w:ascii="Arial" w:hAnsi="Arial" w:cs="Arial"/>
          <w:sz w:val="22"/>
          <w:szCs w:val="22"/>
          <w:lang w:val="en-GB"/>
        </w:rPr>
      </w:pPr>
      <w:r w:rsidRPr="00634231">
        <w:rPr>
          <w:rFonts w:ascii="Arial" w:hAnsi="Arial" w:cs="Arial"/>
          <w:sz w:val="22"/>
          <w:szCs w:val="22"/>
          <w:lang w:val="en-GB"/>
        </w:rPr>
        <w:t>Student Name:</w:t>
      </w:r>
      <w:r w:rsidRPr="00634231">
        <w:rPr>
          <w:rFonts w:ascii="Arial" w:hAnsi="Arial" w:cs="Arial"/>
          <w:sz w:val="22"/>
          <w:szCs w:val="22"/>
          <w:lang w:val="en-GB"/>
        </w:rPr>
        <w:t xml:space="preserve"> Marin Marius Enache</w:t>
      </w:r>
    </w:p>
    <w:p w14:paraId="17223283" w14:textId="2D3FDE2D" w:rsidR="00634231" w:rsidRPr="00AF5F7B" w:rsidRDefault="00634231" w:rsidP="00634231">
      <w:pPr>
        <w:pStyle w:val="NoSpacing"/>
        <w:spacing w:line="360" w:lineRule="auto"/>
        <w:jc w:val="center"/>
        <w:rPr>
          <w:rFonts w:ascii="Arial" w:hAnsi="Arial" w:cs="Arial"/>
          <w:sz w:val="28"/>
          <w:szCs w:val="28"/>
          <w:lang w:val="en-GB"/>
        </w:rPr>
      </w:pPr>
      <w:r w:rsidRPr="00634231">
        <w:rPr>
          <w:rFonts w:ascii="Arial" w:hAnsi="Arial" w:cs="Arial"/>
          <w:sz w:val="22"/>
          <w:szCs w:val="22"/>
          <w:lang w:val="en-GB"/>
        </w:rPr>
        <w:t>Student ID:</w:t>
      </w:r>
      <w:r w:rsidRPr="00634231">
        <w:rPr>
          <w:rFonts w:ascii="Arial" w:hAnsi="Arial" w:cs="Arial"/>
          <w:sz w:val="22"/>
          <w:szCs w:val="22"/>
          <w:lang w:val="en-GB"/>
        </w:rPr>
        <w:t xml:space="preserve"> 2241513</w:t>
      </w:r>
    </w:p>
    <w:p w14:paraId="15F87E18" w14:textId="77777777" w:rsidR="00634231" w:rsidRPr="00AF5F7B" w:rsidRDefault="00634231" w:rsidP="00634231">
      <w:pPr>
        <w:spacing w:line="360" w:lineRule="auto"/>
        <w:jc w:val="both"/>
        <w:rPr>
          <w:rFonts w:ascii="Arial" w:hAnsi="Arial" w:cs="Arial"/>
          <w:lang w:val="en-GB"/>
        </w:rPr>
      </w:pPr>
    </w:p>
    <w:p w14:paraId="790A2287" w14:textId="77777777" w:rsidR="00634231" w:rsidRDefault="00634231" w:rsidP="00634231">
      <w:pPr>
        <w:rPr>
          <w:rFonts w:ascii="Arial" w:hAnsi="Arial" w:cs="Arial"/>
          <w:lang w:val="en-GB"/>
        </w:rPr>
      </w:pPr>
      <w:r>
        <w:rPr>
          <w:rFonts w:ascii="Arial" w:hAnsi="Arial" w:cs="Arial"/>
          <w:lang w:val="en-GB"/>
        </w:rPr>
        <w:br w:type="page"/>
      </w:r>
    </w:p>
    <w:sdt>
      <w:sdtPr>
        <w:rPr>
          <w:rFonts w:asciiTheme="minorHAnsi" w:eastAsiaTheme="minorHAnsi" w:hAnsiTheme="minorHAnsi" w:cstheme="minorBidi"/>
          <w:color w:val="auto"/>
          <w:kern w:val="2"/>
          <w:sz w:val="24"/>
          <w:szCs w:val="24"/>
          <w14:ligatures w14:val="standardContextual"/>
        </w:rPr>
        <w:id w:val="119113517"/>
        <w:docPartObj>
          <w:docPartGallery w:val="Table of Contents"/>
          <w:docPartUnique/>
        </w:docPartObj>
      </w:sdtPr>
      <w:sdtEndPr>
        <w:rPr>
          <w:b/>
          <w:bCs/>
          <w:noProof/>
        </w:rPr>
      </w:sdtEndPr>
      <w:sdtContent>
        <w:p w14:paraId="14DB7DA5" w14:textId="77777777" w:rsidR="00634231" w:rsidRPr="00AF5F7B" w:rsidRDefault="00634231" w:rsidP="00634231">
          <w:pPr>
            <w:pStyle w:val="TOCHeading"/>
            <w:spacing w:line="360" w:lineRule="auto"/>
            <w:jc w:val="center"/>
            <w:rPr>
              <w:rFonts w:ascii="Arial" w:hAnsi="Arial" w:cs="Arial"/>
              <w:b/>
              <w:bCs/>
              <w:sz w:val="36"/>
              <w:szCs w:val="36"/>
            </w:rPr>
          </w:pPr>
          <w:r w:rsidRPr="00AF5F7B">
            <w:rPr>
              <w:rFonts w:ascii="Arial" w:hAnsi="Arial" w:cs="Arial"/>
              <w:b/>
              <w:bCs/>
              <w:sz w:val="36"/>
              <w:szCs w:val="36"/>
            </w:rPr>
            <w:t>Table of Contents</w:t>
          </w:r>
        </w:p>
        <w:p w14:paraId="436FEC4C"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r w:rsidRPr="00677279">
            <w:rPr>
              <w:rFonts w:ascii="Arial" w:hAnsi="Arial" w:cs="Arial"/>
            </w:rPr>
            <w:fldChar w:fldCharType="begin"/>
          </w:r>
          <w:r w:rsidRPr="00677279">
            <w:rPr>
              <w:rFonts w:ascii="Arial" w:hAnsi="Arial" w:cs="Arial"/>
            </w:rPr>
            <w:instrText xml:space="preserve"> TOC \o "1-3" \h \z \u </w:instrText>
          </w:r>
          <w:r w:rsidRPr="00677279">
            <w:rPr>
              <w:rFonts w:ascii="Arial" w:hAnsi="Arial" w:cs="Arial"/>
            </w:rPr>
            <w:fldChar w:fldCharType="separate"/>
          </w:r>
          <w:hyperlink w:anchor="_Toc223116473" w:history="1">
            <w:r w:rsidRPr="00677279">
              <w:rPr>
                <w:rStyle w:val="Hyperlink"/>
                <w:rFonts w:ascii="Arial" w:hAnsi="Arial" w:cs="Arial"/>
                <w:noProof/>
                <w:lang w:val="en-GB"/>
              </w:rPr>
              <w:t>Introduction</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_Toc223116473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3</w:t>
            </w:r>
            <w:r w:rsidRPr="00677279">
              <w:rPr>
                <w:rFonts w:ascii="Arial" w:hAnsi="Arial" w:cs="Arial"/>
                <w:noProof/>
                <w:webHidden/>
              </w:rPr>
              <w:fldChar w:fldCharType="end"/>
            </w:r>
          </w:hyperlink>
        </w:p>
        <w:p w14:paraId="37C8F2C8"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4" w:history="1">
            <w:r w:rsidRPr="00677279">
              <w:rPr>
                <w:rStyle w:val="Hyperlink"/>
                <w:rFonts w:ascii="Arial" w:hAnsi="Arial" w:cs="Arial"/>
                <w:noProof/>
                <w:lang w:val="en-GB"/>
              </w:rPr>
              <w:t>Applying Food and Beverage Operations Theory in Practice</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_Toc223116474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4</w:t>
            </w:r>
            <w:r w:rsidRPr="00677279">
              <w:rPr>
                <w:rFonts w:ascii="Arial" w:hAnsi="Arial" w:cs="Arial"/>
                <w:noProof/>
                <w:webHidden/>
              </w:rPr>
              <w:fldChar w:fldCharType="end"/>
            </w:r>
          </w:hyperlink>
        </w:p>
        <w:p w14:paraId="3316ADF6"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5" w:history="1">
            <w:r w:rsidRPr="00677279">
              <w:rPr>
                <w:rStyle w:val="Hyperlink"/>
                <w:rFonts w:ascii="Arial" w:hAnsi="Arial" w:cs="Arial"/>
                <w:noProof/>
                <w:lang w:val="en-GB"/>
              </w:rPr>
              <w:t>Operational Planning and Capacity Management</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_Toc223116475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5</w:t>
            </w:r>
            <w:r w:rsidRPr="00677279">
              <w:rPr>
                <w:rFonts w:ascii="Arial" w:hAnsi="Arial" w:cs="Arial"/>
                <w:noProof/>
                <w:webHidden/>
              </w:rPr>
              <w:fldChar w:fldCharType="end"/>
            </w:r>
          </w:hyperlink>
        </w:p>
        <w:p w14:paraId="081C7EE7"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6" w:history="1">
            <w:r w:rsidRPr="00677279">
              <w:rPr>
                <w:rStyle w:val="Hyperlink"/>
                <w:rFonts w:ascii="Arial" w:hAnsi="Arial" w:cs="Arial"/>
                <w:noProof/>
                <w:lang w:val="en-GB"/>
              </w:rPr>
              <w:t>Sustainability in Food and Beverage Operations</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_Toc223116476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5</w:t>
            </w:r>
            <w:r w:rsidRPr="00677279">
              <w:rPr>
                <w:rFonts w:ascii="Arial" w:hAnsi="Arial" w:cs="Arial"/>
                <w:noProof/>
                <w:webHidden/>
              </w:rPr>
              <w:fldChar w:fldCharType="end"/>
            </w:r>
          </w:hyperlink>
        </w:p>
        <w:p w14:paraId="483D10CD"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7" w:history="1">
            <w:r w:rsidRPr="00677279">
              <w:rPr>
                <w:rStyle w:val="Hyperlink"/>
                <w:rFonts w:ascii="Arial" w:hAnsi="Arial" w:cs="Arial"/>
                <w:noProof/>
                <w:lang w:val="en-GB"/>
              </w:rPr>
              <w:t>Service Quality and Customer Experience</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_Toc223116477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6</w:t>
            </w:r>
            <w:r w:rsidRPr="00677279">
              <w:rPr>
                <w:rFonts w:ascii="Arial" w:hAnsi="Arial" w:cs="Arial"/>
                <w:noProof/>
                <w:webHidden/>
              </w:rPr>
              <w:fldChar w:fldCharType="end"/>
            </w:r>
          </w:hyperlink>
        </w:p>
        <w:p w14:paraId="69BA5ABE"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8" w:history="1">
            <w:r w:rsidRPr="00677279">
              <w:rPr>
                <w:rStyle w:val="Hyperlink"/>
                <w:rFonts w:ascii="Arial" w:hAnsi="Arial" w:cs="Arial"/>
                <w:noProof/>
                <w:lang w:val="en-GB"/>
              </w:rPr>
              <w:t>Leadership, Teamwork and Personal Development</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_Toc223116478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6</w:t>
            </w:r>
            <w:r w:rsidRPr="00677279">
              <w:rPr>
                <w:rFonts w:ascii="Arial" w:hAnsi="Arial" w:cs="Arial"/>
                <w:noProof/>
                <w:webHidden/>
              </w:rPr>
              <w:fldChar w:fldCharType="end"/>
            </w:r>
          </w:hyperlink>
        </w:p>
        <w:p w14:paraId="2D3815CC"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79" w:history="1">
            <w:r w:rsidRPr="00677279">
              <w:rPr>
                <w:rStyle w:val="Hyperlink"/>
                <w:rFonts w:ascii="Arial" w:hAnsi="Arial" w:cs="Arial"/>
                <w:noProof/>
                <w:lang w:val="en-GB"/>
              </w:rPr>
              <w:t>Critical Evaluation and Recommendations</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_Toc223116479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7</w:t>
            </w:r>
            <w:r w:rsidRPr="00677279">
              <w:rPr>
                <w:rFonts w:ascii="Arial" w:hAnsi="Arial" w:cs="Arial"/>
                <w:noProof/>
                <w:webHidden/>
              </w:rPr>
              <w:fldChar w:fldCharType="end"/>
            </w:r>
          </w:hyperlink>
        </w:p>
        <w:p w14:paraId="5BA906BA"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80" w:history="1">
            <w:r w:rsidRPr="00677279">
              <w:rPr>
                <w:rStyle w:val="Hyperlink"/>
                <w:rFonts w:ascii="Arial" w:hAnsi="Arial" w:cs="Arial"/>
                <w:noProof/>
                <w:lang w:val="en-GB"/>
              </w:rPr>
              <w:t>Conclusion</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_Toc223116480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7</w:t>
            </w:r>
            <w:r w:rsidRPr="00677279">
              <w:rPr>
                <w:rFonts w:ascii="Arial" w:hAnsi="Arial" w:cs="Arial"/>
                <w:noProof/>
                <w:webHidden/>
              </w:rPr>
              <w:fldChar w:fldCharType="end"/>
            </w:r>
          </w:hyperlink>
        </w:p>
        <w:p w14:paraId="7E7402AE" w14:textId="77777777" w:rsidR="00634231" w:rsidRPr="00677279" w:rsidRDefault="00634231" w:rsidP="00634231">
          <w:pPr>
            <w:pStyle w:val="TOC1"/>
            <w:tabs>
              <w:tab w:val="right" w:leader="dot" w:pos="9016"/>
            </w:tabs>
            <w:spacing w:line="360" w:lineRule="auto"/>
            <w:rPr>
              <w:rFonts w:ascii="Arial" w:eastAsiaTheme="minorEastAsia" w:hAnsi="Arial" w:cs="Arial"/>
              <w:noProof/>
              <w:szCs w:val="30"/>
              <w:lang w:bidi="bn-IN"/>
            </w:rPr>
          </w:pPr>
          <w:hyperlink w:anchor="_Toc223116481" w:history="1">
            <w:r w:rsidRPr="00677279">
              <w:rPr>
                <w:rStyle w:val="Hyperlink"/>
                <w:rFonts w:ascii="Arial" w:hAnsi="Arial" w:cs="Arial"/>
                <w:noProof/>
                <w:lang w:val="en-GB"/>
              </w:rPr>
              <w:t>References</w:t>
            </w:r>
            <w:r w:rsidRPr="00677279">
              <w:rPr>
                <w:rFonts w:ascii="Arial" w:hAnsi="Arial" w:cs="Arial"/>
                <w:noProof/>
                <w:webHidden/>
              </w:rPr>
              <w:tab/>
            </w:r>
            <w:r w:rsidRPr="00677279">
              <w:rPr>
                <w:rFonts w:ascii="Arial" w:hAnsi="Arial" w:cs="Arial"/>
                <w:noProof/>
                <w:webHidden/>
              </w:rPr>
              <w:fldChar w:fldCharType="begin"/>
            </w:r>
            <w:r w:rsidRPr="00677279">
              <w:rPr>
                <w:rFonts w:ascii="Arial" w:hAnsi="Arial" w:cs="Arial"/>
                <w:noProof/>
                <w:webHidden/>
              </w:rPr>
              <w:instrText xml:space="preserve"> PAGEREF _Toc223116481 \h </w:instrText>
            </w:r>
            <w:r w:rsidRPr="00677279">
              <w:rPr>
                <w:rFonts w:ascii="Arial" w:hAnsi="Arial" w:cs="Arial"/>
                <w:noProof/>
                <w:webHidden/>
              </w:rPr>
            </w:r>
            <w:r w:rsidRPr="00677279">
              <w:rPr>
                <w:rFonts w:ascii="Arial" w:hAnsi="Arial" w:cs="Arial"/>
                <w:noProof/>
                <w:webHidden/>
              </w:rPr>
              <w:fldChar w:fldCharType="separate"/>
            </w:r>
            <w:r w:rsidRPr="00677279">
              <w:rPr>
                <w:rFonts w:ascii="Arial" w:hAnsi="Arial" w:cs="Arial"/>
                <w:noProof/>
                <w:webHidden/>
              </w:rPr>
              <w:t>8</w:t>
            </w:r>
            <w:r w:rsidRPr="00677279">
              <w:rPr>
                <w:rFonts w:ascii="Arial" w:hAnsi="Arial" w:cs="Arial"/>
                <w:noProof/>
                <w:webHidden/>
              </w:rPr>
              <w:fldChar w:fldCharType="end"/>
            </w:r>
          </w:hyperlink>
        </w:p>
        <w:p w14:paraId="4397C9BE" w14:textId="77777777" w:rsidR="00634231" w:rsidRDefault="00634231" w:rsidP="00634231">
          <w:pPr>
            <w:spacing w:line="360" w:lineRule="auto"/>
          </w:pPr>
          <w:r w:rsidRPr="00677279">
            <w:rPr>
              <w:rFonts w:ascii="Arial" w:hAnsi="Arial" w:cs="Arial"/>
              <w:b/>
              <w:bCs/>
              <w:noProof/>
            </w:rPr>
            <w:fldChar w:fldCharType="end"/>
          </w:r>
        </w:p>
      </w:sdtContent>
    </w:sdt>
    <w:p w14:paraId="312353AB" w14:textId="77777777" w:rsidR="00634231" w:rsidRDefault="00634231" w:rsidP="00634231">
      <w:pPr>
        <w:rPr>
          <w:rFonts w:ascii="Arial" w:hAnsi="Arial" w:cs="Arial"/>
          <w:lang w:val="en-GB"/>
        </w:rPr>
      </w:pPr>
      <w:r>
        <w:rPr>
          <w:rFonts w:ascii="Arial" w:hAnsi="Arial" w:cs="Arial"/>
          <w:lang w:val="en-GB"/>
        </w:rPr>
        <w:br w:type="page"/>
      </w:r>
    </w:p>
    <w:p w14:paraId="334D9233" w14:textId="77777777" w:rsidR="00634231" w:rsidRPr="00AF5F7B" w:rsidRDefault="00634231" w:rsidP="00634231">
      <w:pPr>
        <w:pStyle w:val="Heading1"/>
      </w:pPr>
      <w:bookmarkStart w:id="0" w:name="_Toc223116473"/>
      <w:r w:rsidRPr="00AF5F7B">
        <w:lastRenderedPageBreak/>
        <w:t>Introduction</w:t>
      </w:r>
      <w:bookmarkEnd w:id="0"/>
    </w:p>
    <w:p w14:paraId="41EE8884"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This reflective learning log is grounded in my Level 6 placement at the Meetings and Events subdivision of the Food and Beverage Department of Best Western Abbots Barton Hotel, Canterbury. The hotel is a full-service, historic place of accommodation and conference centre which provides offerings of accommodation, conference and a variety of food and beverages. Its F&amp;B business entails a core dining restaurant, a lounge and bar facility where people can enjoy drinks and other light snacks, and a huge meetings and events facility where they will host conferences, weddings, personal dinners and corporate events. Being a member of the Meetings and Events team, I had the opportunity of preparing and serving buffets, plated banquets, refreshment breaks and wedding breakfasts, </w:t>
      </w:r>
      <w:proofErr w:type="gramStart"/>
      <w:r w:rsidRPr="00AF5F7B">
        <w:rPr>
          <w:rFonts w:ascii="Arial" w:hAnsi="Arial" w:cs="Arial"/>
          <w:lang w:val="en-GB"/>
        </w:rPr>
        <w:t>and also</w:t>
      </w:r>
      <w:proofErr w:type="gramEnd"/>
      <w:r w:rsidRPr="00AF5F7B">
        <w:rPr>
          <w:rFonts w:ascii="Arial" w:hAnsi="Arial" w:cs="Arial"/>
          <w:lang w:val="en-GB"/>
        </w:rPr>
        <w:t xml:space="preserve"> worked in cooperation with the kitchen, bar and supervisory staff. </w:t>
      </w:r>
    </w:p>
    <w:p w14:paraId="76F80F8F" w14:textId="77777777" w:rsidR="00634231" w:rsidRDefault="00634231" w:rsidP="00634231">
      <w:pPr>
        <w:rPr>
          <w:rFonts w:ascii="Arial" w:eastAsiaTheme="majorEastAsia" w:hAnsi="Arial" w:cstheme="majorBidi"/>
          <w:b/>
          <w:color w:val="0F4761" w:themeColor="accent1" w:themeShade="BF"/>
          <w:szCs w:val="40"/>
          <w:lang w:val="en-GB"/>
        </w:rPr>
      </w:pPr>
      <w:r>
        <w:rPr>
          <w:lang w:val="en-GB"/>
        </w:rPr>
        <w:br w:type="page"/>
      </w:r>
    </w:p>
    <w:p w14:paraId="2579D876" w14:textId="77777777" w:rsidR="00634231" w:rsidRPr="00AF5F7B" w:rsidRDefault="00634231" w:rsidP="00634231">
      <w:pPr>
        <w:pStyle w:val="Heading1"/>
      </w:pPr>
      <w:bookmarkStart w:id="1" w:name="_Toc223116474"/>
      <w:r w:rsidRPr="00AF5F7B">
        <w:lastRenderedPageBreak/>
        <w:t>Applying Food and Beverage Operations Theory in Practice</w:t>
      </w:r>
      <w:bookmarkEnd w:id="1"/>
    </w:p>
    <w:p w14:paraId="4E71F5EA" w14:textId="77777777" w:rsidR="00634231" w:rsidRDefault="00634231" w:rsidP="00634231">
      <w:pPr>
        <w:spacing w:line="360" w:lineRule="auto"/>
        <w:jc w:val="both"/>
        <w:rPr>
          <w:rFonts w:ascii="Arial" w:hAnsi="Arial" w:cs="Arial"/>
          <w:lang w:val="en-GB"/>
        </w:rPr>
      </w:pPr>
      <w:r w:rsidRPr="00AF5F7B">
        <w:rPr>
          <w:rFonts w:ascii="Arial" w:hAnsi="Arial" w:cs="Arial"/>
          <w:lang w:val="en-GB"/>
        </w:rPr>
        <w:t xml:space="preserve">The Food and Beverage Operations module </w:t>
      </w:r>
      <w:proofErr w:type="gramStart"/>
      <w:r w:rsidRPr="00AF5F7B">
        <w:rPr>
          <w:rFonts w:ascii="Arial" w:hAnsi="Arial" w:cs="Arial"/>
          <w:lang w:val="en-GB"/>
        </w:rPr>
        <w:t>brings</w:t>
      </w:r>
      <w:proofErr w:type="gramEnd"/>
      <w:r w:rsidRPr="00AF5F7B">
        <w:rPr>
          <w:rFonts w:ascii="Arial" w:hAnsi="Arial" w:cs="Arial"/>
          <w:lang w:val="en-GB"/>
        </w:rPr>
        <w:t xml:space="preserve"> out the connection in service design, operational efficiency, quality control and customer satisfaction. These principles were implemented during my placement in meetings and events, especially in a wedding and corporate setting (</w:t>
      </w:r>
      <w:proofErr w:type="spellStart"/>
      <w:r w:rsidRPr="00AF5F7B">
        <w:rPr>
          <w:rFonts w:ascii="Arial" w:hAnsi="Arial" w:cs="Arial"/>
          <w:lang w:val="en-GB"/>
        </w:rPr>
        <w:t>Boussard</w:t>
      </w:r>
      <w:proofErr w:type="spellEnd"/>
      <w:r w:rsidRPr="00AF5F7B">
        <w:rPr>
          <w:rFonts w:ascii="Arial" w:hAnsi="Arial" w:cs="Arial"/>
          <w:lang w:val="en-GB"/>
        </w:rPr>
        <w:t>, 2021). The service-profit chain model was particularly applicable, showing how the preparation of employees has an impact on guest satisfaction through their performance (Ivanov and Webster, 2023). Supervisors made elaborate pre-service briefings; senior servers understood all the table plans, what to eat and when to eat at specific occasions like a 120-guest wedding breakfast; service was smooth, and junior servers were in their right positions.</w:t>
      </w:r>
    </w:p>
    <w:p w14:paraId="04F4040D" w14:textId="77777777" w:rsidR="00634231" w:rsidRPr="00677279" w:rsidRDefault="00634231" w:rsidP="00634231">
      <w:pPr>
        <w:keepNext/>
        <w:spacing w:line="360" w:lineRule="auto"/>
        <w:jc w:val="center"/>
        <w:rPr>
          <w:rFonts w:ascii="Arial" w:hAnsi="Arial" w:cs="Arial"/>
        </w:rPr>
      </w:pPr>
      <w:r w:rsidRPr="00677279">
        <w:rPr>
          <w:rFonts w:ascii="Arial" w:hAnsi="Arial" w:cs="Arial"/>
          <w:noProof/>
        </w:rPr>
        <w:drawing>
          <wp:inline distT="0" distB="0" distL="0" distR="0" wp14:anchorId="7AA26C46" wp14:editId="797C7DF4">
            <wp:extent cx="3505200" cy="3778206"/>
            <wp:effectExtent l="0" t="0" r="0" b="0"/>
            <wp:docPr id="682532369" name="Picture 1" descr="Mastering Food and Beverage Management: Tips for Multi-Site Ope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ing Food and Beverage Management: Tips for Multi-Site Operation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508863" cy="3782155"/>
                    </a:xfrm>
                    <a:prstGeom prst="rect">
                      <a:avLst/>
                    </a:prstGeom>
                    <a:noFill/>
                    <a:ln>
                      <a:noFill/>
                    </a:ln>
                  </pic:spPr>
                </pic:pic>
              </a:graphicData>
            </a:graphic>
          </wp:inline>
        </w:drawing>
      </w:r>
    </w:p>
    <w:p w14:paraId="204C2BBC" w14:textId="77777777" w:rsidR="00634231" w:rsidRPr="00677279" w:rsidRDefault="00634231" w:rsidP="00634231">
      <w:pPr>
        <w:pStyle w:val="Caption"/>
        <w:jc w:val="center"/>
        <w:rPr>
          <w:rFonts w:ascii="Arial" w:hAnsi="Arial" w:cs="Arial"/>
          <w:sz w:val="24"/>
          <w:szCs w:val="24"/>
        </w:rPr>
      </w:pPr>
      <w:r w:rsidRPr="00677279">
        <w:rPr>
          <w:rFonts w:ascii="Arial" w:hAnsi="Arial" w:cs="Arial"/>
          <w:sz w:val="24"/>
          <w:szCs w:val="24"/>
        </w:rPr>
        <w:t xml:space="preserve">Figure </w:t>
      </w:r>
      <w:r w:rsidRPr="00677279">
        <w:rPr>
          <w:rFonts w:ascii="Arial" w:hAnsi="Arial" w:cs="Arial"/>
          <w:sz w:val="24"/>
          <w:szCs w:val="24"/>
        </w:rPr>
        <w:fldChar w:fldCharType="begin"/>
      </w:r>
      <w:r w:rsidRPr="00677279">
        <w:rPr>
          <w:rFonts w:ascii="Arial" w:hAnsi="Arial" w:cs="Arial"/>
          <w:sz w:val="24"/>
          <w:szCs w:val="24"/>
        </w:rPr>
        <w:instrText xml:space="preserve"> SEQ Figure \* ARABIC </w:instrText>
      </w:r>
      <w:r w:rsidRPr="00677279">
        <w:rPr>
          <w:rFonts w:ascii="Arial" w:hAnsi="Arial" w:cs="Arial"/>
          <w:sz w:val="24"/>
          <w:szCs w:val="24"/>
        </w:rPr>
        <w:fldChar w:fldCharType="separate"/>
      </w:r>
      <w:r w:rsidRPr="00677279">
        <w:rPr>
          <w:rFonts w:ascii="Arial" w:hAnsi="Arial" w:cs="Arial"/>
          <w:noProof/>
          <w:sz w:val="24"/>
          <w:szCs w:val="24"/>
        </w:rPr>
        <w:t>1</w:t>
      </w:r>
      <w:r w:rsidRPr="00677279">
        <w:rPr>
          <w:rFonts w:ascii="Arial" w:hAnsi="Arial" w:cs="Arial"/>
          <w:sz w:val="24"/>
          <w:szCs w:val="24"/>
        </w:rPr>
        <w:fldChar w:fldCharType="end"/>
      </w:r>
      <w:r w:rsidRPr="00677279">
        <w:rPr>
          <w:rFonts w:ascii="Arial" w:hAnsi="Arial" w:cs="Arial"/>
          <w:sz w:val="24"/>
          <w:szCs w:val="24"/>
        </w:rPr>
        <w:t xml:space="preserve"> Mastering Food and Beverage Management</w:t>
      </w:r>
    </w:p>
    <w:p w14:paraId="253689F0" w14:textId="77777777" w:rsidR="00634231" w:rsidRPr="00677279" w:rsidRDefault="00634231" w:rsidP="00634231">
      <w:pPr>
        <w:jc w:val="center"/>
        <w:rPr>
          <w:rFonts w:ascii="Arial" w:hAnsi="Arial" w:cs="Arial"/>
        </w:rPr>
      </w:pPr>
      <w:r w:rsidRPr="00677279">
        <w:rPr>
          <w:rFonts w:ascii="Arial" w:hAnsi="Arial" w:cs="Arial"/>
        </w:rPr>
        <w:t xml:space="preserve">Source: </w:t>
      </w:r>
      <w:r w:rsidRPr="00677279">
        <w:rPr>
          <w:rFonts w:ascii="Arial" w:hAnsi="Arial" w:cs="Arial"/>
          <w:lang w:val="en-GB"/>
        </w:rPr>
        <w:t>(Endri et al., 2020)</w:t>
      </w:r>
    </w:p>
    <w:p w14:paraId="38569055"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On the contrary, there were also the effects of ineffective communication. At one of the corporate lunches, a lack of coordination between the kitchen and the floor staff of the company caused delays and misunderstandings on special dietary meals, causing guests to be unhappy (</w:t>
      </w:r>
      <w:proofErr w:type="spellStart"/>
      <w:r w:rsidRPr="00AF5F7B">
        <w:rPr>
          <w:rFonts w:ascii="Arial" w:hAnsi="Arial" w:cs="Arial"/>
          <w:lang w:val="en-GB"/>
        </w:rPr>
        <w:t>Liestyana</w:t>
      </w:r>
      <w:proofErr w:type="spellEnd"/>
      <w:r w:rsidRPr="00AF5F7B">
        <w:rPr>
          <w:rFonts w:ascii="Arial" w:hAnsi="Arial" w:cs="Arial"/>
          <w:lang w:val="en-GB"/>
        </w:rPr>
        <w:t xml:space="preserve"> et al., 2024). This experience helped to support the </w:t>
      </w:r>
      <w:r w:rsidRPr="00AF5F7B">
        <w:rPr>
          <w:rFonts w:ascii="Arial" w:hAnsi="Arial" w:cs="Arial"/>
          <w:lang w:val="en-GB"/>
        </w:rPr>
        <w:lastRenderedPageBreak/>
        <w:t>significance of effective communications in the cycle of operations. It stated that though theory is an excellent framework, its success relies on its repeated use and tracking in the actual service setting.</w:t>
      </w:r>
    </w:p>
    <w:p w14:paraId="6BEBE60B" w14:textId="77777777" w:rsidR="00634231" w:rsidRPr="00AF5F7B" w:rsidRDefault="00634231" w:rsidP="00634231">
      <w:pPr>
        <w:pStyle w:val="Heading1"/>
      </w:pPr>
      <w:bookmarkStart w:id="2" w:name="_Toc223116475"/>
      <w:r w:rsidRPr="00AF5F7B">
        <w:t>Operational Planning and Capacity Management</w:t>
      </w:r>
      <w:bookmarkEnd w:id="2"/>
    </w:p>
    <w:p w14:paraId="53E513AE"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The module looked at the management of activities of the capacity and matching between the demand and the resources available, and this was very important in meetings and events. The use of event sheets indicating the number of guests to be hosted, time schedules, and room arrangements represented operational blueprints, which embodied the theory of forecasting and scheduling (Endri et al., 2020). My Level 6 placement has provided more intricate logistics compared with my Level 4 placement in a smaller restaurant where the patterns are much more predictable. Weddings demanded the rapid turnaround of rooms under very rigid time limits, which exposed the realities of the time-starved scheduling models. Even though the transitions would typically be smooth, simultaneous events could push staffing limits, negatively impacting quality of service and indicating the necessity to have more precise workforce forecasting when there is a peak.</w:t>
      </w:r>
    </w:p>
    <w:p w14:paraId="1630D268" w14:textId="77777777" w:rsidR="00634231" w:rsidRPr="00AF5F7B" w:rsidRDefault="00634231" w:rsidP="00634231">
      <w:pPr>
        <w:pStyle w:val="Heading1"/>
      </w:pPr>
      <w:bookmarkStart w:id="3" w:name="_Toc223116476"/>
      <w:r w:rsidRPr="00AF5F7B">
        <w:t>Sustainability in Food and Beverage Operations</w:t>
      </w:r>
      <w:bookmarkEnd w:id="3"/>
    </w:p>
    <w:p w14:paraId="6A048B3D"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The concept of sustainability, as examined in the Sustainability to Hospitality Industry module, is gaining relevance in the F&amp;B management. I assessed the social, environmental and economic practices of the hotel using the triple bottom line framework. In the environmental sphere, portion control, parallel sorting of the recyclable waste and putting smaller batches at the breakfast table were among the initiatives used to minimise the amount of waste in the food industry (Das, 2025). </w:t>
      </w:r>
    </w:p>
    <w:p w14:paraId="4B5E8A7C"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The department has been socially helpful toward inclusivity, as it has catered to vegan, gluten-free, and allergen-sensitive orders, which represent current trends of ethical consumption. At the level of the economy, the </w:t>
      </w:r>
      <w:proofErr w:type="gramStart"/>
      <w:r w:rsidRPr="00AF5F7B">
        <w:rPr>
          <w:rFonts w:ascii="Arial" w:hAnsi="Arial" w:cs="Arial"/>
          <w:lang w:val="en-GB"/>
        </w:rPr>
        <w:t>managers maintained</w:t>
      </w:r>
      <w:proofErr w:type="gramEnd"/>
      <w:r w:rsidRPr="00AF5F7B">
        <w:rPr>
          <w:rFonts w:ascii="Arial" w:hAnsi="Arial" w:cs="Arial"/>
          <w:lang w:val="en-GB"/>
        </w:rPr>
        <w:t xml:space="preserve"> sustainability with cost management by tracking the food cost percentages and negotiating with suppliers (</w:t>
      </w:r>
      <w:proofErr w:type="spellStart"/>
      <w:r w:rsidRPr="00AF5F7B">
        <w:rPr>
          <w:rFonts w:ascii="Arial" w:hAnsi="Arial" w:cs="Arial"/>
          <w:lang w:val="en-GB"/>
        </w:rPr>
        <w:t>Golgeci</w:t>
      </w:r>
      <w:proofErr w:type="spellEnd"/>
      <w:r w:rsidRPr="00AF5F7B">
        <w:rPr>
          <w:rFonts w:ascii="Arial" w:hAnsi="Arial" w:cs="Arial"/>
          <w:lang w:val="en-GB"/>
        </w:rPr>
        <w:t xml:space="preserve"> et al., 2022). Sustainability was also more predominant and talked about at Level 6 as compared to Level 4, indicating organisational improvement. </w:t>
      </w:r>
    </w:p>
    <w:p w14:paraId="04F3A366" w14:textId="77777777" w:rsidR="00634231" w:rsidRPr="00AF5F7B" w:rsidRDefault="00634231" w:rsidP="00634231">
      <w:pPr>
        <w:pStyle w:val="Heading1"/>
      </w:pPr>
      <w:bookmarkStart w:id="4" w:name="_Toc223116477"/>
      <w:r w:rsidRPr="00AF5F7B">
        <w:lastRenderedPageBreak/>
        <w:t>Service Quality and Customer Experience</w:t>
      </w:r>
      <w:bookmarkEnd w:id="4"/>
    </w:p>
    <w:p w14:paraId="11D02632"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The SERVQUAL model that relates to reliability, responsiveness, assurance, empathy, and tangibles has proved most applicable to my reflection (</w:t>
      </w:r>
      <w:proofErr w:type="spellStart"/>
      <w:r w:rsidRPr="00AF5F7B">
        <w:rPr>
          <w:rFonts w:ascii="Arial" w:hAnsi="Arial" w:cs="Arial"/>
          <w:lang w:val="en-GB"/>
        </w:rPr>
        <w:t>Purcidonio</w:t>
      </w:r>
      <w:proofErr w:type="spellEnd"/>
      <w:r w:rsidRPr="00AF5F7B">
        <w:rPr>
          <w:rFonts w:ascii="Arial" w:hAnsi="Arial" w:cs="Arial"/>
          <w:lang w:val="en-GB"/>
        </w:rPr>
        <w:t xml:space="preserve"> et al., 2020). Tangibles like table presentation, decor and staff uniforms had a strong influence on the perceptions of the guests during meetings and events. It was the proper consideration of room design and order that contributed to good initial impressions and quality reinforcement.</w:t>
      </w:r>
    </w:p>
    <w:p w14:paraId="79561118"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The factor of reliability and responsiveness was especially critical in tight times. The team were able to respond quickly to complaints about the absence of a vegetarian meal; when a conference visitor requested the meal, he was contacted by the team members, but within several minutes, the meal was brought, and the person was not frustrated anymore. Although this was an indication of successful service recovery, it also indicated the area of weakness in initial checking processes.</w:t>
      </w:r>
    </w:p>
    <w:p w14:paraId="75DACA1D"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I am more confident now than before; I was mostly in my Level 4 placement, as far as I can be proactive in anticipating the needs of the guests. The experience is indicative of the experiential learning cycle by Kolb since the repetitive experience and reflective process have enhanced my capacity to recognise the emergent problems and find solutions before they become serious.</w:t>
      </w:r>
    </w:p>
    <w:p w14:paraId="6588B93D" w14:textId="77777777" w:rsidR="00634231" w:rsidRPr="00AF5F7B" w:rsidRDefault="00634231" w:rsidP="00634231">
      <w:pPr>
        <w:pStyle w:val="Heading1"/>
      </w:pPr>
      <w:bookmarkStart w:id="5" w:name="_Toc223116478"/>
      <w:r w:rsidRPr="00AF5F7B">
        <w:t>Leadership, Teamwork and Personal Development</w:t>
      </w:r>
      <w:bookmarkEnd w:id="5"/>
    </w:p>
    <w:p w14:paraId="493738FE"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The Personal Resourcing and Development module focused on the type of leadership and motivation theories, and I saw them being applied very vividly in the F&amp;B department. Supervisors tended to use a situational leadership style, which fitted their style based on the experience and the complexity of an event in the team (Walker, 2021). The weddings that held large masses needed a more directive approach </w:t>
      </w:r>
      <w:proofErr w:type="gramStart"/>
      <w:r w:rsidRPr="00AF5F7B">
        <w:rPr>
          <w:rFonts w:ascii="Arial" w:hAnsi="Arial" w:cs="Arial"/>
          <w:lang w:val="en-GB"/>
        </w:rPr>
        <w:t>in order to</w:t>
      </w:r>
      <w:proofErr w:type="gramEnd"/>
      <w:r w:rsidRPr="00AF5F7B">
        <w:rPr>
          <w:rFonts w:ascii="Arial" w:hAnsi="Arial" w:cs="Arial"/>
          <w:lang w:val="en-GB"/>
        </w:rPr>
        <w:t xml:space="preserve"> be accurate and well-timed, whereas smaller weddings promoted a participative approach that provided more involvement of the team.</w:t>
      </w:r>
    </w:p>
    <w:p w14:paraId="66924E53"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The two-factor theory introduced by Herzberg was also put into practice. The real inspiration was recognition and more responsibility, despite the importance of other hygiene factors, including payment and working conditions (Andersen et al., 2023). The higher level of accountability and interest that I experienced when I </w:t>
      </w:r>
      <w:proofErr w:type="gramStart"/>
      <w:r w:rsidRPr="00AF5F7B">
        <w:rPr>
          <w:rFonts w:ascii="Arial" w:hAnsi="Arial" w:cs="Arial"/>
          <w:lang w:val="en-GB"/>
        </w:rPr>
        <w:t xml:space="preserve">was in charge </w:t>
      </w:r>
      <w:r w:rsidRPr="00AF5F7B">
        <w:rPr>
          <w:rFonts w:ascii="Arial" w:hAnsi="Arial" w:cs="Arial"/>
          <w:lang w:val="en-GB"/>
        </w:rPr>
        <w:lastRenderedPageBreak/>
        <w:t>of</w:t>
      </w:r>
      <w:proofErr w:type="gramEnd"/>
      <w:r w:rsidRPr="00AF5F7B">
        <w:rPr>
          <w:rFonts w:ascii="Arial" w:hAnsi="Arial" w:cs="Arial"/>
          <w:lang w:val="en-GB"/>
        </w:rPr>
        <w:t xml:space="preserve"> managing a conference refreshment break was stronger than during my Level 4 placement, where I found myself in more repetitive tasks.</w:t>
      </w:r>
    </w:p>
    <w:p w14:paraId="15D3AF21"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But long working hours and physically hugging arrangements occasionally boosted morale, which really underscored the intensive labour nature of F&amp;B operations. Increased task rotation and an organised recognition assist the staff during the yearly rush.</w:t>
      </w:r>
    </w:p>
    <w:p w14:paraId="74F24AD2" w14:textId="77777777" w:rsidR="00634231" w:rsidRPr="00AF5F7B" w:rsidRDefault="00634231" w:rsidP="00634231">
      <w:pPr>
        <w:pStyle w:val="Heading1"/>
      </w:pPr>
      <w:bookmarkStart w:id="6" w:name="_Toc223116479"/>
      <w:r w:rsidRPr="00AF5F7B">
        <w:t>Critical Evaluation and Recommendations</w:t>
      </w:r>
      <w:bookmarkEnd w:id="6"/>
    </w:p>
    <w:p w14:paraId="0E2D3F39"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 xml:space="preserve">Although the hotel has good variables in operations, there are some realistic areas that can be improved to make it better. To begin with, the enabler of communication between the staff of the kitchen and service could be enhanced using digital order tracking systems as opposed to relying mainly on printed function sheets. Second, it might be more strategically integrated with sustainability through formalised measures of food waste and collaborating with redistribution charities in the region, wherever possible. </w:t>
      </w:r>
    </w:p>
    <w:p w14:paraId="78DF1497"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Placement Level 6 has enabled me to interact with theory in a more critical way than Level 4. I have now learnt that my own operational success will not be achieved by being able to abide by the procedures, as it should also be based on constant evaluation and alteration of the operational procedures based on feedback and evolving guest expectations.</w:t>
      </w:r>
    </w:p>
    <w:p w14:paraId="2125EF7A" w14:textId="77777777" w:rsidR="00634231" w:rsidRPr="00AF5F7B" w:rsidRDefault="00634231" w:rsidP="00634231">
      <w:pPr>
        <w:pStyle w:val="Heading1"/>
      </w:pPr>
      <w:bookmarkStart w:id="7" w:name="_Toc223116480"/>
      <w:r w:rsidRPr="00AF5F7B">
        <w:t>Conclusion</w:t>
      </w:r>
      <w:bookmarkEnd w:id="7"/>
    </w:p>
    <w:p w14:paraId="4760D04B" w14:textId="77777777" w:rsidR="00634231" w:rsidRPr="00AF5F7B" w:rsidRDefault="00634231" w:rsidP="00634231">
      <w:pPr>
        <w:spacing w:line="360" w:lineRule="auto"/>
        <w:jc w:val="both"/>
        <w:rPr>
          <w:rFonts w:ascii="Arial" w:hAnsi="Arial" w:cs="Arial"/>
          <w:lang w:val="en-GB"/>
        </w:rPr>
      </w:pPr>
      <w:r w:rsidRPr="00AF5F7B">
        <w:rPr>
          <w:rFonts w:ascii="Arial" w:hAnsi="Arial" w:cs="Arial"/>
          <w:lang w:val="en-GB"/>
        </w:rPr>
        <w:t>The reflective learning log has been a critical analysis of my experience in the Meetings and Events department of the Food and Beverage Department of Best Western Abbots Barton Hotel, Canterbury. Using theories related to the Food and Beverage Operations module, the concept of sustainability, and personal development, I have managed to investigate the implementation phase of theory into practice in a dynamic hospitality setup. The position has shown how crucial effective communication, good planning, and management of service and sustainable operations will be.</w:t>
      </w:r>
    </w:p>
    <w:p w14:paraId="6823B731" w14:textId="77777777" w:rsidR="00634231" w:rsidRDefault="00634231" w:rsidP="00634231">
      <w:pPr>
        <w:rPr>
          <w:rFonts w:ascii="Arial" w:hAnsi="Arial" w:cs="Arial"/>
          <w:lang w:val="en-GB"/>
        </w:rPr>
      </w:pPr>
      <w:r>
        <w:rPr>
          <w:rFonts w:ascii="Arial" w:hAnsi="Arial" w:cs="Arial"/>
          <w:lang w:val="en-GB"/>
        </w:rPr>
        <w:br w:type="page"/>
      </w:r>
    </w:p>
    <w:p w14:paraId="3D37CCDC" w14:textId="77777777" w:rsidR="00634231" w:rsidRPr="00AF5F7B" w:rsidRDefault="00634231" w:rsidP="00634231">
      <w:pPr>
        <w:pStyle w:val="Heading1"/>
      </w:pPr>
      <w:bookmarkStart w:id="8" w:name="_Toc223116481"/>
      <w:r w:rsidRPr="00AF5F7B">
        <w:lastRenderedPageBreak/>
        <w:t>References</w:t>
      </w:r>
      <w:bookmarkEnd w:id="8"/>
    </w:p>
    <w:p w14:paraId="20BAE9A4"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Andersen, V., Lelieveld, H.L.M. and </w:t>
      </w:r>
      <w:proofErr w:type="spellStart"/>
      <w:r w:rsidRPr="00AF5F7B">
        <w:rPr>
          <w:rFonts w:ascii="Arial" w:hAnsi="Arial" w:cs="Arial"/>
        </w:rPr>
        <w:t>Motarjemi</w:t>
      </w:r>
      <w:proofErr w:type="spellEnd"/>
      <w:r w:rsidRPr="00AF5F7B">
        <w:rPr>
          <w:rFonts w:ascii="Arial" w:hAnsi="Arial" w:cs="Arial"/>
        </w:rPr>
        <w:t xml:space="preserve">, Y. (eds.) (2023) </w:t>
      </w:r>
      <w:r w:rsidRPr="00AF5F7B">
        <w:rPr>
          <w:rFonts w:ascii="Arial" w:hAnsi="Arial" w:cs="Arial"/>
          <w:i/>
          <w:iCs/>
        </w:rPr>
        <w:t>Food safety management: A practical guide for the food industry</w:t>
      </w:r>
      <w:r w:rsidRPr="00AF5F7B">
        <w:rPr>
          <w:rFonts w:ascii="Arial" w:hAnsi="Arial" w:cs="Arial"/>
        </w:rPr>
        <w:t xml:space="preserve">. 2nd </w:t>
      </w:r>
      <w:proofErr w:type="spellStart"/>
      <w:proofErr w:type="gramStart"/>
      <w:r w:rsidRPr="00AF5F7B">
        <w:rPr>
          <w:rFonts w:ascii="Arial" w:hAnsi="Arial" w:cs="Arial"/>
        </w:rPr>
        <w:t>edn</w:t>
      </w:r>
      <w:proofErr w:type="spellEnd"/>
      <w:proofErr w:type="gramEnd"/>
      <w:r w:rsidRPr="00AF5F7B">
        <w:rPr>
          <w:rFonts w:ascii="Arial" w:hAnsi="Arial" w:cs="Arial"/>
        </w:rPr>
        <w:t>.</w:t>
      </w:r>
    </w:p>
    <w:p w14:paraId="3DA20AA0" w14:textId="77777777" w:rsidR="00634231" w:rsidRPr="00AF5F7B" w:rsidRDefault="00634231" w:rsidP="00634231">
      <w:pPr>
        <w:spacing w:line="360" w:lineRule="auto"/>
        <w:jc w:val="both"/>
        <w:rPr>
          <w:rFonts w:ascii="Arial" w:hAnsi="Arial" w:cs="Arial"/>
        </w:rPr>
      </w:pPr>
      <w:proofErr w:type="spellStart"/>
      <w:r w:rsidRPr="00AF5F7B">
        <w:rPr>
          <w:rFonts w:ascii="Arial" w:hAnsi="Arial" w:cs="Arial"/>
        </w:rPr>
        <w:t>Boussard</w:t>
      </w:r>
      <w:proofErr w:type="spellEnd"/>
      <w:r w:rsidRPr="00AF5F7B">
        <w:rPr>
          <w:rFonts w:ascii="Arial" w:hAnsi="Arial" w:cs="Arial"/>
        </w:rPr>
        <w:t xml:space="preserve">, S. (2021) </w:t>
      </w:r>
      <w:r w:rsidRPr="00AF5F7B">
        <w:rPr>
          <w:rFonts w:ascii="Arial" w:hAnsi="Arial" w:cs="Arial"/>
          <w:i/>
          <w:iCs/>
        </w:rPr>
        <w:t>Food and beverage management in the luxury hotel industry</w:t>
      </w:r>
      <w:r w:rsidRPr="00AF5F7B">
        <w:rPr>
          <w:rFonts w:ascii="Arial" w:hAnsi="Arial" w:cs="Arial"/>
        </w:rPr>
        <w:t>. New York: Business Expert Press.</w:t>
      </w:r>
    </w:p>
    <w:p w14:paraId="0C7E71FF"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Das, D. (2025) </w:t>
      </w:r>
      <w:r w:rsidRPr="00AF5F7B">
        <w:rPr>
          <w:rFonts w:ascii="Arial" w:hAnsi="Arial" w:cs="Arial"/>
          <w:i/>
          <w:iCs/>
        </w:rPr>
        <w:t>Mastering food and beverage service: From basics to brilliance</w:t>
      </w:r>
      <w:r w:rsidRPr="00AF5F7B">
        <w:rPr>
          <w:rFonts w:ascii="Arial" w:hAnsi="Arial" w:cs="Arial"/>
        </w:rPr>
        <w:t xml:space="preserve">. </w:t>
      </w:r>
    </w:p>
    <w:p w14:paraId="69E7FD41"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Endri, E., Sumarno, A. and Saragi, H. (2020) ‘Analysis of financial performance: Evidence from food and beverage companies in Indonesia’, </w:t>
      </w:r>
      <w:r w:rsidRPr="00AF5F7B">
        <w:rPr>
          <w:rFonts w:ascii="Arial" w:hAnsi="Arial" w:cs="Arial"/>
          <w:i/>
          <w:iCs/>
        </w:rPr>
        <w:t>International Journal of Advanced Science and Technology</w:t>
      </w:r>
      <w:r w:rsidRPr="00AF5F7B">
        <w:rPr>
          <w:rFonts w:ascii="Arial" w:hAnsi="Arial" w:cs="Arial"/>
        </w:rPr>
        <w:t>, 29(5), pp. 4199–4208.</w:t>
      </w:r>
    </w:p>
    <w:p w14:paraId="03EB9A9B" w14:textId="77777777" w:rsidR="00634231" w:rsidRPr="00AF5F7B" w:rsidRDefault="00634231" w:rsidP="00634231">
      <w:pPr>
        <w:spacing w:line="360" w:lineRule="auto"/>
        <w:jc w:val="both"/>
        <w:rPr>
          <w:rFonts w:ascii="Arial" w:hAnsi="Arial" w:cs="Arial"/>
        </w:rPr>
      </w:pPr>
      <w:proofErr w:type="spellStart"/>
      <w:r w:rsidRPr="00AF5F7B">
        <w:rPr>
          <w:rFonts w:ascii="Arial" w:hAnsi="Arial" w:cs="Arial"/>
        </w:rPr>
        <w:t>Golgeci</w:t>
      </w:r>
      <w:proofErr w:type="spellEnd"/>
      <w:r w:rsidRPr="00AF5F7B">
        <w:rPr>
          <w:rFonts w:ascii="Arial" w:hAnsi="Arial" w:cs="Arial"/>
        </w:rPr>
        <w:t xml:space="preserve">, I., Ali, I., Bozkurt, S., Gligor, D.M. and Arslan, A. (2022) ‘The impact of corporate support programs on environmental and social innovation: Empirical insights from the food and beverage industry’, </w:t>
      </w:r>
      <w:r w:rsidRPr="00AF5F7B">
        <w:rPr>
          <w:rFonts w:ascii="Arial" w:hAnsi="Arial" w:cs="Arial"/>
          <w:i/>
          <w:iCs/>
        </w:rPr>
        <w:t>International Journal of Operations &amp; Production Management</w:t>
      </w:r>
      <w:r w:rsidRPr="00AF5F7B">
        <w:rPr>
          <w:rFonts w:ascii="Arial" w:hAnsi="Arial" w:cs="Arial"/>
        </w:rPr>
        <w:t>, 42(7), pp. 898–929.</w:t>
      </w:r>
    </w:p>
    <w:p w14:paraId="0096E6AF"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Ivanov, S. and Webster, C. (2023) ‘Restaurants and robots: Public preferences for robot food and beverage services’, </w:t>
      </w:r>
      <w:r w:rsidRPr="00AF5F7B">
        <w:rPr>
          <w:rFonts w:ascii="Arial" w:hAnsi="Arial" w:cs="Arial"/>
          <w:i/>
          <w:iCs/>
        </w:rPr>
        <w:t>Journal of Tourism Futures</w:t>
      </w:r>
      <w:r w:rsidRPr="00AF5F7B">
        <w:rPr>
          <w:rFonts w:ascii="Arial" w:hAnsi="Arial" w:cs="Arial"/>
        </w:rPr>
        <w:t>, 9(2), pp. 229–239.</w:t>
      </w:r>
    </w:p>
    <w:p w14:paraId="381C67CB" w14:textId="77777777" w:rsidR="00634231" w:rsidRPr="00AF5F7B" w:rsidRDefault="00634231" w:rsidP="00634231">
      <w:pPr>
        <w:spacing w:line="360" w:lineRule="auto"/>
        <w:jc w:val="both"/>
        <w:rPr>
          <w:rFonts w:ascii="Arial" w:hAnsi="Arial" w:cs="Arial"/>
        </w:rPr>
      </w:pPr>
      <w:proofErr w:type="spellStart"/>
      <w:r w:rsidRPr="00AF5F7B">
        <w:rPr>
          <w:rFonts w:ascii="Arial" w:hAnsi="Arial" w:cs="Arial"/>
        </w:rPr>
        <w:t>Liestyana</w:t>
      </w:r>
      <w:proofErr w:type="spellEnd"/>
      <w:r w:rsidRPr="00AF5F7B">
        <w:rPr>
          <w:rFonts w:ascii="Arial" w:hAnsi="Arial" w:cs="Arial"/>
        </w:rPr>
        <w:t xml:space="preserve">, Y., Wahyuningsih, T., Natasha, A., Utami, Y., Oetomo, H. and </w:t>
      </w:r>
      <w:proofErr w:type="spellStart"/>
      <w:r w:rsidRPr="00AF5F7B">
        <w:rPr>
          <w:rFonts w:ascii="Arial" w:hAnsi="Arial" w:cs="Arial"/>
        </w:rPr>
        <w:t>Tugiyo</w:t>
      </w:r>
      <w:proofErr w:type="spellEnd"/>
      <w:r w:rsidRPr="00AF5F7B">
        <w:rPr>
          <w:rFonts w:ascii="Arial" w:hAnsi="Arial" w:cs="Arial"/>
        </w:rPr>
        <w:t xml:space="preserve">, T. (2024) ‘The analysis of dynamic supply chain capability and operational performance of food and beverage MSMEs in Sleman, Indonesia’, </w:t>
      </w:r>
      <w:r w:rsidRPr="00AF5F7B">
        <w:rPr>
          <w:rFonts w:ascii="Arial" w:hAnsi="Arial" w:cs="Arial"/>
          <w:i/>
          <w:iCs/>
        </w:rPr>
        <w:t>International Journal of Business Ecosystem &amp; Strategy</w:t>
      </w:r>
      <w:r w:rsidRPr="00AF5F7B">
        <w:rPr>
          <w:rFonts w:ascii="Arial" w:hAnsi="Arial" w:cs="Arial"/>
        </w:rPr>
        <w:t>, 6(2), pp. 13–24.</w:t>
      </w:r>
    </w:p>
    <w:p w14:paraId="34C6B4A2"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Pandi, S., </w:t>
      </w:r>
      <w:proofErr w:type="spellStart"/>
      <w:r w:rsidRPr="00AF5F7B">
        <w:rPr>
          <w:rFonts w:ascii="Arial" w:hAnsi="Arial" w:cs="Arial"/>
        </w:rPr>
        <w:t>Spanaki</w:t>
      </w:r>
      <w:proofErr w:type="spellEnd"/>
      <w:r w:rsidRPr="00AF5F7B">
        <w:rPr>
          <w:rFonts w:ascii="Arial" w:hAnsi="Arial" w:cs="Arial"/>
        </w:rPr>
        <w:t>, M.Z. and Watson, D. (</w:t>
      </w:r>
      <w:proofErr w:type="gramStart"/>
      <w:r w:rsidRPr="00AF5F7B">
        <w:rPr>
          <w:rFonts w:ascii="Arial" w:hAnsi="Arial" w:cs="Arial"/>
        </w:rPr>
        <w:t>2020) ‘</w:t>
      </w:r>
      <w:proofErr w:type="gramEnd"/>
      <w:r w:rsidRPr="00AF5F7B">
        <w:rPr>
          <w:rFonts w:ascii="Arial" w:hAnsi="Arial" w:cs="Arial"/>
        </w:rPr>
        <w:t>Assessing food safety culture in the UK food and beverages sector in the hotel industry’.</w:t>
      </w:r>
    </w:p>
    <w:p w14:paraId="460C80A5" w14:textId="77777777" w:rsidR="00634231" w:rsidRPr="00AF5F7B" w:rsidRDefault="00634231" w:rsidP="00634231">
      <w:pPr>
        <w:spacing w:line="360" w:lineRule="auto"/>
        <w:jc w:val="both"/>
        <w:rPr>
          <w:rFonts w:ascii="Arial" w:hAnsi="Arial" w:cs="Arial"/>
        </w:rPr>
      </w:pPr>
      <w:proofErr w:type="spellStart"/>
      <w:r w:rsidRPr="00AF5F7B">
        <w:rPr>
          <w:rFonts w:ascii="Arial" w:hAnsi="Arial" w:cs="Arial"/>
        </w:rPr>
        <w:t>Purcidonio</w:t>
      </w:r>
      <w:proofErr w:type="spellEnd"/>
      <w:r w:rsidRPr="00AF5F7B">
        <w:rPr>
          <w:rFonts w:ascii="Arial" w:hAnsi="Arial" w:cs="Arial"/>
        </w:rPr>
        <w:t xml:space="preserve">, P.M., Grillo, N.M.L. and </w:t>
      </w:r>
      <w:proofErr w:type="spellStart"/>
      <w:r w:rsidRPr="00AF5F7B">
        <w:rPr>
          <w:rFonts w:ascii="Arial" w:hAnsi="Arial" w:cs="Arial"/>
        </w:rPr>
        <w:t>Alarcão</w:t>
      </w:r>
      <w:proofErr w:type="spellEnd"/>
      <w:r w:rsidRPr="00AF5F7B">
        <w:rPr>
          <w:rFonts w:ascii="Arial" w:hAnsi="Arial" w:cs="Arial"/>
        </w:rPr>
        <w:t xml:space="preserve">, V.D.C.C. (2020) ‘Critical success factors in integrating sustainability with quality: The case of a food and beverage company’, </w:t>
      </w:r>
      <w:r w:rsidRPr="00AF5F7B">
        <w:rPr>
          <w:rFonts w:ascii="Arial" w:hAnsi="Arial" w:cs="Arial"/>
          <w:i/>
          <w:iCs/>
        </w:rPr>
        <w:t>Brazilian Journal of Operations &amp; Production Management</w:t>
      </w:r>
      <w:r w:rsidRPr="00AF5F7B">
        <w:rPr>
          <w:rFonts w:ascii="Arial" w:hAnsi="Arial" w:cs="Arial"/>
        </w:rPr>
        <w:t>, 17(2), pp. 1–14.</w:t>
      </w:r>
    </w:p>
    <w:p w14:paraId="68B012F4" w14:textId="77777777" w:rsidR="00634231" w:rsidRPr="00AF5F7B" w:rsidRDefault="00634231" w:rsidP="00634231">
      <w:pPr>
        <w:spacing w:line="360" w:lineRule="auto"/>
        <w:jc w:val="both"/>
        <w:rPr>
          <w:rFonts w:ascii="Arial" w:hAnsi="Arial" w:cs="Arial"/>
        </w:rPr>
      </w:pPr>
      <w:r w:rsidRPr="00AF5F7B">
        <w:rPr>
          <w:rFonts w:ascii="Arial" w:hAnsi="Arial" w:cs="Arial"/>
        </w:rPr>
        <w:t xml:space="preserve">Walker, J.C. (2021) </w:t>
      </w:r>
      <w:r w:rsidRPr="00AF5F7B">
        <w:rPr>
          <w:rFonts w:ascii="Arial" w:hAnsi="Arial" w:cs="Arial"/>
          <w:i/>
          <w:iCs/>
        </w:rPr>
        <w:t>Introduction to hospitality</w:t>
      </w:r>
      <w:r w:rsidRPr="00AF5F7B">
        <w:rPr>
          <w:rFonts w:ascii="Arial" w:hAnsi="Arial" w:cs="Arial"/>
        </w:rPr>
        <w:t xml:space="preserve">. 8th </w:t>
      </w:r>
      <w:proofErr w:type="spellStart"/>
      <w:proofErr w:type="gramStart"/>
      <w:r w:rsidRPr="00AF5F7B">
        <w:rPr>
          <w:rFonts w:ascii="Arial" w:hAnsi="Arial" w:cs="Arial"/>
        </w:rPr>
        <w:t>edn</w:t>
      </w:r>
      <w:proofErr w:type="spellEnd"/>
      <w:proofErr w:type="gramEnd"/>
      <w:r w:rsidRPr="00AF5F7B">
        <w:rPr>
          <w:rFonts w:ascii="Arial" w:hAnsi="Arial" w:cs="Arial"/>
        </w:rPr>
        <w:t>. Harlow: Pearson Education Limited.</w:t>
      </w:r>
    </w:p>
    <w:p w14:paraId="45D412C0" w14:textId="77777777" w:rsidR="00634231" w:rsidRPr="00AF5F7B" w:rsidRDefault="00634231" w:rsidP="00634231">
      <w:pPr>
        <w:spacing w:line="360" w:lineRule="auto"/>
        <w:jc w:val="both"/>
        <w:rPr>
          <w:rFonts w:ascii="Arial" w:hAnsi="Arial" w:cs="Arial"/>
        </w:rPr>
      </w:pPr>
    </w:p>
    <w:p w14:paraId="73E0301B" w14:textId="77777777" w:rsidR="00634231" w:rsidRPr="00AF5F7B" w:rsidRDefault="00634231" w:rsidP="00634231">
      <w:pPr>
        <w:spacing w:line="360" w:lineRule="auto"/>
        <w:jc w:val="both"/>
        <w:rPr>
          <w:rFonts w:ascii="Arial" w:hAnsi="Arial" w:cs="Arial"/>
          <w:lang w:val="en-GB"/>
        </w:rPr>
      </w:pPr>
    </w:p>
    <w:p w14:paraId="15F6FFA2" w14:textId="77777777" w:rsidR="00634231" w:rsidRDefault="00634231"/>
    <w:sectPr w:rsidR="00634231" w:rsidSect="00634231">
      <w:footerReference w:type="default" r:id="rId5"/>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847225"/>
      <w:docPartObj>
        <w:docPartGallery w:val="Page Numbers (Bottom of Page)"/>
        <w:docPartUnique/>
      </w:docPartObj>
    </w:sdtPr>
    <w:sdtEndPr>
      <w:rPr>
        <w:noProof/>
      </w:rPr>
    </w:sdtEndPr>
    <w:sdtContent>
      <w:p w14:paraId="34732523" w14:textId="77777777" w:rsidR="00634231" w:rsidRDefault="006342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647ED7" w14:textId="77777777" w:rsidR="00634231" w:rsidRDefault="0063423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231"/>
    <w:rsid w:val="00601D75"/>
    <w:rsid w:val="00634231"/>
    <w:rsid w:val="00AF6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5DFAE"/>
  <w15:chartTrackingRefBased/>
  <w15:docId w15:val="{728FB35D-3013-4E20-A9BA-D91159260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231"/>
    <w:rPr>
      <w:lang w:val="en-US"/>
    </w:rPr>
  </w:style>
  <w:style w:type="paragraph" w:styleId="Heading1">
    <w:name w:val="heading 1"/>
    <w:basedOn w:val="Normal"/>
    <w:next w:val="Normal"/>
    <w:link w:val="Heading1Char"/>
    <w:uiPriority w:val="9"/>
    <w:qFormat/>
    <w:rsid w:val="00634231"/>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634231"/>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634231"/>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634231"/>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634231"/>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634231"/>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634231"/>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634231"/>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634231"/>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2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2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2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2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2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2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2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2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231"/>
    <w:rPr>
      <w:rFonts w:eastAsiaTheme="majorEastAsia" w:cstheme="majorBidi"/>
      <w:color w:val="272727" w:themeColor="text1" w:themeTint="D8"/>
    </w:rPr>
  </w:style>
  <w:style w:type="paragraph" w:styleId="Title">
    <w:name w:val="Title"/>
    <w:basedOn w:val="Normal"/>
    <w:next w:val="Normal"/>
    <w:link w:val="TitleChar"/>
    <w:uiPriority w:val="10"/>
    <w:qFormat/>
    <w:rsid w:val="00634231"/>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6342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231"/>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6342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231"/>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634231"/>
    <w:rPr>
      <w:i/>
      <w:iCs/>
      <w:color w:val="404040" w:themeColor="text1" w:themeTint="BF"/>
    </w:rPr>
  </w:style>
  <w:style w:type="paragraph" w:styleId="ListParagraph">
    <w:name w:val="List Paragraph"/>
    <w:basedOn w:val="Normal"/>
    <w:uiPriority w:val="34"/>
    <w:qFormat/>
    <w:rsid w:val="00634231"/>
    <w:pPr>
      <w:ind w:left="720"/>
      <w:contextualSpacing/>
    </w:pPr>
    <w:rPr>
      <w:lang w:val="en-GB"/>
    </w:rPr>
  </w:style>
  <w:style w:type="character" w:styleId="IntenseEmphasis">
    <w:name w:val="Intense Emphasis"/>
    <w:basedOn w:val="DefaultParagraphFont"/>
    <w:uiPriority w:val="21"/>
    <w:qFormat/>
    <w:rsid w:val="00634231"/>
    <w:rPr>
      <w:i/>
      <w:iCs/>
      <w:color w:val="0F4761" w:themeColor="accent1" w:themeShade="BF"/>
    </w:rPr>
  </w:style>
  <w:style w:type="paragraph" w:styleId="IntenseQuote">
    <w:name w:val="Intense Quote"/>
    <w:basedOn w:val="Normal"/>
    <w:next w:val="Normal"/>
    <w:link w:val="IntenseQuoteChar"/>
    <w:uiPriority w:val="30"/>
    <w:qFormat/>
    <w:rsid w:val="006342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634231"/>
    <w:rPr>
      <w:i/>
      <w:iCs/>
      <w:color w:val="0F4761" w:themeColor="accent1" w:themeShade="BF"/>
    </w:rPr>
  </w:style>
  <w:style w:type="character" w:styleId="IntenseReference">
    <w:name w:val="Intense Reference"/>
    <w:basedOn w:val="DefaultParagraphFont"/>
    <w:uiPriority w:val="32"/>
    <w:qFormat/>
    <w:rsid w:val="00634231"/>
    <w:rPr>
      <w:b/>
      <w:bCs/>
      <w:smallCaps/>
      <w:color w:val="0F4761" w:themeColor="accent1" w:themeShade="BF"/>
      <w:spacing w:val="5"/>
    </w:rPr>
  </w:style>
  <w:style w:type="character" w:styleId="Hyperlink">
    <w:name w:val="Hyperlink"/>
    <w:basedOn w:val="DefaultParagraphFont"/>
    <w:uiPriority w:val="99"/>
    <w:unhideWhenUsed/>
    <w:rsid w:val="00634231"/>
    <w:rPr>
      <w:color w:val="467886" w:themeColor="hyperlink"/>
      <w:u w:val="single"/>
    </w:rPr>
  </w:style>
  <w:style w:type="paragraph" w:styleId="NoSpacing">
    <w:name w:val="No Spacing"/>
    <w:uiPriority w:val="1"/>
    <w:qFormat/>
    <w:rsid w:val="00634231"/>
    <w:pPr>
      <w:spacing w:after="0" w:line="240" w:lineRule="auto"/>
    </w:pPr>
    <w:rPr>
      <w:lang w:val="en-US"/>
    </w:rPr>
  </w:style>
  <w:style w:type="paragraph" w:styleId="Footer">
    <w:name w:val="footer"/>
    <w:basedOn w:val="Normal"/>
    <w:link w:val="FooterChar"/>
    <w:uiPriority w:val="99"/>
    <w:unhideWhenUsed/>
    <w:rsid w:val="006342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4231"/>
    <w:rPr>
      <w:lang w:val="en-US"/>
    </w:rPr>
  </w:style>
  <w:style w:type="paragraph" w:styleId="TOCHeading">
    <w:name w:val="TOC Heading"/>
    <w:basedOn w:val="Heading1"/>
    <w:next w:val="Normal"/>
    <w:uiPriority w:val="39"/>
    <w:unhideWhenUsed/>
    <w:qFormat/>
    <w:rsid w:val="0063423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34231"/>
    <w:pPr>
      <w:spacing w:after="100"/>
    </w:pPr>
  </w:style>
  <w:style w:type="paragraph" w:styleId="Caption">
    <w:name w:val="caption"/>
    <w:basedOn w:val="Normal"/>
    <w:next w:val="Normal"/>
    <w:uiPriority w:val="35"/>
    <w:unhideWhenUsed/>
    <w:qFormat/>
    <w:rsid w:val="0063423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1702</Words>
  <Characters>9704</Characters>
  <Application>Microsoft Office Word</Application>
  <DocSecurity>0</DocSecurity>
  <Lines>80</Lines>
  <Paragraphs>22</Paragraphs>
  <ScaleCrop>false</ScaleCrop>
  <Company/>
  <LinksUpToDate>false</LinksUpToDate>
  <CharactersWithSpaces>11384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Enache</dc:creator>
  <cp:keywords/>
  <dc:description/>
  <cp:lastModifiedBy>Marius Enache</cp:lastModifiedBy>
  <cp:revision>2</cp:revision>
  <dcterms:created xsi:type="dcterms:W3CDTF">2026-02-27T21:08:00Z</dcterms:created>
  <dcterms:modified xsi:type="dcterms:W3CDTF">2026-02-27T21:10:00Z</dcterms:modified>
</cp:coreProperties>
</file>