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45324C" w14:textId="492C9DD2" w:rsidR="00453152" w:rsidRDefault="00E36794" w:rsidP="00E36794">
      <w:pPr>
        <w:jc w:val="center"/>
      </w:pPr>
      <w:r>
        <w:t>Christian Littler</w:t>
      </w:r>
    </w:p>
    <w:p w14:paraId="140BA0E4" w14:textId="0B2E9555" w:rsidR="00E36794" w:rsidRDefault="00E36794" w:rsidP="00E36794">
      <w:pPr>
        <w:jc w:val="center"/>
      </w:pPr>
      <w:r>
        <w:t>Student number: 2222255</w:t>
      </w:r>
    </w:p>
    <w:p w14:paraId="34B30B6C" w14:textId="77777777" w:rsidR="00E36794" w:rsidRDefault="00E36794" w:rsidP="00E36794"/>
    <w:p w14:paraId="5C0F63CA" w14:textId="77777777" w:rsidR="00E36794" w:rsidRPr="00E36794" w:rsidRDefault="00E36794" w:rsidP="00E36794">
      <w:pPr>
        <w:rPr>
          <w:b/>
          <w:bCs/>
        </w:rPr>
      </w:pPr>
      <w:r w:rsidRPr="00E36794">
        <w:rPr>
          <w:b/>
          <w:bCs/>
        </w:rPr>
        <w:t>Essay one:</w:t>
      </w:r>
    </w:p>
    <w:p w14:paraId="06153010" w14:textId="0672E0C6" w:rsidR="00E36794" w:rsidRPr="00F13A83" w:rsidRDefault="00E36794" w:rsidP="00E36794">
      <w:pPr>
        <w:rPr>
          <w:b/>
          <w:bCs/>
          <w:i/>
          <w:iCs/>
        </w:rPr>
      </w:pPr>
      <w:r w:rsidRPr="00F13A83">
        <w:rPr>
          <w:b/>
          <w:bCs/>
          <w:i/>
          <w:i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w:t>
      </w:r>
    </w:p>
    <w:p w14:paraId="58F2D8AD" w14:textId="5EE50B47" w:rsidR="007F5459" w:rsidRDefault="00EF4220" w:rsidP="00EF4220">
      <w:r>
        <w:t xml:space="preserve">The </w:t>
      </w:r>
      <w:proofErr w:type="gramStart"/>
      <w:r>
        <w:t>general public</w:t>
      </w:r>
      <w:proofErr w:type="gramEnd"/>
      <w:r>
        <w:t xml:space="preserve"> have repeatedly voiced their desires with regard to how they would expect their police forces to act (</w:t>
      </w:r>
      <w:r w:rsidR="00F56168">
        <w:t>Spalek, 2017</w:t>
      </w:r>
      <w:r>
        <w:t>) and have overwhelmingly stated that they expect police officers to act with</w:t>
      </w:r>
      <w:r w:rsidR="00A41EB6">
        <w:t xml:space="preserve"> </w:t>
      </w:r>
      <w:r>
        <w:t xml:space="preserve">transparency, with </w:t>
      </w:r>
      <w:r w:rsidR="00A41EB6">
        <w:t xml:space="preserve">integrity, </w:t>
      </w:r>
      <w:r>
        <w:t xml:space="preserve">and </w:t>
      </w:r>
      <w:r w:rsidR="00A41EB6">
        <w:t>fairness</w:t>
      </w:r>
      <w:r>
        <w:t xml:space="preserve"> (</w:t>
      </w:r>
      <w:r w:rsidR="00F56168">
        <w:t>Cole, 2017</w:t>
      </w:r>
      <w:r>
        <w:t>). These factors are vital for building and preserving</w:t>
      </w:r>
      <w:r w:rsidR="00A41EB6">
        <w:t xml:space="preserve"> </w:t>
      </w:r>
      <w:r>
        <w:t>trust between the police and the public, and for fostering positive and effective working relationships (</w:t>
      </w:r>
      <w:r w:rsidR="00F56168">
        <w:t>Correia, 2020</w:t>
      </w:r>
      <w:r>
        <w:t>).</w:t>
      </w:r>
      <w:r w:rsidR="00A41EB6">
        <w:t xml:space="preserve"> </w:t>
      </w:r>
      <w:r>
        <w:t>A police force is far more effective when it has the support of the community it polices within, due to increased collaborative communication, compliance, and agreeableness (</w:t>
      </w:r>
      <w:r w:rsidR="00F56168">
        <w:t>Lopez, 2023</w:t>
      </w:r>
      <w:r>
        <w:t>). The police can achieve this relationship with the public by proactively and transparently engaging with the following methods.</w:t>
      </w:r>
    </w:p>
    <w:p w14:paraId="0E13698F" w14:textId="1DE4A886" w:rsidR="007F5459" w:rsidRDefault="00EF4220" w:rsidP="00A41EB6">
      <w:r>
        <w:t>The first, being through adherence to the policing “Code of Ethics” (</w:t>
      </w:r>
      <w:r w:rsidR="00F56168">
        <w:t>College of Policing, 2024</w:t>
      </w:r>
      <w:r>
        <w:t xml:space="preserve">). The </w:t>
      </w:r>
      <w:r w:rsidR="00F56168">
        <w:t xml:space="preserve">College of Policing (CoP) states that the </w:t>
      </w:r>
      <w:r>
        <w:t xml:space="preserve">Code of Ethics outlines the standardised way in which officers are expected to behave, exhibiting integrity, respect, and impartiality. These standards, due to being set by the </w:t>
      </w:r>
      <w:r w:rsidR="00F56168">
        <w:t>CoP</w:t>
      </w:r>
      <w:r>
        <w:t>, intend to standardise police behaviour throughout the UK, and ensure a common and familiar blueprint for all forces to follow, ensuring that both they and the public are fully informed as to what can be expected of them, and what constitutes a breach of the ethics (</w:t>
      </w:r>
      <w:proofErr w:type="spellStart"/>
      <w:r w:rsidR="00F56168">
        <w:t>Westmarland</w:t>
      </w:r>
      <w:proofErr w:type="spellEnd"/>
      <w:r w:rsidR="00F56168">
        <w:t xml:space="preserve"> and Conway, 2020</w:t>
      </w:r>
      <w:r>
        <w:t>). Among many other factors, the Code states that officers should behave</w:t>
      </w:r>
      <w:r w:rsidR="00A41EB6">
        <w:t xml:space="preserve"> with honesty and integrity</w:t>
      </w:r>
      <w:r>
        <w:t>, whilst policing impartially, and avoiding engagement with any overt opinions or behaviour which would erode public trust and discredit the police (</w:t>
      </w:r>
      <w:r w:rsidR="00F56168">
        <w:t>Smith, 2004</w:t>
      </w:r>
      <w:r>
        <w:t>). There is also a strong indication that officers should use their powers responsibly and fairly, and whilst maintaining impartiality and a recognition of differences in cultures and backgrounds of the community in which it polices (</w:t>
      </w:r>
      <w:r w:rsidR="00C41B00">
        <w:t>Cordner, 2017</w:t>
      </w:r>
      <w:r>
        <w:t xml:space="preserve">). </w:t>
      </w:r>
      <w:r w:rsidR="00113C71">
        <w:t>There is strong evidence within the UK that suggests police forces have a poor history of understanding diversity and recognising cultural differences, leading to many issues and tensions between the police and the public (</w:t>
      </w:r>
      <w:r w:rsidR="00C41B00">
        <w:t>Carpenter et al., 2016</w:t>
      </w:r>
      <w:r w:rsidR="00113C71">
        <w:t xml:space="preserve">). This is an area which is continuously focused on </w:t>
      </w:r>
      <w:proofErr w:type="gramStart"/>
      <w:r w:rsidR="00113C71">
        <w:t>with regard to</w:t>
      </w:r>
      <w:proofErr w:type="gramEnd"/>
      <w:r w:rsidR="00113C71">
        <w:t xml:space="preserve"> the training and development of officers, to ensure that communities of all backgrounds feel comfortable and safe when interacting with the police (</w:t>
      </w:r>
      <w:r w:rsidR="00EB07EC">
        <w:t>Fielding, 2023</w:t>
      </w:r>
      <w:r w:rsidR="00113C71">
        <w:t xml:space="preserve">). Consequentially, this also represents one of the ways in which police officers can, and regularly do, fall short in the eyes of the </w:t>
      </w:r>
      <w:r w:rsidR="00113C71">
        <w:lastRenderedPageBreak/>
        <w:t>public (</w:t>
      </w:r>
      <w:r w:rsidR="001B0117">
        <w:t>Pickering et al., 2024</w:t>
      </w:r>
      <w:r w:rsidR="00113C71">
        <w:t>), which highlights it as a vital area for improvement.</w:t>
      </w:r>
      <w:r w:rsidR="007F5459">
        <w:t xml:space="preserve"> This leads onto </w:t>
      </w:r>
      <w:r w:rsidR="00CB25A8">
        <w:t>another</w:t>
      </w:r>
      <w:r w:rsidR="007F5459">
        <w:t xml:space="preserve"> proven area of maintaining public trust, which is by engaging effectively with continuous training, professional development and education (</w:t>
      </w:r>
      <w:proofErr w:type="spellStart"/>
      <w:r w:rsidR="001B0117">
        <w:t>Belur</w:t>
      </w:r>
      <w:proofErr w:type="spellEnd"/>
      <w:r w:rsidR="001B0117">
        <w:t xml:space="preserve"> et al., 2020</w:t>
      </w:r>
      <w:r w:rsidR="007F5459">
        <w:t>).</w:t>
      </w:r>
    </w:p>
    <w:p w14:paraId="269C6FC4" w14:textId="34F33640" w:rsidR="00CB25A8" w:rsidRDefault="007F5459" w:rsidP="00A41EB6">
      <w:r>
        <w:t xml:space="preserve">By engaging with “Continuous </w:t>
      </w:r>
      <w:r w:rsidR="00A41EB6">
        <w:t>professional development</w:t>
      </w:r>
      <w:r>
        <w:t>”,</w:t>
      </w:r>
      <w:r w:rsidR="00A41EB6">
        <w:t xml:space="preserve"> officers </w:t>
      </w:r>
      <w:r>
        <w:t xml:space="preserve">can remain </w:t>
      </w:r>
      <w:proofErr w:type="gramStart"/>
      <w:r>
        <w:t>up-to-date</w:t>
      </w:r>
      <w:proofErr w:type="gramEnd"/>
      <w:r>
        <w:t xml:space="preserve"> with organisational standards and share effective best practice methods both internally and externally</w:t>
      </w:r>
      <w:r w:rsidR="00C94C0D">
        <w:t xml:space="preserve"> (</w:t>
      </w:r>
      <w:r w:rsidR="001B0117">
        <w:t>Wolfe et al., 2020</w:t>
      </w:r>
      <w:r w:rsidR="00C94C0D">
        <w:t>). Such development can include in-house training</w:t>
      </w:r>
      <w:r w:rsidR="00CB25A8">
        <w:t xml:space="preserve"> sessions or practical learning environments,</w:t>
      </w:r>
      <w:r w:rsidR="00C94C0D">
        <w:t xml:space="preserve"> and online learning packages focused on equality and diversity within communities, </w:t>
      </w:r>
      <w:r w:rsidR="00CB25A8">
        <w:t>ethical policing and decision-making, conflict resolution, and awareness of human rights (</w:t>
      </w:r>
      <w:r w:rsidR="00E00B16">
        <w:t>Fielding, 2023</w:t>
      </w:r>
      <w:r w:rsidR="00CB25A8">
        <w:t>). It should be communicated to the public frequently that forces around the country are constantly engaging with such training, to ensure that there is a genuine and perpetual understanding that improvements have been identified, and in which areas (</w:t>
      </w:r>
      <w:proofErr w:type="spellStart"/>
      <w:r w:rsidR="00E00B16" w:rsidRPr="00E00B16">
        <w:t>Alikhademi</w:t>
      </w:r>
      <w:proofErr w:type="spellEnd"/>
      <w:r w:rsidR="00E00B16">
        <w:t xml:space="preserve"> et al., 2022</w:t>
      </w:r>
      <w:r w:rsidR="00CB25A8">
        <w:t>). If the public can see that the police are making a concentrated effort to improve, their trust and understanding should also improve (</w:t>
      </w:r>
      <w:r w:rsidR="00E00B16">
        <w:t>Schaap, 2021</w:t>
      </w:r>
      <w:r w:rsidR="00CB25A8">
        <w:t>).</w:t>
      </w:r>
    </w:p>
    <w:p w14:paraId="0CD0C0CB" w14:textId="19B2CCB2" w:rsidR="00A41EB6" w:rsidRDefault="00CB25A8" w:rsidP="006D3289">
      <w:r>
        <w:t>Communication between the police and the public has, historically, not been good enough (</w:t>
      </w:r>
      <w:r w:rsidR="00154B7D">
        <w:t>Hill et al., 2021</w:t>
      </w:r>
      <w:r>
        <w:t>). As the world becomes more reliant on technology, social media in particular, to remain informed of events and occurrences (</w:t>
      </w:r>
      <w:r w:rsidR="00154B7D">
        <w:t>Shearer and Mitchell, 2021</w:t>
      </w:r>
      <w:r>
        <w:t>), evidence suggests that there is much improvement to be made with regard to communication from the police to the public using these methods (</w:t>
      </w:r>
      <w:r w:rsidR="00154B7D">
        <w:t>Cartwright and Shaw, 2020</w:t>
      </w:r>
      <w:r>
        <w:t>), and that by voicing their intentions more transparently and frequently, the public can feel reassured that police are listening and taking feedback on board where possible, as well as ensuring that modern behaviours and cultural differences within communities are highlighted and equally represented within communications and interactions online (</w:t>
      </w:r>
      <w:r w:rsidR="00154B7D">
        <w:t>Intravia, Thompson and Pickett, 2020</w:t>
      </w:r>
      <w:r>
        <w:t>). The police can use these platforms to engage in honest and transparent discussions with the public, for example by offering explanations and education around their decision-making, particularly when showing distressing footage of arrests, or “stop searches”, and violent altercations online (</w:t>
      </w:r>
      <w:r w:rsidR="00154B7D">
        <w:t>Campbell and Valera, 2020</w:t>
      </w:r>
      <w:r>
        <w:t xml:space="preserve">). </w:t>
      </w:r>
      <w:r w:rsidR="006D3289">
        <w:t>They can also be used as a time and cost saving method of participating in meetings and discussions with community leaders and under-represented groups (</w:t>
      </w:r>
      <w:r w:rsidR="00F33DA4">
        <w:t>Ralph et al., 2020</w:t>
      </w:r>
      <w:r w:rsidR="006D3289">
        <w:t>), fostering relationships, increasing familiarity and breaking down the barriers between the police and “regular people” – as they, too, are regular people (</w:t>
      </w:r>
      <w:r w:rsidR="00F33DA4">
        <w:t>Wall, 2020</w:t>
      </w:r>
      <w:r w:rsidR="006D3289">
        <w:t>).</w:t>
      </w:r>
    </w:p>
    <w:p w14:paraId="59B3A4DF" w14:textId="23789EEC" w:rsidR="00E92CAD" w:rsidRDefault="00E92CAD" w:rsidP="00A41EB6">
      <w:r>
        <w:t>Whilst maintaining regular dialogue with the public, the police should also ensure that they show accountability and responsibility for their actions, as well as their efforts to putting things right (</w:t>
      </w:r>
      <w:proofErr w:type="spellStart"/>
      <w:r w:rsidR="00154B7D" w:rsidRPr="00154B7D">
        <w:t>Péloquin</w:t>
      </w:r>
      <w:proofErr w:type="spellEnd"/>
      <w:r w:rsidR="00154B7D">
        <w:t>,</w:t>
      </w:r>
      <w:r w:rsidR="00154B7D" w:rsidRPr="00154B7D">
        <w:t xml:space="preserve"> Fortin</w:t>
      </w:r>
      <w:r w:rsidR="00154B7D">
        <w:t xml:space="preserve"> and</w:t>
      </w:r>
      <w:r w:rsidR="00154B7D" w:rsidRPr="00154B7D">
        <w:t xml:space="preserve"> Paquette, 2022</w:t>
      </w:r>
      <w:r>
        <w:t>). This could be in the form of being open about their failings, misconduct hearings, and engaging proactively with the</w:t>
      </w:r>
      <w:r w:rsidR="00A41EB6">
        <w:t xml:space="preserve"> Independent Office for Police Conduct (IOPC</w:t>
      </w:r>
      <w:r>
        <w:t>) when there are complaints, or investigations into police misconduct (</w:t>
      </w:r>
      <w:r w:rsidR="00F33DA4">
        <w:t>Ellis, 2023</w:t>
      </w:r>
      <w:r>
        <w:t xml:space="preserve">). There should be an overt presence </w:t>
      </w:r>
      <w:r>
        <w:lastRenderedPageBreak/>
        <w:t xml:space="preserve">online which highlights and explains disciplinary </w:t>
      </w:r>
      <w:proofErr w:type="gramStart"/>
      <w:r>
        <w:t>processes, and</w:t>
      </w:r>
      <w:proofErr w:type="gramEnd"/>
      <w:r>
        <w:t xml:space="preserve"> celebrates the removal of those not aligned with the expectations of good officers. This ensures that, perhaps most importantly, the police </w:t>
      </w:r>
      <w:proofErr w:type="gramStart"/>
      <w:r>
        <w:t>are able to</w:t>
      </w:r>
      <w:proofErr w:type="gramEnd"/>
      <w:r>
        <w:t xml:space="preserve"> maintain integrity and show that their intention is to police by consent with fairness and impartiality, without bias (</w:t>
      </w:r>
      <w:r w:rsidR="00F33DA4">
        <w:t>Morgan, 2023</w:t>
      </w:r>
      <w:r>
        <w:t>).</w:t>
      </w:r>
    </w:p>
    <w:p w14:paraId="4247B41C" w14:textId="2B811F1D" w:rsidR="00A41EB6" w:rsidRDefault="00E92CAD" w:rsidP="00E92CAD">
      <w:r>
        <w:t xml:space="preserve">To remain fair and impartial, the </w:t>
      </w:r>
      <w:r w:rsidR="00A41EB6">
        <w:t>actions and decisions</w:t>
      </w:r>
      <w:r>
        <w:t xml:space="preserve"> of officers must always be </w:t>
      </w:r>
      <w:r w:rsidR="00A41EB6">
        <w:t xml:space="preserve">based on evidence and necessity, </w:t>
      </w:r>
      <w:r>
        <w:t>as opposed to personal bias and preconceptions or stereotype (</w:t>
      </w:r>
      <w:proofErr w:type="spellStart"/>
      <w:r w:rsidR="00F33DA4">
        <w:t>Obasogie</w:t>
      </w:r>
      <w:proofErr w:type="spellEnd"/>
      <w:r w:rsidR="00F33DA4">
        <w:t>, 2020</w:t>
      </w:r>
      <w:r>
        <w:t>)</w:t>
      </w:r>
      <w:r w:rsidR="00A41EB6">
        <w:t>.</w:t>
      </w:r>
      <w:r>
        <w:t xml:space="preserve"> This ensures that diversity can be considered more appropriately, and problem areas can be identified and dealt with more robustly. </w:t>
      </w:r>
    </w:p>
    <w:p w14:paraId="77308A69" w14:textId="7DC90AE8" w:rsidR="00E92CAD" w:rsidRDefault="00E92CAD" w:rsidP="00E92CAD">
      <w:r>
        <w:t>Each of these areas, along with ethical leadership and a strong focus on a police presence within communities</w:t>
      </w:r>
      <w:r w:rsidR="00F33DA4">
        <w:t xml:space="preserve">, </w:t>
      </w:r>
      <w:r>
        <w:t>can assist in improving the relationship between the police and the public (</w:t>
      </w:r>
      <w:r w:rsidR="00F33DA4">
        <w:t>Fielding, 2023</w:t>
      </w:r>
      <w:r>
        <w:t>). Evidence suggests, particularly in recent years, that the police still fall short of these expectations, however there are positive steps being taken daily to address these issues, and it could be suggested that the police are currently more aware of this and are more transparent about their intentions to improve than ever before (</w:t>
      </w:r>
      <w:r w:rsidR="00F33DA4">
        <w:t>Bloch-Wehba, 2021</w:t>
      </w:r>
      <w:r>
        <w:t xml:space="preserve">). </w:t>
      </w:r>
    </w:p>
    <w:p w14:paraId="444C3D85" w14:textId="145F7B17" w:rsidR="00E36794" w:rsidRPr="00F13A83" w:rsidRDefault="00F33DA4" w:rsidP="00E36794">
      <w:pPr>
        <w:rPr>
          <w:b/>
          <w:bCs/>
        </w:rPr>
      </w:pPr>
      <w:r w:rsidRPr="00F13A83">
        <w:rPr>
          <w:b/>
          <w:bCs/>
        </w:rPr>
        <w:t>(WORD COUNT: 1034)</w:t>
      </w:r>
    </w:p>
    <w:p w14:paraId="424D1D16" w14:textId="77777777" w:rsidR="00D057CD" w:rsidRDefault="00D057CD" w:rsidP="00E36794"/>
    <w:p w14:paraId="728BD4EE" w14:textId="77777777" w:rsidR="00D057CD" w:rsidRDefault="00D057CD" w:rsidP="00E36794"/>
    <w:p w14:paraId="0D20F8B7" w14:textId="77777777" w:rsidR="00D057CD" w:rsidRDefault="00D057CD" w:rsidP="00E36794"/>
    <w:p w14:paraId="3C17A9F0" w14:textId="77777777" w:rsidR="00E36794" w:rsidRPr="00E36794" w:rsidRDefault="00E36794" w:rsidP="00E36794">
      <w:pPr>
        <w:rPr>
          <w:b/>
          <w:bCs/>
        </w:rPr>
      </w:pPr>
      <w:r w:rsidRPr="00E36794">
        <w:rPr>
          <w:b/>
          <w:bCs/>
        </w:rPr>
        <w:t>Essay two:</w:t>
      </w:r>
    </w:p>
    <w:p w14:paraId="40FA9B4B" w14:textId="5BBBE044" w:rsidR="00E36794" w:rsidRPr="00F13A83" w:rsidRDefault="00E36794" w:rsidP="00E36794">
      <w:pPr>
        <w:rPr>
          <w:b/>
          <w:bCs/>
          <w:i/>
          <w:iCs/>
        </w:rPr>
      </w:pPr>
      <w:r w:rsidRPr="00F13A83">
        <w:rPr>
          <w:b/>
          <w:bCs/>
          <w:i/>
          <w:iCs/>
        </w:rPr>
        <w:t>Response policing – Assess the extent of response officers’ role in dealing with</w:t>
      </w:r>
      <w:r w:rsidR="00F13A83">
        <w:rPr>
          <w:b/>
          <w:bCs/>
          <w:i/>
          <w:iCs/>
        </w:rPr>
        <w:t xml:space="preserve"> </w:t>
      </w:r>
      <w:r w:rsidRPr="00F13A83">
        <w:rPr>
          <w:b/>
          <w:bCs/>
          <w:i/>
          <w:iCs/>
        </w:rPr>
        <w:t>critical and major incidents.</w:t>
      </w:r>
    </w:p>
    <w:p w14:paraId="7600A4DD" w14:textId="5801368F" w:rsidR="00471E7C" w:rsidRDefault="00471E7C" w:rsidP="005F4251">
      <w:r>
        <w:t xml:space="preserve">Response officers are generally </w:t>
      </w:r>
      <w:r w:rsidR="005F4251">
        <w:t xml:space="preserve">well </w:t>
      </w:r>
      <w:r>
        <w:t>equipped to handle</w:t>
      </w:r>
      <w:r w:rsidR="005F4251">
        <w:t xml:space="preserve"> a multitude of situations effectively, from volume crime, violent disorders, as well as</w:t>
      </w:r>
      <w:r>
        <w:t xml:space="preserve"> critical incidents </w:t>
      </w:r>
      <w:r w:rsidR="005F4251">
        <w:t>(</w:t>
      </w:r>
      <w:proofErr w:type="spellStart"/>
      <w:r w:rsidR="000565A7">
        <w:t>Laufs</w:t>
      </w:r>
      <w:proofErr w:type="spellEnd"/>
      <w:r w:rsidR="000565A7">
        <w:t xml:space="preserve"> and Waseem, 2020</w:t>
      </w:r>
      <w:r w:rsidR="005F4251">
        <w:t>)</w:t>
      </w:r>
      <w:r>
        <w:t xml:space="preserve">. </w:t>
      </w:r>
      <w:r w:rsidR="005F4251">
        <w:t>The</w:t>
      </w:r>
      <w:r>
        <w:t xml:space="preserve"> ability</w:t>
      </w:r>
      <w:r w:rsidR="005F4251">
        <w:t xml:space="preserve"> of an officer</w:t>
      </w:r>
      <w:r>
        <w:t xml:space="preserve"> to </w:t>
      </w:r>
      <w:r w:rsidR="005F4251">
        <w:t>deal with</w:t>
      </w:r>
      <w:r>
        <w:t xml:space="preserve"> </w:t>
      </w:r>
      <w:r w:rsidR="005F4251">
        <w:t>a variety of</w:t>
      </w:r>
      <w:r>
        <w:t xml:space="preserve"> situations </w:t>
      </w:r>
      <w:r w:rsidR="005F4251">
        <w:t>is reliant on robust and varied training programs, a close adherence to typical standards set out by the College of Policing’s Code of Ethics (</w:t>
      </w:r>
      <w:r w:rsidR="00D70377">
        <w:t>College of Policing, 2024</w:t>
      </w:r>
      <w:r w:rsidR="005F4251">
        <w:t>), continuous professional development and maintaining a sound understanding of the collaborative work and assistance offered by partner agencies (</w:t>
      </w:r>
      <w:r w:rsidR="00D70377">
        <w:t>Feuer, 2021</w:t>
      </w:r>
      <w:r w:rsidR="005F4251">
        <w:t>)</w:t>
      </w:r>
      <w:r>
        <w:t xml:space="preserve">. </w:t>
      </w:r>
      <w:r w:rsidR="005F4251">
        <w:t>Whilst officers are largely expected to deal with volume crime and respond to emergencies most often, they must also be ready and equipped to deal with critical and major incidents, as they represent the primary reactive law enforcement in the UK and would typically be the first organisation to respond to such incidents (</w:t>
      </w:r>
      <w:r w:rsidR="00D70377">
        <w:t>Phung et al., 2017</w:t>
      </w:r>
      <w:r w:rsidR="005F4251">
        <w:t xml:space="preserve">). </w:t>
      </w:r>
    </w:p>
    <w:p w14:paraId="04F4D75D" w14:textId="41C6C5CE" w:rsidR="006B6B68" w:rsidRDefault="00471E7C" w:rsidP="00471E7C">
      <w:r>
        <w:t xml:space="preserve">UK police officers </w:t>
      </w:r>
      <w:r w:rsidR="005F4251">
        <w:t>engage with intense and varied</w:t>
      </w:r>
      <w:r>
        <w:t xml:space="preserve"> training </w:t>
      </w:r>
      <w:r w:rsidR="005F4251">
        <w:t>programs during</w:t>
      </w:r>
      <w:r>
        <w:t xml:space="preserve"> the initial stages of their careers, which include</w:t>
      </w:r>
      <w:r w:rsidR="00C607E4">
        <w:t xml:space="preserve"> a multitude of different subject areas such as operational policing, equality and diversity training, legislation relevant to commonly </w:t>
      </w:r>
      <w:r w:rsidR="00C607E4">
        <w:lastRenderedPageBreak/>
        <w:t xml:space="preserve">investigated crimes, as well as </w:t>
      </w:r>
      <w:r>
        <w:t xml:space="preserve">modules on </w:t>
      </w:r>
      <w:r w:rsidR="00C607E4">
        <w:t>dealing with major or</w:t>
      </w:r>
      <w:r>
        <w:t xml:space="preserve"> critical incidents</w:t>
      </w:r>
      <w:r w:rsidR="00EE1DDB">
        <w:t xml:space="preserve"> ()</w:t>
      </w:r>
      <w:r>
        <w:t>.</w:t>
      </w:r>
      <w:r w:rsidR="00C607E4">
        <w:t xml:space="preserve"> </w:t>
      </w:r>
      <w:r w:rsidR="006B6B68">
        <w:t>The College of Policing defines a critical incident as “</w:t>
      </w:r>
      <w:r w:rsidR="006B6B68" w:rsidRPr="006B6B68">
        <w:t>any incident where the effectiveness of the police response is likely to have a significant impact on the confidence of the victim, their family and/or the community</w:t>
      </w:r>
      <w:r w:rsidR="006B6B68">
        <w:t>.” (</w:t>
      </w:r>
      <w:r w:rsidR="00D70377">
        <w:t>College of Policing, 2024</w:t>
      </w:r>
      <w:r w:rsidR="006B6B68">
        <w:t>), which could include, for example, high profile criminal cases involving political or policing figures (</w:t>
      </w:r>
      <w:r w:rsidR="00D70377">
        <w:t>Lacoe and Stein, 2018</w:t>
      </w:r>
      <w:r w:rsidR="006B6B68">
        <w:t>), or highly emotive events such as the Black Lives Matter movement (</w:t>
      </w:r>
      <w:r w:rsidR="00D70377">
        <w:t>Barker, Baker and Watkins, 2021</w:t>
      </w:r>
      <w:r w:rsidR="006B6B68">
        <w:t xml:space="preserve">). </w:t>
      </w:r>
      <w:r w:rsidR="00EE1DDB">
        <w:t>JESIP (Joint Emergency Service Interoperability Programme) defines a m</w:t>
      </w:r>
      <w:r w:rsidR="00C607E4">
        <w:t>ajor incident as “</w:t>
      </w:r>
      <w:r w:rsidR="00EE1DDB" w:rsidRPr="00EE1DDB">
        <w:t>An event or situation with a range of serious consequences which requires special arrangements to be implemented by one or more emergency responder agency</w:t>
      </w:r>
      <w:r w:rsidR="00EE1DDB">
        <w:t xml:space="preserve">” (JESIP, 2024). </w:t>
      </w:r>
      <w:r w:rsidR="001632D4">
        <w:t xml:space="preserve">A major incident is an occurrence beyond the usual remit of an emergency </w:t>
      </w:r>
      <w:proofErr w:type="gramStart"/>
      <w:r w:rsidR="001632D4">
        <w:t>service, and</w:t>
      </w:r>
      <w:proofErr w:type="gramEnd"/>
      <w:r w:rsidR="001632D4">
        <w:t xml:space="preserve"> will instead represent a more serious incident usually involving a greater, serious risk of harm, damage, or disruption to essential services, national security, or human life (</w:t>
      </w:r>
      <w:r w:rsidR="00B74B9E" w:rsidRPr="00B74B9E">
        <w:t>Sørensen</w:t>
      </w:r>
      <w:r w:rsidR="00B74B9E">
        <w:t xml:space="preserve"> et al., 2022</w:t>
      </w:r>
      <w:r w:rsidR="001632D4">
        <w:t xml:space="preserve">). As is noted within this definition of major incidents, the police service </w:t>
      </w:r>
      <w:proofErr w:type="gramStart"/>
      <w:r w:rsidR="001632D4">
        <w:t>represent</w:t>
      </w:r>
      <w:proofErr w:type="gramEnd"/>
      <w:r w:rsidR="001632D4">
        <w:t xml:space="preserve"> just one part of a multi-agency collaboration when dealing with such incidents, and the extent of their role will be examined further below.</w:t>
      </w:r>
      <w:r w:rsidR="006B6B68">
        <w:t xml:space="preserve"> </w:t>
      </w:r>
    </w:p>
    <w:p w14:paraId="4B45EEE0" w14:textId="0D300754" w:rsidR="00154066" w:rsidRDefault="006B6B68" w:rsidP="00471E7C">
      <w:r>
        <w:t>Whilst an incident can be extremely different to the next, the p</w:t>
      </w:r>
      <w:r w:rsidR="00471E7C">
        <w:t xml:space="preserve">olice have </w:t>
      </w:r>
      <w:r>
        <w:t>structured standards of practice</w:t>
      </w:r>
      <w:r w:rsidR="00471E7C">
        <w:t xml:space="preserve"> for dealing with </w:t>
      </w:r>
      <w:r>
        <w:t>major and critical</w:t>
      </w:r>
      <w:r w:rsidR="00471E7C">
        <w:t xml:space="preserve"> incidents, ensuring a consistent </w:t>
      </w:r>
      <w:r>
        <w:t xml:space="preserve">and standardised </w:t>
      </w:r>
      <w:r w:rsidR="00471E7C">
        <w:t>response.</w:t>
      </w:r>
      <w:r>
        <w:t xml:space="preserve"> One such model that is widely used within response policing is t</w:t>
      </w:r>
      <w:r w:rsidR="00471E7C">
        <w:t>he National Decision Model (NDM)</w:t>
      </w:r>
      <w:r>
        <w:t xml:space="preserve">, which should be </w:t>
      </w:r>
      <w:r w:rsidR="00471E7C">
        <w:t xml:space="preserve">used to </w:t>
      </w:r>
      <w:r>
        <w:t>inform and largely dictate an</w:t>
      </w:r>
      <w:r w:rsidR="00471E7C">
        <w:t xml:space="preserve"> officers' actions, helping them make ethical</w:t>
      </w:r>
      <w:r>
        <w:t>, safe and effective</w:t>
      </w:r>
      <w:r w:rsidR="00471E7C">
        <w:t xml:space="preserve"> decisions under pressure</w:t>
      </w:r>
      <w:r>
        <w:t xml:space="preserve"> (</w:t>
      </w:r>
      <w:r w:rsidR="00B74B9E">
        <w:t>Pais and Felgueiras, 2016</w:t>
      </w:r>
      <w:r>
        <w:t>)</w:t>
      </w:r>
      <w:r w:rsidR="00471E7C">
        <w:t>.</w:t>
      </w:r>
      <w:r>
        <w:t xml:space="preserve"> The NDM works by ensuring officers dynamically review the risks presented, consider their powers and policies, options and contingencies, and the information and intelligence available to them before taking any action, whilst considering the code of ethics at every opportunity (</w:t>
      </w:r>
      <w:r w:rsidR="00B74B9E">
        <w:t>Roach, 2023</w:t>
      </w:r>
      <w:r>
        <w:t>). This allows for a dynamic risk assessment into their capabilities and responsibilities when faced with unexpected situations, including major and critical incidents (</w:t>
      </w:r>
      <w:r w:rsidR="00B74B9E">
        <w:t>Eyre and Alison, 2007</w:t>
      </w:r>
      <w:r>
        <w:t>).</w:t>
      </w:r>
    </w:p>
    <w:p w14:paraId="3C748784" w14:textId="476B3725" w:rsidR="00471E7C" w:rsidRDefault="00471E7C" w:rsidP="00471E7C">
      <w:r>
        <w:t xml:space="preserve">Each police force </w:t>
      </w:r>
      <w:r w:rsidR="009E714A">
        <w:t>should have</w:t>
      </w:r>
      <w:r>
        <w:t xml:space="preserve"> major </w:t>
      </w:r>
      <w:r w:rsidR="009E714A">
        <w:t xml:space="preserve">and critical </w:t>
      </w:r>
      <w:r>
        <w:t xml:space="preserve">incident plans in place, which outline the steps to be taken </w:t>
      </w:r>
      <w:r w:rsidR="009E714A">
        <w:t>in the event of dealing with relevant</w:t>
      </w:r>
      <w:r>
        <w:t xml:space="preserve"> emergencies. These plans</w:t>
      </w:r>
      <w:r w:rsidR="009E714A">
        <w:t xml:space="preserve"> will</w:t>
      </w:r>
      <w:r>
        <w:t xml:space="preserve"> include </w:t>
      </w:r>
      <w:r w:rsidR="009E714A">
        <w:t>the collaboration of partner agencies and emergency services such as the ambulance and fire service (</w:t>
      </w:r>
      <w:r w:rsidR="00B74B9E">
        <w:t>Bayliss and Hurst, 2023</w:t>
      </w:r>
      <w:r w:rsidR="009E714A">
        <w:t>)</w:t>
      </w:r>
      <w:r w:rsidR="00DC7619">
        <w:t xml:space="preserve">, with which they are able to effectively communicate </w:t>
      </w:r>
      <w:proofErr w:type="gramStart"/>
      <w:r w:rsidR="00DC7619">
        <w:t>through the use of</w:t>
      </w:r>
      <w:proofErr w:type="gramEnd"/>
      <w:r w:rsidR="00DC7619">
        <w:t xml:space="preserve"> intuitive radios when connected via the same frequencies, in order to better assist and coordinate resources in real time (</w:t>
      </w:r>
      <w:r w:rsidR="00B74B9E">
        <w:t>Russell, 2000</w:t>
      </w:r>
      <w:r w:rsidR="00DC7619">
        <w:t xml:space="preserve">). The police will be responsible for the initial response and scene management following a critical or major incident, which may </w:t>
      </w:r>
      <w:proofErr w:type="spellStart"/>
      <w:proofErr w:type="gramStart"/>
      <w:r w:rsidR="00DC7619">
        <w:t>involved</w:t>
      </w:r>
      <w:proofErr w:type="spellEnd"/>
      <w:proofErr w:type="gramEnd"/>
      <w:r w:rsidR="00DC7619">
        <w:t xml:space="preserve"> assessing and relaying the risk to other agencies and teams, ensuring immediate public safety, and providing emergency first aid where necessary (</w:t>
      </w:r>
      <w:r w:rsidR="00B74B9E">
        <w:t xml:space="preserve">Sheehan, Everly and </w:t>
      </w:r>
      <w:proofErr w:type="spellStart"/>
      <w:r w:rsidR="00B74B9E">
        <w:t>Langlieb</w:t>
      </w:r>
      <w:proofErr w:type="spellEnd"/>
      <w:r w:rsidR="00B74B9E">
        <w:t>, 2004</w:t>
      </w:r>
      <w:r w:rsidR="00DC7619">
        <w:t xml:space="preserve">). They would then seek to manage and secure the scene as effectively as possible, whilst setting up a structure of command, </w:t>
      </w:r>
      <w:proofErr w:type="gramStart"/>
      <w:r w:rsidR="00DC7619">
        <w:t>in order to</w:t>
      </w:r>
      <w:proofErr w:type="gramEnd"/>
      <w:r w:rsidR="00DC7619">
        <w:t xml:space="preserve"> accurately send and receive vital </w:t>
      </w:r>
      <w:r w:rsidR="00DC7619">
        <w:lastRenderedPageBreak/>
        <w:t>information to other agencies and services (</w:t>
      </w:r>
      <w:r w:rsidR="00694B48">
        <w:t>Mishra, Allen and Pearman, 2011</w:t>
      </w:r>
      <w:r w:rsidR="00DC7619">
        <w:t xml:space="preserve">). JESIP provides a framework by which each of the services abides, </w:t>
      </w:r>
      <w:proofErr w:type="gramStart"/>
      <w:r w:rsidR="00DC7619">
        <w:t>in order to</w:t>
      </w:r>
      <w:proofErr w:type="gramEnd"/>
      <w:r w:rsidR="00DC7619">
        <w:t xml:space="preserve"> better inform the other services of the responsibilities and remit of each other to ensure understanding and efficiency in what would be a very high-pressure environment (</w:t>
      </w:r>
      <w:r w:rsidR="00694B48">
        <w:t>Wilkinson et al., 2019</w:t>
      </w:r>
      <w:r w:rsidR="00DC7619">
        <w:t>). Following the initial management of the scene and risk assessment, it would also be the responsibility of police to investigate the incident’s occurrence including the gathering of evidence to support any potential prosecutions or inquiries into the incident (</w:t>
      </w:r>
      <w:r w:rsidR="00694B48">
        <w:t>Grieve, Crego and Griffiths, 2012</w:t>
      </w:r>
      <w:r w:rsidR="00DC7619">
        <w:t>). In recent years, the police have also focused on victim and witness management as areas of improvement, and this includes crisis management and support for people following traumatic incidents such as the above, offering pathways to physical and mental health support, as well as engaging with communities to alleviate concerns and provide reassurance of the plans put in place to safeguard them, mitigate risk, and prevent similar situations from reoccurring (</w:t>
      </w:r>
      <w:r w:rsidR="00B74B9E">
        <w:t xml:space="preserve">Sheehan, Everly and </w:t>
      </w:r>
      <w:proofErr w:type="spellStart"/>
      <w:r w:rsidR="00B74B9E">
        <w:t>Langlieb</w:t>
      </w:r>
      <w:proofErr w:type="spellEnd"/>
      <w:r w:rsidR="00B74B9E">
        <w:t>, 2004</w:t>
      </w:r>
      <w:r w:rsidR="00DC7619">
        <w:t>). Whilst each of the emergency services plays a vital role in the management and response to critical and major incidents, ov</w:t>
      </w:r>
      <w:r w:rsidR="00DC7619" w:rsidRPr="00DC7619">
        <w:t xml:space="preserve">erall, the police play a </w:t>
      </w:r>
      <w:r w:rsidR="00DC7619">
        <w:t>pivotal</w:t>
      </w:r>
      <w:r w:rsidR="00DC7619" w:rsidRPr="00DC7619">
        <w:t xml:space="preserve"> role in ensuring a</w:t>
      </w:r>
      <w:r w:rsidR="00DC7619">
        <w:t>n effective and robust</w:t>
      </w:r>
      <w:r w:rsidR="00DC7619" w:rsidRPr="00DC7619">
        <w:t xml:space="preserve"> </w:t>
      </w:r>
      <w:r w:rsidR="00DC7619">
        <w:t>initial</w:t>
      </w:r>
      <w:r w:rsidR="00DC7619" w:rsidRPr="00DC7619">
        <w:t xml:space="preserve"> response to major incidents</w:t>
      </w:r>
      <w:r w:rsidR="00DC7619">
        <w:t>, whilst bearing the responsibility of accurately documenting and relaying critical information to other services which dictates the strength of their own response (</w:t>
      </w:r>
      <w:r w:rsidR="00694B48">
        <w:t>Wilkinson, Cohen-Hatton, and Honey. 2019</w:t>
      </w:r>
      <w:r w:rsidR="00DC7619">
        <w:t>)</w:t>
      </w:r>
      <w:r w:rsidR="00DC7619" w:rsidRPr="00DC7619">
        <w:t>,</w:t>
      </w:r>
      <w:r w:rsidR="00DC7619">
        <w:t xml:space="preserve"> whilst</w:t>
      </w:r>
      <w:r w:rsidR="00DC7619" w:rsidRPr="00DC7619">
        <w:t xml:space="preserve"> maintaining public safety</w:t>
      </w:r>
      <w:r w:rsidR="00DC7619">
        <w:t xml:space="preserve"> and trust</w:t>
      </w:r>
      <w:r w:rsidR="00DC7619" w:rsidRPr="00DC7619">
        <w:t xml:space="preserve">, and supporting the community through the immediate crisis and </w:t>
      </w:r>
      <w:r w:rsidR="00DC7619">
        <w:t>the subsequent</w:t>
      </w:r>
      <w:r w:rsidR="00DC7619" w:rsidRPr="00DC7619">
        <w:t xml:space="preserve"> aftermath</w:t>
      </w:r>
      <w:r w:rsidR="00DC7619">
        <w:t xml:space="preserve"> (</w:t>
      </w:r>
      <w:r w:rsidR="00B74B9E">
        <w:t>Lennquist, 2013</w:t>
      </w:r>
      <w:r w:rsidR="00DC7619">
        <w:t xml:space="preserve">). The public will always look to the police in times of need and desperation to provide reassurance in situations like these, so it is imperative that </w:t>
      </w:r>
      <w:r w:rsidR="00A15DAE">
        <w:t>continuous development and engagement with JESIP plans and contingencies are adhered to throughout an officer’s career (</w:t>
      </w:r>
      <w:r w:rsidR="00694B48">
        <w:t>Davidson, 2023</w:t>
      </w:r>
      <w:r w:rsidR="00A15DAE">
        <w:t>).</w:t>
      </w:r>
    </w:p>
    <w:p w14:paraId="1B6E72F6" w14:textId="10B27CA9" w:rsidR="00694B48" w:rsidRPr="00F13A83" w:rsidRDefault="00694B48" w:rsidP="00471E7C">
      <w:pPr>
        <w:rPr>
          <w:b/>
          <w:bCs/>
        </w:rPr>
      </w:pPr>
      <w:r w:rsidRPr="00F13A83">
        <w:rPr>
          <w:b/>
          <w:bCs/>
        </w:rPr>
        <w:t>(WORD COUNT: 988)</w:t>
      </w:r>
    </w:p>
    <w:p w14:paraId="5D7FA2FA" w14:textId="77777777" w:rsidR="00471E7C" w:rsidRDefault="00471E7C" w:rsidP="00471E7C"/>
    <w:p w14:paraId="08E779A0" w14:textId="77777777" w:rsidR="00471E7C" w:rsidRDefault="00471E7C" w:rsidP="00E36794">
      <w:pPr>
        <w:rPr>
          <w:i/>
          <w:iCs/>
        </w:rPr>
      </w:pPr>
    </w:p>
    <w:p w14:paraId="131235CB" w14:textId="77777777" w:rsidR="00471E7C" w:rsidRDefault="00471E7C" w:rsidP="00E36794">
      <w:pPr>
        <w:rPr>
          <w:i/>
          <w:iCs/>
        </w:rPr>
      </w:pPr>
    </w:p>
    <w:p w14:paraId="56939088" w14:textId="77777777" w:rsidR="00E36794" w:rsidRPr="00E36794" w:rsidRDefault="00E36794" w:rsidP="00E36794">
      <w:pPr>
        <w:rPr>
          <w:b/>
          <w:bCs/>
        </w:rPr>
      </w:pPr>
      <w:r w:rsidRPr="00E36794">
        <w:rPr>
          <w:b/>
          <w:bCs/>
        </w:rPr>
        <w:t>Essay three:</w:t>
      </w:r>
    </w:p>
    <w:p w14:paraId="06835D4D" w14:textId="7C20006A" w:rsidR="00E36794" w:rsidRPr="00F13A83" w:rsidRDefault="00E36794" w:rsidP="00E36794">
      <w:pPr>
        <w:rPr>
          <w:b/>
          <w:bCs/>
          <w:i/>
          <w:iCs/>
        </w:rPr>
      </w:pPr>
      <w:r w:rsidRPr="00F13A83">
        <w:rPr>
          <w:b/>
          <w:bCs/>
          <w:i/>
          <w:iCs/>
        </w:rPr>
        <w:t>How effective are cognitive interviews as a means of obtaining initial accounts from victims</w:t>
      </w:r>
      <w:r w:rsidR="00A41EB6" w:rsidRPr="00F13A83">
        <w:rPr>
          <w:b/>
          <w:bCs/>
          <w:i/>
          <w:iCs/>
        </w:rPr>
        <w:t xml:space="preserve"> </w:t>
      </w:r>
      <w:r w:rsidRPr="00F13A83">
        <w:rPr>
          <w:b/>
          <w:bCs/>
          <w:i/>
          <w:iCs/>
        </w:rPr>
        <w:t>and witnesses?</w:t>
      </w:r>
    </w:p>
    <w:p w14:paraId="4C93DD58" w14:textId="34AB886D" w:rsidR="00A41EB6" w:rsidRDefault="00A41EB6" w:rsidP="00A41EB6">
      <w:r>
        <w:t xml:space="preserve">Cognitive interviews </w:t>
      </w:r>
      <w:proofErr w:type="gramStart"/>
      <w:r>
        <w:t xml:space="preserve">are </w:t>
      </w:r>
      <w:r w:rsidR="00E00B16">
        <w:t>considered to be</w:t>
      </w:r>
      <w:proofErr w:type="gramEnd"/>
      <w:r>
        <w:t xml:space="preserve"> a</w:t>
      </w:r>
      <w:r w:rsidR="00D33E1D">
        <w:t xml:space="preserve"> proven and</w:t>
      </w:r>
      <w:r>
        <w:t xml:space="preserve"> effective technique for obtaining detailed and accurate accounts from victims and witnesses</w:t>
      </w:r>
      <w:r w:rsidR="00D33E1D">
        <w:t xml:space="preserve"> (</w:t>
      </w:r>
      <w:r w:rsidR="00882037">
        <w:t>McLeod, 2022</w:t>
      </w:r>
      <w:r w:rsidR="00D33E1D">
        <w:t>)</w:t>
      </w:r>
      <w:r>
        <w:t xml:space="preserve">. </w:t>
      </w:r>
      <w:r w:rsidR="00D33E1D">
        <w:t>The concept of cognitive interviewing and questioning was developed and perfected</w:t>
      </w:r>
      <w:r>
        <w:t xml:space="preserve"> by </w:t>
      </w:r>
      <w:proofErr w:type="gramStart"/>
      <w:r>
        <w:t>psychologists</w:t>
      </w:r>
      <w:r w:rsidR="00D33E1D">
        <w:t>, and</w:t>
      </w:r>
      <w:proofErr w:type="gramEnd"/>
      <w:r w:rsidR="00D33E1D">
        <w:t xml:space="preserve"> are </w:t>
      </w:r>
      <w:r>
        <w:t xml:space="preserve">based on </w:t>
      </w:r>
      <w:r w:rsidR="00D33E1D">
        <w:t xml:space="preserve">the </w:t>
      </w:r>
      <w:r>
        <w:t xml:space="preserve">principles of cognitive psychology </w:t>
      </w:r>
      <w:r w:rsidR="00D33E1D">
        <w:t>which</w:t>
      </w:r>
      <w:r>
        <w:t xml:space="preserve"> </w:t>
      </w:r>
      <w:r w:rsidR="00D33E1D">
        <w:t xml:space="preserve">seek to encourage </w:t>
      </w:r>
      <w:r>
        <w:t>the recall</w:t>
      </w:r>
      <w:r w:rsidR="00D33E1D">
        <w:t xml:space="preserve"> and memory capabilities</w:t>
      </w:r>
      <w:r>
        <w:t xml:space="preserve"> of </w:t>
      </w:r>
      <w:r w:rsidR="00D33E1D">
        <w:t xml:space="preserve">victims and </w:t>
      </w:r>
      <w:r>
        <w:t>witnesses</w:t>
      </w:r>
      <w:r w:rsidR="00D33E1D">
        <w:t>,</w:t>
      </w:r>
      <w:r>
        <w:t xml:space="preserve"> by </w:t>
      </w:r>
      <w:r w:rsidR="00D33E1D">
        <w:t>targeting</w:t>
      </w:r>
      <w:r>
        <w:t xml:space="preserve"> the mental processes involved in </w:t>
      </w:r>
      <w:r w:rsidR="00D33E1D">
        <w:t>the</w:t>
      </w:r>
      <w:r>
        <w:t xml:space="preserve"> </w:t>
      </w:r>
      <w:r w:rsidR="00D33E1D">
        <w:t>storage and recollection of memory (</w:t>
      </w:r>
      <w:proofErr w:type="spellStart"/>
      <w:r w:rsidR="00882037" w:rsidRPr="00882037">
        <w:t>Akca</w:t>
      </w:r>
      <w:proofErr w:type="spellEnd"/>
      <w:r w:rsidR="00882037" w:rsidRPr="00882037">
        <w:t xml:space="preserve">, Larivière, </w:t>
      </w:r>
      <w:r w:rsidR="00882037">
        <w:lastRenderedPageBreak/>
        <w:t>a</w:t>
      </w:r>
      <w:r w:rsidR="00882037" w:rsidRPr="00882037">
        <w:t>nd Eastwood, 2021</w:t>
      </w:r>
      <w:r w:rsidR="00D33E1D">
        <w:t>)</w:t>
      </w:r>
      <w:r>
        <w:t xml:space="preserve">. </w:t>
      </w:r>
      <w:r w:rsidR="00D33E1D">
        <w:t>Their effectiveness can be explained due to various psychological factors which will be explored further below.</w:t>
      </w:r>
    </w:p>
    <w:p w14:paraId="41527330" w14:textId="19C919FC" w:rsidR="00A41EB6" w:rsidRDefault="00A41EB6" w:rsidP="0030738D">
      <w:r>
        <w:t xml:space="preserve">Cognitive interviews are designed to help witnesses and victims recall more information </w:t>
      </w:r>
      <w:r w:rsidR="00030016">
        <w:t>whilst mitigating any compromission in</w:t>
      </w:r>
      <w:r w:rsidR="00D33E1D">
        <w:t xml:space="preserve"> </w:t>
      </w:r>
      <w:r>
        <w:t xml:space="preserve">accuracy. This </w:t>
      </w:r>
      <w:r w:rsidR="00030016">
        <w:t>is generally</w:t>
      </w:r>
      <w:r>
        <w:t xml:space="preserve"> achieved through various techniques, such as</w:t>
      </w:r>
      <w:r w:rsidR="00030016">
        <w:t xml:space="preserve"> by</w:t>
      </w:r>
      <w:r>
        <w:t xml:space="preserve"> </w:t>
      </w:r>
      <w:r w:rsidR="00030016">
        <w:t>e</w:t>
      </w:r>
      <w:r>
        <w:t>ncouraging the witness to mentally recreate the environment and context of the incident</w:t>
      </w:r>
      <w:r w:rsidR="00030016">
        <w:t>, known as contextual or situational recall (</w:t>
      </w:r>
      <w:r w:rsidR="008A4ED0">
        <w:t>Kelly, Dawson and Hartwig, 2021</w:t>
      </w:r>
      <w:r w:rsidR="00030016">
        <w:t>). This could be as simple as encouraging the individual to close their eyes and attempt to place themselves back at the scene of the incident, to visualise and vocalise what they can see (</w:t>
      </w:r>
      <w:r w:rsidR="008A4ED0">
        <w:t>Launey, Brunel and Bull, 2022</w:t>
      </w:r>
      <w:r w:rsidR="00030016">
        <w:t>). During this recall, it is common for individuals to recall smaller and finer details of an event that they otherwise would have struggled to do (</w:t>
      </w:r>
      <w:r w:rsidR="008A4ED0">
        <w:t>Meissner, 2021</w:t>
      </w:r>
      <w:r w:rsidR="00030016">
        <w:t>), which makes it a simple and effective tactic for encouraging the recollection of crimes and traumatic incidents (</w:t>
      </w:r>
      <w:r w:rsidR="008A4ED0">
        <w:t>Dodier et al., 2021</w:t>
      </w:r>
      <w:r w:rsidR="00030016">
        <w:t>). It can also be useful to refresh a person’s memory and encourage them to store the details in their “long term memory”, which enables a stronger recollection going forward as it would be more readily available in their memory stores (</w:t>
      </w:r>
      <w:r w:rsidR="008A4ED0">
        <w:t>Hauptmann and Karni, 2002</w:t>
      </w:r>
      <w:r w:rsidR="00030016">
        <w:t>). This, however, does come with a significant drawback, in that a traumatic event may become difficult for an individual to cope with due to it effectively being imprinted within their memory, almost forcing them to relive the situation potentially for the rest of their lives (</w:t>
      </w:r>
      <w:r w:rsidR="008A4ED0" w:rsidRPr="008A4ED0">
        <w:t>Jakobsen, Langballe and Schultz</w:t>
      </w:r>
      <w:r w:rsidR="008A4ED0">
        <w:t>, 2017</w:t>
      </w:r>
      <w:r w:rsidR="00030016">
        <w:t xml:space="preserve">). This risk would have to be balanced with the severity of the crime and the feelings of the individual </w:t>
      </w:r>
      <w:proofErr w:type="gramStart"/>
      <w:r w:rsidR="00030016">
        <w:t>in order to</w:t>
      </w:r>
      <w:proofErr w:type="gramEnd"/>
      <w:r w:rsidR="00030016">
        <w:t xml:space="preserve"> ensure best evidence can be achieved without causing significant risk of psychological harm to the person (</w:t>
      </w:r>
      <w:r w:rsidR="008A4ED0">
        <w:t>Fisher, Geiselman and Amador, 1989</w:t>
      </w:r>
      <w:r w:rsidR="00030016">
        <w:t>).</w:t>
      </w:r>
      <w:r w:rsidR="0030738D">
        <w:t xml:space="preserve"> This technique also ensures that the interview is less likely to be contaminated by the interviewing person due to less opportunity for leading questions to be asked, and less opportunity for biases to be put forward which may alter an individual’s recollection, even subconsciously (</w:t>
      </w:r>
      <w:r w:rsidR="00882037">
        <w:t>Kelly, Dawson and Hartwig, 2021</w:t>
      </w:r>
      <w:r w:rsidR="0030738D">
        <w:t>). This bodes well for producing evidence at court, as it is very difficult for a defence team to attack this process when conducted correctly and transparently (</w:t>
      </w:r>
      <w:r w:rsidR="008A4ED0">
        <w:t>Goodman-Delahunty et al., 2020</w:t>
      </w:r>
      <w:r w:rsidR="0030738D">
        <w:t>).</w:t>
      </w:r>
    </w:p>
    <w:p w14:paraId="3531DD43" w14:textId="05358D0A" w:rsidR="00A41EB6" w:rsidRDefault="00A41EB6" w:rsidP="00A41EB6">
      <w:r>
        <w:t xml:space="preserve">Cognitive interviews </w:t>
      </w:r>
      <w:r w:rsidR="0030738D">
        <w:t>may also</w:t>
      </w:r>
      <w:r>
        <w:t xml:space="preserve"> be </w:t>
      </w:r>
      <w:r w:rsidR="0030738D">
        <w:t>altered to fit the personalities and abilities of different kinds of people, for example those with learning disabilities or social impairment, or when dealing with child interviewees (</w:t>
      </w:r>
      <w:r w:rsidR="008A4ED0">
        <w:t>Maras and Bowler, 2010</w:t>
      </w:r>
      <w:r w:rsidR="0030738D">
        <w:t>). This allows the interview to be tailored to suit a wide range of individuals and their specific needs, whilst identifying areas of difficulty or improvement to enable the sharing of best-practice within the police force going forward (</w:t>
      </w:r>
      <w:r w:rsidR="001869CF">
        <w:t>Murphy, 2018</w:t>
      </w:r>
      <w:r w:rsidR="0030738D">
        <w:t>). As with the potential of creating lasting traumatic memories, however, another drawback to the effectiveness of cognitive interviewing lies within the aptitude of the interviewer, and their experience and familiarity with conducting such interviews with different kinds of people (</w:t>
      </w:r>
      <w:r w:rsidR="001869CF">
        <w:t>Memon et al., 1994</w:t>
      </w:r>
      <w:r w:rsidR="0030738D">
        <w:t xml:space="preserve">). </w:t>
      </w:r>
      <w:r w:rsidR="003E614E">
        <w:t xml:space="preserve">There is also the issue of time and resource reduction as a result or preparing individually tailored interviews in what is already a very stretched police force </w:t>
      </w:r>
      <w:r w:rsidR="003E614E">
        <w:lastRenderedPageBreak/>
        <w:t>(</w:t>
      </w:r>
      <w:proofErr w:type="spellStart"/>
      <w:r w:rsidR="001869CF">
        <w:t>Newiss</w:t>
      </w:r>
      <w:proofErr w:type="spellEnd"/>
      <w:r w:rsidR="001869CF">
        <w:t xml:space="preserve"> et al., 2022</w:t>
      </w:r>
      <w:r w:rsidR="003E614E">
        <w:t xml:space="preserve">). </w:t>
      </w:r>
      <w:r w:rsidR="0030738D">
        <w:t xml:space="preserve">Whilst a psychological background is not necessary to perform such interviews, it could arguably be desirable for the interviewer to be trained in psychological and psychometric testing, as this </w:t>
      </w:r>
      <w:r w:rsidR="003E614E">
        <w:t>enables an insight into an individual’s behavioural patterns and preferences, as well as their capacity to be interviewed, and expected responses to traumatic incidents and their recollection (</w:t>
      </w:r>
      <w:proofErr w:type="spellStart"/>
      <w:r w:rsidR="001869CF" w:rsidRPr="00882037">
        <w:t>Akca</w:t>
      </w:r>
      <w:proofErr w:type="spellEnd"/>
      <w:r w:rsidR="001869CF" w:rsidRPr="00882037">
        <w:t>, Larivière, and Eastwood, 2021</w:t>
      </w:r>
      <w:r w:rsidR="003E614E">
        <w:t>). If an interviewer is particularly inexperienced in this type of interview, the information they will extract is more likely to be diminished and less accurate than someone with experience (</w:t>
      </w:r>
      <w:r w:rsidR="001869CF">
        <w:t>Dodier et al., 2021</w:t>
      </w:r>
      <w:r w:rsidR="003E614E">
        <w:t>). In these situations, a standard interview technique could prove to be more effective, though this also depends largely on the individual being interviewed (</w:t>
      </w:r>
      <w:r w:rsidR="001869CF">
        <w:t>Meissner, 2021</w:t>
      </w:r>
      <w:r w:rsidR="003E614E">
        <w:t>).</w:t>
      </w:r>
    </w:p>
    <w:p w14:paraId="20DDFEDD" w14:textId="496F42E1" w:rsidR="00A41EB6" w:rsidRDefault="00A41EB6" w:rsidP="00A41EB6">
      <w:r>
        <w:t xml:space="preserve">Numerous </w:t>
      </w:r>
      <w:r w:rsidR="00E83560">
        <w:t>psychological studies</w:t>
      </w:r>
      <w:r>
        <w:t xml:space="preserve"> have </w:t>
      </w:r>
      <w:r w:rsidR="00E83560">
        <w:t>advocated for the</w:t>
      </w:r>
      <w:r>
        <w:t xml:space="preserve"> effectiveness of cognitive interviews</w:t>
      </w:r>
      <w:r w:rsidR="00E83560">
        <w:t>, for example</w:t>
      </w:r>
      <w:r>
        <w:t xml:space="preserve">, </w:t>
      </w:r>
      <w:r w:rsidR="001869CF">
        <w:t>meta-analysis</w:t>
      </w:r>
      <w:r w:rsidR="00E83560">
        <w:t xml:space="preserve"> on </w:t>
      </w:r>
      <w:r>
        <w:t xml:space="preserve">cognitive interviews found </w:t>
      </w:r>
      <w:r w:rsidR="00E83560">
        <w:t>that, in comparison to standard interviewing methods, they are likely to garner over 30% more accurate and relevant information than the latter, all whilst ensuring no marked increase in recollection anomalies (</w:t>
      </w:r>
      <w:proofErr w:type="spellStart"/>
      <w:r w:rsidR="001869CF" w:rsidRPr="001869CF">
        <w:t>Köhnken</w:t>
      </w:r>
      <w:proofErr w:type="spellEnd"/>
      <w:r w:rsidR="001869CF" w:rsidRPr="001869CF">
        <w:t>, Milne, Memon, and Bull</w:t>
      </w:r>
      <w:r w:rsidR="001869CF">
        <w:t>, 1999</w:t>
      </w:r>
      <w:r w:rsidR="00E83560">
        <w:t>). Similar studies conducted</w:t>
      </w:r>
      <w:r>
        <w:t xml:space="preserve"> by police forces </w:t>
      </w:r>
      <w:r w:rsidR="00E83560">
        <w:t>too have shown tangible improvements in efficiency and positive outcomes when using cognitive interview techniques (</w:t>
      </w:r>
      <w:r w:rsidR="001869CF">
        <w:t>Dando, Wilcock and Milne, 2008</w:t>
      </w:r>
      <w:r w:rsidR="00E83560">
        <w:t>).</w:t>
      </w:r>
    </w:p>
    <w:p w14:paraId="05C1D2BB" w14:textId="6E2925F9" w:rsidR="00E36794" w:rsidRDefault="00E83560" w:rsidP="00A41EB6">
      <w:r>
        <w:t>In conclusion, evidence shows that c</w:t>
      </w:r>
      <w:r w:rsidR="00A41EB6">
        <w:t xml:space="preserve">ognitive interviews are a </w:t>
      </w:r>
      <w:r>
        <w:t>proven method</w:t>
      </w:r>
      <w:r w:rsidR="00A41EB6">
        <w:t xml:space="preserve"> </w:t>
      </w:r>
      <w:r>
        <w:t xml:space="preserve">to achieve detailed and accurate </w:t>
      </w:r>
      <w:r w:rsidR="00A41EB6">
        <w:t>accounts from victims and witnesses</w:t>
      </w:r>
      <w:r>
        <w:t xml:space="preserve"> (</w:t>
      </w:r>
      <w:r w:rsidR="001869CF">
        <w:t>Crossland, Kneller and Wilcock, 2020</w:t>
      </w:r>
      <w:r>
        <w:t>)</w:t>
      </w:r>
      <w:r w:rsidR="00A41EB6">
        <w:t xml:space="preserve">. </w:t>
      </w:r>
      <w:r>
        <w:t>The focus on</w:t>
      </w:r>
      <w:r w:rsidR="00A41EB6">
        <w:t xml:space="preserve"> </w:t>
      </w:r>
      <w:r>
        <w:t>improving and highlighting detail during recollection</w:t>
      </w:r>
      <w:r w:rsidR="00A41EB6">
        <w:t>, reduc</w:t>
      </w:r>
      <w:r>
        <w:t>tion in police or interviewer contamination</w:t>
      </w:r>
      <w:r w:rsidR="00A41EB6">
        <w:t xml:space="preserve">, </w:t>
      </w:r>
      <w:r>
        <w:t>and ability to</w:t>
      </w:r>
      <w:r w:rsidR="00A41EB6">
        <w:t xml:space="preserve"> </w:t>
      </w:r>
      <w:r>
        <w:t>cater</w:t>
      </w:r>
      <w:r w:rsidR="00A41EB6">
        <w:t xml:space="preserve"> to </w:t>
      </w:r>
      <w:proofErr w:type="gramStart"/>
      <w:r>
        <w:t>each individual’s</w:t>
      </w:r>
      <w:proofErr w:type="gramEnd"/>
      <w:r>
        <w:t xml:space="preserve"> requirements</w:t>
      </w:r>
      <w:r w:rsidR="00A41EB6">
        <w:t xml:space="preserve"> </w:t>
      </w:r>
      <w:r>
        <w:t xml:space="preserve">cements them as an extremely useful and largely simple </w:t>
      </w:r>
      <w:r w:rsidR="00A41EB6">
        <w:t xml:space="preserve">tool </w:t>
      </w:r>
      <w:r>
        <w:t>for use throughout policing and for positive policing outcomes (</w:t>
      </w:r>
      <w:proofErr w:type="spellStart"/>
      <w:r w:rsidR="001869CF" w:rsidRPr="001869CF">
        <w:t>Hoogesteyn</w:t>
      </w:r>
      <w:proofErr w:type="spellEnd"/>
      <w:r w:rsidR="001869CF" w:rsidRPr="001869CF">
        <w:t>, Meijer, and Vrij</w:t>
      </w:r>
      <w:r w:rsidR="001869CF">
        <w:t>,</w:t>
      </w:r>
      <w:r w:rsidR="001869CF" w:rsidRPr="001869CF">
        <w:t xml:space="preserve"> 2020</w:t>
      </w:r>
      <w:r>
        <w:t>)</w:t>
      </w:r>
      <w:r w:rsidR="00A41EB6">
        <w:t xml:space="preserve">. However, the effectiveness of </w:t>
      </w:r>
      <w:r>
        <w:t>such methods remains reliant on the skills and abilities of the interviewing person, and their propensity for applying their training efficiently (</w:t>
      </w:r>
      <w:r w:rsidR="001869CF">
        <w:t>Mount and Mazerolle, 2021</w:t>
      </w:r>
      <w:r>
        <w:t>), coupled with the reciprocation of those being interviewed (</w:t>
      </w:r>
      <w:r w:rsidR="001869CF">
        <w:t>Hanway et al., 2021</w:t>
      </w:r>
      <w:r>
        <w:t>).</w:t>
      </w:r>
    </w:p>
    <w:p w14:paraId="2DC1DAAE" w14:textId="168F18DD" w:rsidR="00C2134F" w:rsidRPr="00F13A83" w:rsidRDefault="00C2134F" w:rsidP="00A41EB6">
      <w:pPr>
        <w:rPr>
          <w:b/>
          <w:bCs/>
        </w:rPr>
      </w:pPr>
      <w:r w:rsidRPr="00F13A83">
        <w:rPr>
          <w:b/>
          <w:bCs/>
        </w:rPr>
        <w:t>(WORD COUNT: 909)</w:t>
      </w:r>
    </w:p>
    <w:p w14:paraId="7FCA5C78" w14:textId="77777777" w:rsidR="00A47592" w:rsidRDefault="00A47592" w:rsidP="00E36794">
      <w:pPr>
        <w:rPr>
          <w:i/>
          <w:iCs/>
        </w:rPr>
      </w:pPr>
    </w:p>
    <w:p w14:paraId="3B96C8DF" w14:textId="77777777" w:rsidR="00F13A83" w:rsidRDefault="00F13A83" w:rsidP="00E36794">
      <w:pPr>
        <w:rPr>
          <w:i/>
          <w:iCs/>
        </w:rPr>
      </w:pPr>
    </w:p>
    <w:p w14:paraId="2C13B963" w14:textId="77777777" w:rsidR="00F13A83" w:rsidRDefault="00F13A83" w:rsidP="00E36794">
      <w:pPr>
        <w:rPr>
          <w:i/>
          <w:iCs/>
        </w:rPr>
      </w:pPr>
    </w:p>
    <w:p w14:paraId="056624E1" w14:textId="77777777" w:rsidR="00E36794" w:rsidRPr="00E36794" w:rsidRDefault="00E36794" w:rsidP="00E36794">
      <w:pPr>
        <w:rPr>
          <w:b/>
          <w:bCs/>
        </w:rPr>
      </w:pPr>
      <w:r w:rsidRPr="00E36794">
        <w:rPr>
          <w:b/>
          <w:bCs/>
        </w:rPr>
        <w:t>Essay four:</w:t>
      </w:r>
    </w:p>
    <w:p w14:paraId="45353EB0" w14:textId="5AF174F0" w:rsidR="00E36794" w:rsidRPr="00F13A83" w:rsidRDefault="00E36794" w:rsidP="00E36794">
      <w:pPr>
        <w:rPr>
          <w:b/>
          <w:bCs/>
          <w:i/>
          <w:iCs/>
        </w:rPr>
      </w:pPr>
      <w:r w:rsidRPr="00F13A83">
        <w:rPr>
          <w:b/>
          <w:bCs/>
          <w:i/>
          <w:iCs/>
        </w:rPr>
        <w:t>Examine the various socio-economic and psychological characteristics which can make</w:t>
      </w:r>
      <w:r w:rsidR="00A41EB6" w:rsidRPr="00F13A83">
        <w:rPr>
          <w:b/>
          <w:bCs/>
          <w:i/>
          <w:iCs/>
        </w:rPr>
        <w:t xml:space="preserve"> </w:t>
      </w:r>
      <w:r w:rsidRPr="00F13A83">
        <w:rPr>
          <w:b/>
          <w:bCs/>
          <w:i/>
          <w:iCs/>
        </w:rPr>
        <w:t>people vulnerable to exploitation by criminal gangs.</w:t>
      </w:r>
    </w:p>
    <w:p w14:paraId="5CE95960" w14:textId="53FEFBF7" w:rsidR="00471E7C" w:rsidRDefault="00485233" w:rsidP="00471E7C">
      <w:r>
        <w:t>Psychological studies suggest that some people are more</w:t>
      </w:r>
      <w:r w:rsidR="00471E7C">
        <w:t xml:space="preserve"> vulnerable to exploitation by criminal gangs</w:t>
      </w:r>
      <w:r>
        <w:t xml:space="preserve"> than others (), and that these vulnerable individuals</w:t>
      </w:r>
      <w:r w:rsidR="00471E7C">
        <w:t xml:space="preserve"> often share </w:t>
      </w:r>
      <w:r>
        <w:t xml:space="preserve">similar </w:t>
      </w:r>
      <w:r w:rsidR="00471E7C">
        <w:lastRenderedPageBreak/>
        <w:t>socio-economic</w:t>
      </w:r>
      <w:r>
        <w:t>, psychological, and behavioural</w:t>
      </w:r>
      <w:r w:rsidR="00471E7C">
        <w:t xml:space="preserve"> </w:t>
      </w:r>
      <w:r>
        <w:t>traits (</w:t>
      </w:r>
      <w:r w:rsidR="000F4BCA">
        <w:t>Jackson, 2009</w:t>
      </w:r>
      <w:r>
        <w:t>)</w:t>
      </w:r>
      <w:r w:rsidR="00471E7C">
        <w:t>. T</w:t>
      </w:r>
      <w:r>
        <w:t>he combination of these</w:t>
      </w:r>
      <w:r w:rsidR="00471E7C">
        <w:t xml:space="preserve"> factors </w:t>
      </w:r>
      <w:r>
        <w:t xml:space="preserve">coincides to statistically </w:t>
      </w:r>
      <w:r w:rsidR="00471E7C">
        <w:t>make people more</w:t>
      </w:r>
      <w:r>
        <w:t xml:space="preserve"> vulnerable to persuasion, manipulation, and deception (</w:t>
      </w:r>
      <w:proofErr w:type="spellStart"/>
      <w:r w:rsidR="00370CDD">
        <w:t>Nepryakhin</w:t>
      </w:r>
      <w:proofErr w:type="spellEnd"/>
      <w:r w:rsidR="00370CDD">
        <w:t>, 2019</w:t>
      </w:r>
      <w:r>
        <w:t>), each of which can allow criminal organisations to recruit or radicalise an individual with far greater ease than otherwise (</w:t>
      </w:r>
      <w:r w:rsidR="00370CDD">
        <w:t>Bright et al., 2017</w:t>
      </w:r>
      <w:r>
        <w:t>)</w:t>
      </w:r>
      <w:r w:rsidR="00471E7C">
        <w:t xml:space="preserve">. </w:t>
      </w:r>
      <w:r>
        <w:t>Key socio-economic</w:t>
      </w:r>
      <w:r w:rsidR="00471E7C">
        <w:t xml:space="preserve"> characteristics</w:t>
      </w:r>
      <w:r>
        <w:t xml:space="preserve"> that allow for the recruitment of criminal gangs include f</w:t>
      </w:r>
      <w:r w:rsidR="00471E7C">
        <w:t xml:space="preserve">inancial </w:t>
      </w:r>
      <w:r>
        <w:t>i</w:t>
      </w:r>
      <w:r w:rsidR="00471E7C">
        <w:t>nstability</w:t>
      </w:r>
      <w:r>
        <w:t>, or those living in low-income households (</w:t>
      </w:r>
      <w:r w:rsidR="00370CDD">
        <w:t>Calderoni, 2022</w:t>
      </w:r>
      <w:r>
        <w:t xml:space="preserve">). It has been consistently proven than those who face significant financial hardship are far more likely to engage in risky behaviours or illegal activity </w:t>
      </w:r>
      <w:proofErr w:type="gramStart"/>
      <w:r>
        <w:t>in order to</w:t>
      </w:r>
      <w:proofErr w:type="gramEnd"/>
      <w:r>
        <w:t xml:space="preserve"> simply survive (</w:t>
      </w:r>
      <w:r w:rsidR="00370CDD">
        <w:t>Weisburd et al., 2020</w:t>
      </w:r>
      <w:r>
        <w:t>), before becoming reliant or addicted on the financial benefits afforded by illicit activity (</w:t>
      </w:r>
      <w:r w:rsidR="00370CDD">
        <w:t>Densley, 2012</w:t>
      </w:r>
      <w:r>
        <w:t>). Similarly, this can be said for those facing extreme lengths of unemployment or a lack of job opportunities due to proximity or medical issues (</w:t>
      </w:r>
      <w:r w:rsidR="00A64A7B">
        <w:t>Bennett and Holloway, 2004</w:t>
      </w:r>
      <w:r>
        <w:t xml:space="preserve">), encouraging them to seek an alternative source of income to the usual </w:t>
      </w:r>
      <w:proofErr w:type="gramStart"/>
      <w:r>
        <w:t>in order to</w:t>
      </w:r>
      <w:proofErr w:type="gramEnd"/>
      <w:r>
        <w:t xml:space="preserve"> provide for themselves and their families (</w:t>
      </w:r>
      <w:r w:rsidR="00A64A7B">
        <w:t xml:space="preserve">Ashton and </w:t>
      </w:r>
      <w:proofErr w:type="spellStart"/>
      <w:r w:rsidR="00A64A7B">
        <w:t>Bussu</w:t>
      </w:r>
      <w:proofErr w:type="spellEnd"/>
      <w:r w:rsidR="00A64A7B">
        <w:t>, 2020</w:t>
      </w:r>
      <w:r>
        <w:t>). In addition to financial hardship, there also exists a link between low levels of education and criminal engagement (</w:t>
      </w:r>
      <w:proofErr w:type="spellStart"/>
      <w:r w:rsidR="00E720DA">
        <w:t>Gallupe</w:t>
      </w:r>
      <w:proofErr w:type="spellEnd"/>
      <w:r w:rsidR="00E720DA">
        <w:t xml:space="preserve"> and Gravel, 2018</w:t>
      </w:r>
      <w:r>
        <w:t>), which could stem from the lack of job prospects due to lack of qualifications, as well as a lack of understanding and education into the consequences of their criminal activities, and the viewpoints of the victims it creates (</w:t>
      </w:r>
      <w:r w:rsidR="00E720DA" w:rsidRPr="00E720DA">
        <w:t>Geurts, 2023</w:t>
      </w:r>
      <w:r>
        <w:t>). There are strong links between a lack of general intelligence and being easily manipulated or deceived, which allows criminal organisations to selectively prey on such individuals by targeting those who opt out of standard methods of education, or the “expected” pathways into employment (</w:t>
      </w:r>
      <w:r w:rsidR="00E720DA">
        <w:t>Haddock, 2011</w:t>
      </w:r>
      <w:r>
        <w:t>).</w:t>
      </w:r>
      <w:r w:rsidR="004410DC">
        <w:t xml:space="preserve"> Similarly, research shows that living in deprived communities has a marked impact on the increase in gang culture and organised crime, due to the lack of positive role models and positive social spaces (</w:t>
      </w:r>
      <w:r w:rsidR="00571023" w:rsidRPr="00571023">
        <w:t>Farrell</w:t>
      </w:r>
      <w:r w:rsidR="00571023">
        <w:t xml:space="preserve"> </w:t>
      </w:r>
      <w:r w:rsidR="00571023" w:rsidRPr="00571023">
        <w:t>and Pease, 2013</w:t>
      </w:r>
      <w:r w:rsidR="004410DC">
        <w:t>). Individuals are often left to fend for themselves in areas such as these, and some even begin engaging with criminality purely as a method of survival, for example by forming their own gangs for protection and carrying knives in public places (</w:t>
      </w:r>
      <w:r w:rsidR="00571023" w:rsidRPr="00571023">
        <w:t xml:space="preserve">Gwata, </w:t>
      </w:r>
      <w:proofErr w:type="spellStart"/>
      <w:r w:rsidR="00571023" w:rsidRPr="00571023">
        <w:t>Ventriglio</w:t>
      </w:r>
      <w:proofErr w:type="spellEnd"/>
      <w:r w:rsidR="00571023" w:rsidRPr="00571023">
        <w:t>,</w:t>
      </w:r>
      <w:r w:rsidR="00571023">
        <w:t xml:space="preserve"> </w:t>
      </w:r>
      <w:r w:rsidR="00571023" w:rsidRPr="00571023">
        <w:t>Hughes</w:t>
      </w:r>
      <w:r w:rsidR="00571023">
        <w:t xml:space="preserve"> </w:t>
      </w:r>
      <w:r w:rsidR="00571023" w:rsidRPr="00571023">
        <w:t>and Deahl, 2024</w:t>
      </w:r>
      <w:r w:rsidR="004410DC">
        <w:t>).</w:t>
      </w:r>
    </w:p>
    <w:p w14:paraId="62E2AC4B" w14:textId="5BC30C51" w:rsidR="00471E7C" w:rsidRDefault="004410DC" w:rsidP="00471E7C">
      <w:r>
        <w:t>A prominent psychological characteristic linked to criminal recruitment is that of belonging to an ethnic or racial minority (</w:t>
      </w:r>
      <w:proofErr w:type="spellStart"/>
      <w:r w:rsidR="00571023">
        <w:t>Shankley</w:t>
      </w:r>
      <w:proofErr w:type="spellEnd"/>
      <w:r w:rsidR="00571023">
        <w:t xml:space="preserve"> and Williams, 2020</w:t>
      </w:r>
      <w:r>
        <w:t>). Individuals of these minorities may experience discrimination in their daily lives which causes them to lose faith in their community and those who claim to protect them (</w:t>
      </w:r>
      <w:r w:rsidR="00370CDD">
        <w:t>Densley, 2012</w:t>
      </w:r>
      <w:r>
        <w:t xml:space="preserve">); This alienation has been shown to lead to engagement with criminal gangs and likeminded individuals </w:t>
      </w:r>
      <w:proofErr w:type="gramStart"/>
      <w:r>
        <w:t>in order to</w:t>
      </w:r>
      <w:proofErr w:type="gramEnd"/>
      <w:r>
        <w:t xml:space="preserve"> feel a sense of belonging and to feel as though they are a part of something (</w:t>
      </w:r>
      <w:r w:rsidR="00F4748A">
        <w:t>Alleyne and Wood, 2014</w:t>
      </w:r>
      <w:r>
        <w:t xml:space="preserve">). This, coupled with the benefits to be gained from respect and adulation amongst their peers is often linked with a gateway to the exponential increase in the seriousness and danger associated with their crimes; going from committing petty thefts or car crime, for example, to more serious things and using </w:t>
      </w:r>
      <w:r>
        <w:lastRenderedPageBreak/>
        <w:t>fear or violence as a means for their success, such as robbery or assault (</w:t>
      </w:r>
      <w:proofErr w:type="spellStart"/>
      <w:r w:rsidR="00F4748A" w:rsidRPr="00F4748A">
        <w:t>Décary</w:t>
      </w:r>
      <w:proofErr w:type="spellEnd"/>
      <w:r w:rsidR="00F4748A" w:rsidRPr="00F4748A">
        <w:t>-Hétu</w:t>
      </w:r>
      <w:r w:rsidR="00F4748A">
        <w:t xml:space="preserve"> </w:t>
      </w:r>
      <w:r w:rsidR="00F4748A" w:rsidRPr="00F4748A">
        <w:t>and Dupont, 2013</w:t>
      </w:r>
      <w:r>
        <w:t>).</w:t>
      </w:r>
    </w:p>
    <w:p w14:paraId="4FDAB5B8" w14:textId="67457CFC" w:rsidR="00471E7C" w:rsidRDefault="004410DC" w:rsidP="003E1D05">
      <w:r>
        <w:t>Another factor which is linked to engagement in criminal activity is the psychological effects of a negative f</w:t>
      </w:r>
      <w:r w:rsidR="00471E7C">
        <w:t xml:space="preserve">amily </w:t>
      </w:r>
      <w:r>
        <w:t>e</w:t>
      </w:r>
      <w:r w:rsidR="00471E7C">
        <w:t>nvironment</w:t>
      </w:r>
      <w:r>
        <w:t xml:space="preserve"> (</w:t>
      </w:r>
      <w:r w:rsidR="00F4748A" w:rsidRPr="00F4748A">
        <w:t>Young, Fitzgibbon</w:t>
      </w:r>
      <w:r w:rsidR="00F4748A">
        <w:t xml:space="preserve"> </w:t>
      </w:r>
      <w:r w:rsidR="00F4748A" w:rsidRPr="00F4748A">
        <w:t>and Silverstone, 2014</w:t>
      </w:r>
      <w:r>
        <w:t xml:space="preserve">). Similarly to the geographical issues above, those from </w:t>
      </w:r>
      <w:r w:rsidR="00471E7C">
        <w:t>abusive</w:t>
      </w:r>
      <w:r>
        <w:t xml:space="preserve"> or “broken”</w:t>
      </w:r>
      <w:r w:rsidR="00471E7C">
        <w:t xml:space="preserve"> homes may </w:t>
      </w:r>
      <w:r>
        <w:t>seek to find their sense of belonging and role models in the gangs that identify and reach out to them (</w:t>
      </w:r>
      <w:r w:rsidR="00F4748A">
        <w:t>Smith, 2007</w:t>
      </w:r>
      <w:r>
        <w:t>), whilst abused children are more likely to seek refuge with those other than their families due to a lack of trust or belief in their safety and development (</w:t>
      </w:r>
      <w:r w:rsidR="00F4748A" w:rsidRPr="00F4748A">
        <w:t>Peterson and Silver, 2017</w:t>
      </w:r>
      <w:r>
        <w:t>).</w:t>
      </w:r>
      <w:r w:rsidR="003E1D05">
        <w:t xml:space="preserve"> Broken families are also linked to a lack of self-esteem, as well as a l</w:t>
      </w:r>
      <w:r w:rsidR="00471E7C">
        <w:t xml:space="preserve">ack of </w:t>
      </w:r>
      <w:r w:rsidR="003E1D05">
        <w:t>c</w:t>
      </w:r>
      <w:r w:rsidR="00471E7C">
        <w:t>onfidence</w:t>
      </w:r>
      <w:r w:rsidR="003E1D05">
        <w:t>, both of which are psychological drivers in the susceptibility to being manipulated, as well as impulsivity and risk-taking behaviour (</w:t>
      </w:r>
      <w:r w:rsidR="00F4748A">
        <w:t>Lynam et al., 2007</w:t>
      </w:r>
      <w:r w:rsidR="003E1D05">
        <w:t xml:space="preserve">), often cited as two prominent traits associated with seeking the “excitement” of engaging in criminal </w:t>
      </w:r>
      <w:proofErr w:type="gramStart"/>
      <w:r w:rsidR="003E1D05">
        <w:t>activity, or</w:t>
      </w:r>
      <w:proofErr w:type="gramEnd"/>
      <w:r w:rsidR="003E1D05">
        <w:t xml:space="preserve"> being seen as a villain and being chased by law enforcement (</w:t>
      </w:r>
      <w:r w:rsidR="00F4748A">
        <w:t>Howard, 2011</w:t>
      </w:r>
      <w:r w:rsidR="003E1D05">
        <w:t>).</w:t>
      </w:r>
    </w:p>
    <w:p w14:paraId="2DDBBAC6" w14:textId="2ED79DE3" w:rsidR="00471E7C" w:rsidRDefault="003E1D05" w:rsidP="00471E7C">
      <w:r>
        <w:t>Perhaps most notably in recent years, mental health disorders or dysfunction have been proven to contribute greatly to criminal activity (</w:t>
      </w:r>
      <w:r w:rsidR="00A64A7B" w:rsidRPr="00A64A7B">
        <w:t>Azimi</w:t>
      </w:r>
      <w:r w:rsidR="00A64A7B">
        <w:t xml:space="preserve"> </w:t>
      </w:r>
      <w:r w:rsidR="00A64A7B" w:rsidRPr="00A64A7B">
        <w:t>and Daigle, 2021</w:t>
      </w:r>
      <w:r>
        <w:t xml:space="preserve">). </w:t>
      </w:r>
      <w:r w:rsidR="00471E7C">
        <w:t xml:space="preserve">Depression and </w:t>
      </w:r>
      <w:r>
        <w:t>a</w:t>
      </w:r>
      <w:r w:rsidR="00471E7C">
        <w:t>nxiety</w:t>
      </w:r>
      <w:r>
        <w:t>, for example, leave individuals more vuln</w:t>
      </w:r>
      <w:r w:rsidR="00471E7C">
        <w:t>erable to</w:t>
      </w:r>
      <w:r>
        <w:t xml:space="preserve"> being targeted or exploited, as criminals can seek them out and offer a false sense of belonging and perceived resolution to their issues, either by way of peer support, perceived financial stability, or purely by means of a distraction (</w:t>
      </w:r>
      <w:r w:rsidR="00E720DA" w:rsidRPr="00E720DA">
        <w:t>Guay</w:t>
      </w:r>
      <w:r w:rsidR="00E720DA">
        <w:t xml:space="preserve"> et al., 2019</w:t>
      </w:r>
      <w:r>
        <w:t xml:space="preserve">). Mental health disorders bring with them further issues which exacerbate the potential for criminal exploitation, including the potential for people to be addicted to substances and become reliant on criminals to receive the amount they require and at the frequency needed to curb their </w:t>
      </w:r>
      <w:r w:rsidR="000F4BCA">
        <w:t>increasing needs (</w:t>
      </w:r>
      <w:r w:rsidR="00F4748A" w:rsidRPr="00F4748A">
        <w:t>Chakraborty, McKenzie, Hajat,</w:t>
      </w:r>
      <w:r w:rsidR="00F4748A">
        <w:t xml:space="preserve"> </w:t>
      </w:r>
      <w:r w:rsidR="00F4748A" w:rsidRPr="00F4748A">
        <w:t xml:space="preserve">and </w:t>
      </w:r>
      <w:proofErr w:type="spellStart"/>
      <w:r w:rsidR="00F4748A" w:rsidRPr="00F4748A">
        <w:t>Stansfeld</w:t>
      </w:r>
      <w:proofErr w:type="spellEnd"/>
      <w:r w:rsidR="00F4748A" w:rsidRPr="00F4748A">
        <w:t>, 2010</w:t>
      </w:r>
      <w:r w:rsidR="000F4BCA">
        <w:t>). A commonly used tactic by gangs is to ply an individual with substances to create an addiction and a reliance on them as they strictly control the supply of these substances, and thus, also control the individual over time by persuading them to engage in criminal activity or perform sexual favours in return for alcohol or drugs (</w:t>
      </w:r>
      <w:r w:rsidR="00A64A7B">
        <w:t>Bennett and Holloway, 2004</w:t>
      </w:r>
      <w:r w:rsidR="000F4BCA">
        <w:t>).</w:t>
      </w:r>
    </w:p>
    <w:p w14:paraId="55EDBC94" w14:textId="670D6AE0" w:rsidR="00E36794" w:rsidRDefault="000F4BCA" w:rsidP="00471E7C">
      <w:r>
        <w:t>By being consciously aware of, and understanding</w:t>
      </w:r>
      <w:r w:rsidR="00471E7C">
        <w:t xml:space="preserve"> these characteristics</w:t>
      </w:r>
      <w:r>
        <w:t>, the police</w:t>
      </w:r>
      <w:r w:rsidR="00471E7C">
        <w:t xml:space="preserve"> can help in developing targeted interventions to </w:t>
      </w:r>
      <w:r>
        <w:t>reduce criminal</w:t>
      </w:r>
      <w:r w:rsidR="00471E7C">
        <w:t xml:space="preserve"> exploitation and </w:t>
      </w:r>
      <w:r>
        <w:t xml:space="preserve">provide effective and tailored </w:t>
      </w:r>
      <w:r w:rsidR="00471E7C">
        <w:t xml:space="preserve">support </w:t>
      </w:r>
      <w:r>
        <w:t xml:space="preserve">to the individuals identified as being </w:t>
      </w:r>
      <w:r w:rsidR="00471E7C">
        <w:t>at risk</w:t>
      </w:r>
      <w:r>
        <w:t xml:space="preserve"> based on their </w:t>
      </w:r>
      <w:proofErr w:type="gramStart"/>
      <w:r>
        <w:t>particular socio-economic</w:t>
      </w:r>
      <w:proofErr w:type="gramEnd"/>
      <w:r>
        <w:t xml:space="preserve"> deficiencies, or psychological traits (</w:t>
      </w:r>
      <w:r w:rsidR="00F4748A" w:rsidRPr="00F4748A">
        <w:t>Lofstrom and Raphael, 2016</w:t>
      </w:r>
      <w:r>
        <w:t>)</w:t>
      </w:r>
      <w:r w:rsidR="00471E7C">
        <w:t xml:space="preserve">. </w:t>
      </w:r>
      <w:r>
        <w:t>Such methods used to reduce or prevent criminal recruitment may include</w:t>
      </w:r>
      <w:r w:rsidR="00471E7C">
        <w:t xml:space="preserve"> </w:t>
      </w:r>
      <w:r>
        <w:t xml:space="preserve">developing </w:t>
      </w:r>
      <w:r w:rsidR="00471E7C">
        <w:t>access to employment opportunities,</w:t>
      </w:r>
      <w:r>
        <w:t xml:space="preserve"> safe spaces, and positive role models within communities (</w:t>
      </w:r>
      <w:r w:rsidR="00370CDD" w:rsidRPr="00370CDD">
        <w:t>De La Rue, Ortega</w:t>
      </w:r>
      <w:r w:rsidR="00370CDD">
        <w:t xml:space="preserve"> </w:t>
      </w:r>
      <w:r w:rsidR="00370CDD" w:rsidRPr="00370CDD">
        <w:t>and Rodrigue</w:t>
      </w:r>
      <w:r w:rsidR="00370CDD">
        <w:t>z</w:t>
      </w:r>
      <w:r w:rsidR="00370CDD" w:rsidRPr="00370CDD">
        <w:t>, 202</w:t>
      </w:r>
      <w:r w:rsidR="00370CDD">
        <w:t>3</w:t>
      </w:r>
      <w:r>
        <w:t>), or by</w:t>
      </w:r>
      <w:r w:rsidR="00471E7C">
        <w:t xml:space="preserve"> providing mental health and support services</w:t>
      </w:r>
      <w:r>
        <w:t xml:space="preserve"> tailored towards substance misuse, or fostering firmer and more frequent social integration with people from different walks of life, as opposed to allowing affected individuals to engage solely with likeminded individuals from similar backgrounds and social structures (</w:t>
      </w:r>
      <w:r w:rsidR="00535793">
        <w:t>Forsberg and Douglas, 2022</w:t>
      </w:r>
      <w:r>
        <w:t>)</w:t>
      </w:r>
      <w:r w:rsidR="00471E7C">
        <w:t>.</w:t>
      </w:r>
      <w:r>
        <w:t xml:space="preserve"> It is resoundingly </w:t>
      </w:r>
      <w:r>
        <w:lastRenderedPageBreak/>
        <w:t>accepted that one of the main methods for reducing crime in those from low socio-economic backgrounds or possess specific psychological traits mentioned above, is to integrate more frequently with different people within society, educate themselves on the variations in culture, and develop healthy coping mechanisms to psychological traumas, either through positively engaging with hobbies and healthy activity (</w:t>
      </w:r>
      <w:proofErr w:type="spellStart"/>
      <w:r w:rsidR="00D33944" w:rsidRPr="00535793">
        <w:t>Sarı</w:t>
      </w:r>
      <w:proofErr w:type="spellEnd"/>
      <w:r w:rsidR="00535793">
        <w:t>, 2020</w:t>
      </w:r>
      <w:r>
        <w:t>), or seeking and maintaining professional mental health support (</w:t>
      </w:r>
      <w:r w:rsidR="00D33944">
        <w:t xml:space="preserve">Morgan, </w:t>
      </w:r>
      <w:proofErr w:type="spellStart"/>
      <w:r w:rsidR="00D33944">
        <w:t>Scalon</w:t>
      </w:r>
      <w:proofErr w:type="spellEnd"/>
      <w:r w:rsidR="00D33944">
        <w:t xml:space="preserve"> and Van Horn, 2020</w:t>
      </w:r>
      <w:r>
        <w:t>).</w:t>
      </w:r>
    </w:p>
    <w:p w14:paraId="329382F2" w14:textId="583E4B19" w:rsidR="00CD1A3C" w:rsidRPr="00F13A83" w:rsidRDefault="00CD1A3C" w:rsidP="00E36794">
      <w:pPr>
        <w:rPr>
          <w:b/>
          <w:bCs/>
        </w:rPr>
      </w:pPr>
      <w:r w:rsidRPr="00F13A83">
        <w:rPr>
          <w:b/>
          <w:bCs/>
        </w:rPr>
        <w:t>(WORD COUNT: 1100)</w:t>
      </w:r>
    </w:p>
    <w:p w14:paraId="68D3E8A1" w14:textId="77777777" w:rsidR="00CD1A3C" w:rsidRDefault="00CD1A3C">
      <w:r>
        <w:br w:type="page"/>
      </w:r>
    </w:p>
    <w:p w14:paraId="66EC258D" w14:textId="4D784760" w:rsidR="004A391C" w:rsidRPr="00F13A83" w:rsidRDefault="004A391C" w:rsidP="00E36794">
      <w:pPr>
        <w:rPr>
          <w:b/>
          <w:bCs/>
        </w:rPr>
      </w:pPr>
      <w:r w:rsidRPr="00F13A83">
        <w:rPr>
          <w:b/>
          <w:bCs/>
        </w:rPr>
        <w:lastRenderedPageBreak/>
        <w:t>Bibliography:</w:t>
      </w:r>
    </w:p>
    <w:p w14:paraId="092EA5DA" w14:textId="662F5F3F" w:rsidR="00882037" w:rsidRDefault="00882037" w:rsidP="00E36794">
      <w:proofErr w:type="spellStart"/>
      <w:r w:rsidRPr="00882037">
        <w:t>Akca</w:t>
      </w:r>
      <w:proofErr w:type="spellEnd"/>
      <w:r w:rsidRPr="00882037">
        <w:t>, D., Larivière, C.D. and Eastwood, J., 2021. Assessing the efficacy of investigative interviewing training courses: A systematic review. International Journal of Police Science &amp; Management, 23(1), pp.73-84.</w:t>
      </w:r>
    </w:p>
    <w:p w14:paraId="7F9949CA" w14:textId="5EA321A9" w:rsidR="00E00B16" w:rsidRDefault="00E00B16" w:rsidP="004A391C">
      <w:proofErr w:type="spellStart"/>
      <w:r w:rsidRPr="00E00B16">
        <w:t>Alikhademi</w:t>
      </w:r>
      <w:proofErr w:type="spellEnd"/>
      <w:r w:rsidRPr="00E00B16">
        <w:t>, K., Drobina, E., Prioleau, D., Richardson, B., Purves, D. and Gilbert, J.E., 2022. A review of predictive policing from the perspective of fairness. Artificial Intelligence and Law, pp.1-17.</w:t>
      </w:r>
    </w:p>
    <w:p w14:paraId="77914A9A" w14:textId="27F0C1C8" w:rsidR="00F4748A" w:rsidRDefault="00F4748A" w:rsidP="004A391C">
      <w:r w:rsidRPr="00F4748A">
        <w:t>Alleyne, E. and Wood, J.L., 2014. Gang involvement: Social and environmental factors. Crime &amp; Delinquency, 60(4), pp.547-568.</w:t>
      </w:r>
    </w:p>
    <w:p w14:paraId="78C39B7E" w14:textId="2A6D52C4" w:rsidR="00A64A7B" w:rsidRPr="00E00B16" w:rsidRDefault="00A64A7B" w:rsidP="004A391C">
      <w:r w:rsidRPr="00A64A7B">
        <w:t xml:space="preserve">Ashton, S.A. and </w:t>
      </w:r>
      <w:proofErr w:type="spellStart"/>
      <w:r w:rsidRPr="00A64A7B">
        <w:t>Bussu</w:t>
      </w:r>
      <w:proofErr w:type="spellEnd"/>
      <w:r w:rsidRPr="00A64A7B">
        <w:t>, A., 2020. Peer groups, street gangs and organised crime in the narratives of adolescent male offenders. Journal of criminal psychology, 10(4), pp.277-292.</w:t>
      </w:r>
    </w:p>
    <w:p w14:paraId="682CFB22" w14:textId="77777777" w:rsidR="004A391C" w:rsidRPr="00A64A7B" w:rsidRDefault="004A391C" w:rsidP="004A391C">
      <w:r w:rsidRPr="00A64A7B">
        <w:t xml:space="preserve">Azimi, A.M. and Daigle, L.E., 2021. Mental health and victimization: Does risky lifestyle </w:t>
      </w:r>
      <w:proofErr w:type="gramStart"/>
      <w:r w:rsidRPr="00A64A7B">
        <w:t>matter?.</w:t>
      </w:r>
      <w:proofErr w:type="gramEnd"/>
      <w:r w:rsidRPr="00A64A7B">
        <w:t xml:space="preserve"> Journal of interpersonal violence, 36(1-2), pp.103-131.</w:t>
      </w:r>
    </w:p>
    <w:p w14:paraId="20E3BAA8" w14:textId="41F342A3" w:rsidR="00D70377" w:rsidRPr="00D70377" w:rsidRDefault="00D70377" w:rsidP="004A391C">
      <w:r w:rsidRPr="00D70377">
        <w:t xml:space="preserve">Barker, K., Baker, M. and Watkins, A., 2021. In city after city, police mishandled </w:t>
      </w:r>
      <w:proofErr w:type="gramStart"/>
      <w:r w:rsidRPr="00D70377">
        <w:t>black lives matter</w:t>
      </w:r>
      <w:proofErr w:type="gramEnd"/>
      <w:r w:rsidRPr="00D70377">
        <w:t xml:space="preserve"> protests. The New York Times.</w:t>
      </w:r>
    </w:p>
    <w:p w14:paraId="077C0895" w14:textId="17D7CD7C" w:rsidR="00B74B9E" w:rsidRPr="00B74B9E" w:rsidRDefault="00B74B9E" w:rsidP="004A391C">
      <w:r w:rsidRPr="00B74B9E">
        <w:t>Bayliss, R. and Hurst, T., 2023. Major incidents. Anaesthesia &amp; Intensive Care Medicine.</w:t>
      </w:r>
    </w:p>
    <w:p w14:paraId="752155DB" w14:textId="65F320A8" w:rsidR="001B0117" w:rsidRDefault="001B0117" w:rsidP="004A391C">
      <w:proofErr w:type="spellStart"/>
      <w:r w:rsidRPr="001B0117">
        <w:t>Belur</w:t>
      </w:r>
      <w:proofErr w:type="spellEnd"/>
      <w:r w:rsidRPr="001B0117">
        <w:t>, J., Agnew-Pauley, W., McGinley, B. and Tompson, L., 2020. A systematic review of police recruit training programmes. Policing: A Journal of Policy and Practice, 14(1), pp.76-90.</w:t>
      </w:r>
    </w:p>
    <w:p w14:paraId="55F726E2" w14:textId="2E477544" w:rsidR="00A64A7B" w:rsidRDefault="00A64A7B" w:rsidP="004A391C">
      <w:r w:rsidRPr="00A64A7B">
        <w:t>Bennett, T. and Holloway, K., 2004. Gang membership, drugs and crime in the UK. British Journal of Criminology, 44(3), pp.305-323.</w:t>
      </w:r>
    </w:p>
    <w:p w14:paraId="383C8FD3" w14:textId="66132FE2" w:rsidR="00F33DA4" w:rsidRDefault="00F33DA4" w:rsidP="004A391C">
      <w:r w:rsidRPr="00F33DA4">
        <w:t>Bloch-Wehba, H., 2021. Visible policing: technology, transparency, and democratic control. Cal. L. Rev., 109, p.917.</w:t>
      </w:r>
    </w:p>
    <w:p w14:paraId="4D845377" w14:textId="7ED0E779" w:rsidR="00370CDD" w:rsidRDefault="00370CDD" w:rsidP="004A391C">
      <w:r w:rsidRPr="00370CDD">
        <w:t xml:space="preserve">Bright, D., Greenhill, C., Britz, T., Ritter, A. and </w:t>
      </w:r>
      <w:proofErr w:type="spellStart"/>
      <w:r w:rsidRPr="00370CDD">
        <w:t>Morselli</w:t>
      </w:r>
      <w:proofErr w:type="spellEnd"/>
      <w:r w:rsidRPr="00370CDD">
        <w:t>, C., 2017. Criminal network vulnerabilities and adaptations. Global Crime, 18(4), pp.424-441.</w:t>
      </w:r>
    </w:p>
    <w:p w14:paraId="265FB9C9" w14:textId="181ABF9E" w:rsidR="00370CDD" w:rsidRPr="001B0117" w:rsidRDefault="00370CDD" w:rsidP="004A391C">
      <w:r w:rsidRPr="00370CDD">
        <w:t xml:space="preserve">Calderoni, F., Comunale, T., </w:t>
      </w:r>
      <w:proofErr w:type="spellStart"/>
      <w:r w:rsidRPr="00370CDD">
        <w:t>Campedelli</w:t>
      </w:r>
      <w:proofErr w:type="spellEnd"/>
      <w:r w:rsidRPr="00370CDD">
        <w:t xml:space="preserve">, G.M., Marchesi, M., Manzi, D. and </w:t>
      </w:r>
      <w:proofErr w:type="spellStart"/>
      <w:r w:rsidRPr="00370CDD">
        <w:t>Frualdo</w:t>
      </w:r>
      <w:proofErr w:type="spellEnd"/>
      <w:r w:rsidRPr="00370CDD">
        <w:t>, N., 2022. Organized crime groups: A systematic review of individual</w:t>
      </w:r>
      <w:r w:rsidRPr="00370CDD">
        <w:rPr>
          <w:rFonts w:ascii="Cambria Math" w:hAnsi="Cambria Math" w:cs="Cambria Math"/>
        </w:rPr>
        <w:t>‐</w:t>
      </w:r>
      <w:r w:rsidRPr="00370CDD">
        <w:t>level risk factors related to recruitment. Campbell systematic reviews, 18(1), p.e1218.</w:t>
      </w:r>
    </w:p>
    <w:p w14:paraId="0FF6AA94" w14:textId="60337906" w:rsidR="00154B7D" w:rsidRPr="00154B7D" w:rsidRDefault="00154B7D" w:rsidP="004A391C">
      <w:r w:rsidRPr="00154B7D">
        <w:t>Campbell, F. and Valera, P., 2020. “The only thing new is the cameras”: A study of US college students’ perceptions of police violence on social media. Journal of Black Studies, 51(7), pp.654-670.</w:t>
      </w:r>
    </w:p>
    <w:p w14:paraId="1E9C86B7" w14:textId="172208E0" w:rsidR="004D2111" w:rsidRPr="004D2111" w:rsidRDefault="004D2111" w:rsidP="004A391C">
      <w:r w:rsidRPr="004D2111">
        <w:t xml:space="preserve">Carpenter, B., Tait, G., </w:t>
      </w:r>
      <w:proofErr w:type="spellStart"/>
      <w:r w:rsidRPr="004D2111">
        <w:t>Quadrelli</w:t>
      </w:r>
      <w:proofErr w:type="spellEnd"/>
      <w:r w:rsidRPr="004D2111">
        <w:t>, C. and Thompson, I., 2016. Investigating death: The emotional and cultural challenges for police. Policing and Society, 26(6), pp.698-712.</w:t>
      </w:r>
    </w:p>
    <w:p w14:paraId="68C87EA4" w14:textId="77BFE92D" w:rsidR="00154B7D" w:rsidRPr="00154B7D" w:rsidRDefault="00154B7D" w:rsidP="004A391C">
      <w:r w:rsidRPr="00154B7D">
        <w:lastRenderedPageBreak/>
        <w:t>Cartwright, A. and Shaw, C., 2020. Evidence based social media use: an exploratory UK investigation into residents’ perceptions of police Facebook use. Safer communities, 19(2), pp.61-71.</w:t>
      </w:r>
    </w:p>
    <w:p w14:paraId="0B440F3C" w14:textId="77777777" w:rsidR="004A391C" w:rsidRPr="00F4748A" w:rsidRDefault="004A391C" w:rsidP="004A391C">
      <w:r w:rsidRPr="00F4748A">
        <w:t xml:space="preserve">Chakraborty, A.T., McKenzie, K.J., Hajat, S. and </w:t>
      </w:r>
      <w:proofErr w:type="spellStart"/>
      <w:r w:rsidRPr="00F4748A">
        <w:t>Stansfeld</w:t>
      </w:r>
      <w:proofErr w:type="spellEnd"/>
      <w:r w:rsidRPr="00F4748A">
        <w:t>, S.A., 2010. Racism, mental illness and social support in the UK. Social psychiatry and psychiatric epidemiology, 45, pp.1115-1124.</w:t>
      </w:r>
    </w:p>
    <w:p w14:paraId="75848349" w14:textId="77777777" w:rsidR="004A391C" w:rsidRPr="00F56168" w:rsidRDefault="004A391C" w:rsidP="004A391C">
      <w:r w:rsidRPr="00F56168">
        <w:t>Cole, M., 2017. Racism in the UK: continuity and change. In Education, Equality and Human Rights (pp. 52-98). Routledge.</w:t>
      </w:r>
    </w:p>
    <w:p w14:paraId="2DE38278" w14:textId="6D9D0AA3" w:rsidR="006B6B68" w:rsidRDefault="006B6B68" w:rsidP="004A391C">
      <w:r w:rsidRPr="00F56168">
        <w:t>College of Policing: Definitions</w:t>
      </w:r>
      <w:r w:rsidR="001869CF">
        <w:t>, 2024</w:t>
      </w:r>
      <w:r w:rsidRPr="00F56168">
        <w:t xml:space="preserve">. Accessed from: </w:t>
      </w:r>
      <w:r w:rsidR="00C41B00" w:rsidRPr="00C41B00">
        <w:t>https://www.college.police.uk/app/civil-emergencies/disaster-victim-identification/definitions on 26/05/2024 at 21:36</w:t>
      </w:r>
    </w:p>
    <w:p w14:paraId="06F585BF" w14:textId="671B4845" w:rsidR="00C41B00" w:rsidRPr="00F56168" w:rsidRDefault="00C41B00" w:rsidP="004A391C">
      <w:r w:rsidRPr="00C41B00">
        <w:t>Cordner, G., 2017. Police culture: Individual and organizational differences in police officer perspectives. Policing: An International Journal of Police Strategies &amp; Management, 40(1), pp.11-25.</w:t>
      </w:r>
    </w:p>
    <w:p w14:paraId="5397868E" w14:textId="77777777" w:rsidR="004A391C" w:rsidRDefault="004A391C" w:rsidP="004A391C">
      <w:r w:rsidRPr="00F56168">
        <w:t>Correia, S.G., 2020, November. Patterns of online repeat victimisation and implications for crime prevention. In 2020 APWG Symposium on Electronic Crime Research (</w:t>
      </w:r>
      <w:proofErr w:type="spellStart"/>
      <w:r w:rsidRPr="00F56168">
        <w:t>eCrime</w:t>
      </w:r>
      <w:proofErr w:type="spellEnd"/>
      <w:r w:rsidRPr="00F56168">
        <w:t>) (pp. 1-11). IEEE.</w:t>
      </w:r>
    </w:p>
    <w:p w14:paraId="630CF964" w14:textId="79D47EFF" w:rsidR="001869CF" w:rsidRPr="00F56168" w:rsidRDefault="001869CF" w:rsidP="004A391C">
      <w:r w:rsidRPr="001869CF">
        <w:t>Crossland, D., Kneller, W. and Wilcock, R., 2020. Improving intoxicated witness recall with the Enhanced Cognitive Interview. Psychopharmacology, 237, pp.2213-2230.</w:t>
      </w:r>
    </w:p>
    <w:p w14:paraId="6F15B985" w14:textId="64F6C137" w:rsidR="001869CF" w:rsidRPr="001869CF" w:rsidRDefault="001869CF" w:rsidP="004A391C">
      <w:r w:rsidRPr="001869CF">
        <w:t>Dando, C., Wilcock, R. and Milne, R., 2008. The cognitive interview: Inexperienced police officers' perceptions of their witness/victim interviewing practices. Legal and Criminological Psychology, 13(1), pp.59-70.</w:t>
      </w:r>
    </w:p>
    <w:p w14:paraId="7711D32B" w14:textId="6DB428BE" w:rsidR="004A391C" w:rsidRDefault="00694B48" w:rsidP="004A391C">
      <w:r w:rsidRPr="00694B48">
        <w:t>Davidson, L., 2023. Working together during major incidents and emergencies: optimising interoperability using the social identity approach (Doctoral dissertation, University of Sussex).</w:t>
      </w:r>
    </w:p>
    <w:p w14:paraId="2D3AA468" w14:textId="544722EA" w:rsidR="00F4748A" w:rsidRPr="00694B48" w:rsidRDefault="00F4748A" w:rsidP="004A391C">
      <w:proofErr w:type="spellStart"/>
      <w:r w:rsidRPr="00F4748A">
        <w:t>Décary</w:t>
      </w:r>
      <w:proofErr w:type="spellEnd"/>
      <w:r w:rsidRPr="00F4748A">
        <w:t>-Hétu, D. and Dupont, B., 2013. Reputation in a dark network of online criminals. Global Crime, 14(2-3), pp.175-196.</w:t>
      </w:r>
    </w:p>
    <w:p w14:paraId="660790FD" w14:textId="77777777" w:rsidR="004A391C" w:rsidRPr="00370CDD" w:rsidRDefault="004A391C" w:rsidP="004A391C">
      <w:r w:rsidRPr="00370CDD">
        <w:t>De La Rue, L., Ortega, L. and Castro Rodriguez, G., 2023. System-based victim advocates identify resources and barriers to supporting crime victims. International review of victimology, 29(1), pp.16-26.</w:t>
      </w:r>
    </w:p>
    <w:p w14:paraId="295A2F88" w14:textId="252CC845" w:rsidR="00370CDD" w:rsidRPr="00370CDD" w:rsidRDefault="00370CDD" w:rsidP="004A391C">
      <w:r w:rsidRPr="00370CDD">
        <w:t xml:space="preserve">Densley, J.A., 2012. Street gang recruitment: </w:t>
      </w:r>
      <w:proofErr w:type="spellStart"/>
      <w:r w:rsidRPr="00370CDD">
        <w:t>Signaling</w:t>
      </w:r>
      <w:proofErr w:type="spellEnd"/>
      <w:r w:rsidRPr="00370CDD">
        <w:t>, screening, and selection. Social problems, 59(3), pp.301-321.</w:t>
      </w:r>
    </w:p>
    <w:p w14:paraId="1A2214D1" w14:textId="728E63F0" w:rsidR="008A4ED0" w:rsidRPr="008A4ED0" w:rsidRDefault="008A4ED0" w:rsidP="004A391C">
      <w:r w:rsidRPr="008A4ED0">
        <w:t xml:space="preserve">Dodier, O., Ginet, M., Teissedre, F., </w:t>
      </w:r>
      <w:proofErr w:type="spellStart"/>
      <w:r w:rsidRPr="008A4ED0">
        <w:t>Verkampt</w:t>
      </w:r>
      <w:proofErr w:type="spellEnd"/>
      <w:r w:rsidRPr="008A4ED0">
        <w:t>, F. and Fisher, R.P., 2021. Using the cognitive interview to recall real</w:t>
      </w:r>
      <w:r w:rsidRPr="008A4ED0">
        <w:rPr>
          <w:rFonts w:ascii="Cambria Math" w:hAnsi="Cambria Math" w:cs="Cambria Math"/>
        </w:rPr>
        <w:t>‐</w:t>
      </w:r>
      <w:r w:rsidRPr="008A4ED0">
        <w:t>world emotionally stressful experiences: Road accidents. Applied Cognitive Psychology, 35(4), pp.1099-1105.</w:t>
      </w:r>
    </w:p>
    <w:p w14:paraId="50C5172B" w14:textId="5550DC99" w:rsidR="00F33DA4" w:rsidRDefault="00F33DA4" w:rsidP="004A391C">
      <w:r w:rsidRPr="00F33DA4">
        <w:lastRenderedPageBreak/>
        <w:t>Ellis, J.R., 2023. Social media, police excessive force and the limits of outrage: Evaluating models of police scandal. Criminology &amp; Criminal Justice, 23(1), pp.117-134.</w:t>
      </w:r>
    </w:p>
    <w:p w14:paraId="3D160613" w14:textId="42468E3B" w:rsidR="00B74B9E" w:rsidRPr="00F33DA4" w:rsidRDefault="00B74B9E" w:rsidP="004A391C">
      <w:r w:rsidRPr="00B74B9E">
        <w:t>Eyre, M. and Alison, L., 2007. To decide or not to decide: decision making and decision avoidance in critical incidents. Applying psychology to criminal justice, pp.211-232.</w:t>
      </w:r>
    </w:p>
    <w:p w14:paraId="7DAE9288" w14:textId="77777777" w:rsidR="004A391C" w:rsidRPr="00571023" w:rsidRDefault="004A391C" w:rsidP="004A391C">
      <w:r w:rsidRPr="00571023">
        <w:t>Farrell, G. and Pease, K., 2013. Repeat victimisation. In Environmental criminology and crime analysis (pp. 139-157). Willan.</w:t>
      </w:r>
    </w:p>
    <w:p w14:paraId="51C41848" w14:textId="1834AAAA" w:rsidR="00D70377" w:rsidRPr="00D70377" w:rsidRDefault="00D70377" w:rsidP="004A391C">
      <w:r w:rsidRPr="00D70377">
        <w:t>Feuer, B.S., 2021. First responder peer support: An evidence-informed approach. Journal of police and criminal psychology, 36(3), pp.365-371.</w:t>
      </w:r>
    </w:p>
    <w:p w14:paraId="4CC1EBF6" w14:textId="5239E0B6" w:rsidR="00EB07EC" w:rsidRPr="00EB07EC" w:rsidRDefault="00EB07EC" w:rsidP="004A391C">
      <w:r w:rsidRPr="00EB07EC">
        <w:t>Fielding, N.G., 2023. Police culture and police practice. In Police Research (pp. 77-88). Routledge.</w:t>
      </w:r>
    </w:p>
    <w:p w14:paraId="59915AE4" w14:textId="4E07CEC1" w:rsidR="008A4ED0" w:rsidRDefault="008A4ED0" w:rsidP="004A391C">
      <w:r w:rsidRPr="008A4ED0">
        <w:t>Fisher, R.P., Geiselman, R.E. and Amador, M., 1989. Field test of the Cognitive Interview: enhancing the recollection of actual victims and witnesses of crime. Journal of Applied psychology, 74(5), p.722.</w:t>
      </w:r>
    </w:p>
    <w:p w14:paraId="5580D2F0" w14:textId="14489468" w:rsidR="00535793" w:rsidRDefault="00535793" w:rsidP="004A391C">
      <w:r w:rsidRPr="00535793">
        <w:t xml:space="preserve">Forsberg, L. and Douglas, T., 2022. What is criminal </w:t>
      </w:r>
      <w:proofErr w:type="gramStart"/>
      <w:r w:rsidRPr="00535793">
        <w:t>rehabilitation?.</w:t>
      </w:r>
      <w:proofErr w:type="gramEnd"/>
      <w:r w:rsidRPr="00535793">
        <w:t xml:space="preserve"> Criminal law and Philosophy, 16(1), pp.103-126.</w:t>
      </w:r>
    </w:p>
    <w:p w14:paraId="1EE3A342" w14:textId="21483A1F" w:rsidR="00E720DA" w:rsidRPr="008A4ED0" w:rsidRDefault="00E720DA" w:rsidP="004A391C">
      <w:proofErr w:type="spellStart"/>
      <w:r w:rsidRPr="00E720DA">
        <w:t>Gallupe</w:t>
      </w:r>
      <w:proofErr w:type="spellEnd"/>
      <w:r w:rsidRPr="00E720DA">
        <w:t>, O. and Gravel, J., 2018. Social network position of gang members in schools: Implications for recruitment and gang prevention. Justice Quarterly, 35(3), pp.505-525.</w:t>
      </w:r>
    </w:p>
    <w:p w14:paraId="469A8519" w14:textId="77777777" w:rsidR="004A391C" w:rsidRPr="00E720DA" w:rsidRDefault="004A391C" w:rsidP="004A391C">
      <w:r w:rsidRPr="00E720DA">
        <w:t xml:space="preserve">Geurts, R., 2023. Identifying repeat victims: The utility of police data (Doctoral dissertation, </w:t>
      </w:r>
      <w:proofErr w:type="spellStart"/>
      <w:r w:rsidRPr="00E720DA">
        <w:t>Sl</w:t>
      </w:r>
      <w:proofErr w:type="spellEnd"/>
      <w:r w:rsidRPr="00E720DA">
        <w:t xml:space="preserve">: </w:t>
      </w:r>
      <w:proofErr w:type="spellStart"/>
      <w:r w:rsidRPr="00E720DA">
        <w:t>sn</w:t>
      </w:r>
      <w:proofErr w:type="spellEnd"/>
      <w:r w:rsidRPr="00E720DA">
        <w:t>).</w:t>
      </w:r>
    </w:p>
    <w:p w14:paraId="28AB05E8" w14:textId="6BA3A8C7" w:rsidR="008A4ED0" w:rsidRPr="008A4ED0" w:rsidRDefault="008A4ED0" w:rsidP="004A391C">
      <w:r w:rsidRPr="008A4ED0">
        <w:t xml:space="preserve">Goodman-Delahunty, J., </w:t>
      </w:r>
      <w:proofErr w:type="spellStart"/>
      <w:r w:rsidRPr="008A4ED0">
        <w:t>Martschuk</w:t>
      </w:r>
      <w:proofErr w:type="spellEnd"/>
      <w:r w:rsidRPr="008A4ED0">
        <w:t>, N., Hale, S.B. and Brandon, S.E., 2020. Interpreted police interviews: A review of contemporary research. Advances in Psychology and Law: Volume 5, pp.83-136.</w:t>
      </w:r>
    </w:p>
    <w:p w14:paraId="3467431E" w14:textId="17943E17" w:rsidR="00694B48" w:rsidRPr="00694B48" w:rsidRDefault="00694B48" w:rsidP="004A391C">
      <w:r w:rsidRPr="00694B48">
        <w:t>Grieve, J., Crego, J. and Griffiths, B., 2012. Critical incidents: Investigation, management and training. In Handbook of Criminal Investigation (pp. 598-611). Willan.</w:t>
      </w:r>
    </w:p>
    <w:p w14:paraId="30F0F46A" w14:textId="77777777" w:rsidR="004A391C" w:rsidRDefault="004A391C" w:rsidP="004A391C">
      <w:r w:rsidRPr="00E720DA">
        <w:t xml:space="preserve">Guay, S., Beaulieu-Prévost, D., Sader, J. and Marchand, A., 2019. A systematic literature review of early posttraumatic interventions for victims of violent crime. Aggression and violent </w:t>
      </w:r>
      <w:proofErr w:type="spellStart"/>
      <w:r w:rsidRPr="00E720DA">
        <w:t>behavior</w:t>
      </w:r>
      <w:proofErr w:type="spellEnd"/>
      <w:r w:rsidRPr="00E720DA">
        <w:t>, 46, pp.15-24.</w:t>
      </w:r>
    </w:p>
    <w:p w14:paraId="63DF0B6A" w14:textId="67295994" w:rsidR="00571023" w:rsidRPr="00E720DA" w:rsidRDefault="00571023" w:rsidP="004A391C">
      <w:r w:rsidRPr="00571023">
        <w:t xml:space="preserve">Gwata, D., </w:t>
      </w:r>
      <w:proofErr w:type="spellStart"/>
      <w:r w:rsidRPr="00571023">
        <w:t>Ventriglio</w:t>
      </w:r>
      <w:proofErr w:type="spellEnd"/>
      <w:r w:rsidRPr="00571023">
        <w:t>, A., Hughes, P. and Deahl, M., 2024. Structural inequalities, knife crime: A qualitative study. International journal of social psychiatry, p.00207640231221092.</w:t>
      </w:r>
    </w:p>
    <w:p w14:paraId="0B08DD94" w14:textId="539CFB11" w:rsidR="00E720DA" w:rsidRPr="00E720DA" w:rsidRDefault="00E720DA" w:rsidP="004A391C">
      <w:r w:rsidRPr="00E720DA">
        <w:t>Haddock, E., 2011. Perceptions and risk factors of gang association in a UK sample (Doctoral dissertation, University of Birmingham).</w:t>
      </w:r>
    </w:p>
    <w:p w14:paraId="6C2336A0" w14:textId="58CB3619" w:rsidR="001869CF" w:rsidRPr="001869CF" w:rsidRDefault="001869CF" w:rsidP="004A391C">
      <w:r w:rsidRPr="001869CF">
        <w:lastRenderedPageBreak/>
        <w:t xml:space="preserve">Hanway, P., Akehurst, L., </w:t>
      </w:r>
      <w:proofErr w:type="spellStart"/>
      <w:r w:rsidRPr="001869CF">
        <w:t>Vernham</w:t>
      </w:r>
      <w:proofErr w:type="spellEnd"/>
      <w:r w:rsidRPr="001869CF">
        <w:t>, Z. and Hope, L., 2021. The effects of cognitive load during an investigative interviewing task on mock interviewers’ recall of information. Legal and Criminological Psychology, 26(1), pp.25-41.</w:t>
      </w:r>
    </w:p>
    <w:p w14:paraId="26EDF9E5" w14:textId="214097AE" w:rsidR="008A4ED0" w:rsidRPr="008A4ED0" w:rsidRDefault="008A4ED0" w:rsidP="004A391C">
      <w:r w:rsidRPr="008A4ED0">
        <w:t>Hauptmann, B. and Karni, A., 2002. From primed to learn: the saturation of repetition priming and the induction of long-term memory. Cognitive Brain Research, 13(3), pp.313-322.</w:t>
      </w:r>
    </w:p>
    <w:p w14:paraId="63643A58" w14:textId="77777777" w:rsidR="001869CF" w:rsidRDefault="00154B7D" w:rsidP="004A391C">
      <w:r w:rsidRPr="00154B7D">
        <w:t>Hill, S., Giles, H. and Maguire, E.R., 2021. VOICES: A theory-driven intervention for improving relationships between police and the public. Policing: An International Journal, 44(5), pp.786-799.</w:t>
      </w:r>
    </w:p>
    <w:p w14:paraId="22B3A0C2" w14:textId="4E43F880" w:rsidR="001869CF" w:rsidRDefault="001869CF" w:rsidP="004A391C">
      <w:proofErr w:type="spellStart"/>
      <w:r w:rsidRPr="001869CF">
        <w:t>Hoogesteyn</w:t>
      </w:r>
      <w:proofErr w:type="spellEnd"/>
      <w:r w:rsidRPr="001869CF">
        <w:t>, K., Meijer, E. and Vrij, A., 2020. Utility and effectiveness of the context manipulation techniques: police investigators’ perspectives. Journal of Police and Criminal Psychology, pp.1-8.</w:t>
      </w:r>
    </w:p>
    <w:p w14:paraId="6B844BF9" w14:textId="483ADC9B" w:rsidR="00F4748A" w:rsidRDefault="00F4748A" w:rsidP="004A391C">
      <w:r w:rsidRPr="00F4748A">
        <w:t xml:space="preserve">Howard, R.C., 2011. The quest for excitement: A missing link between personality disorder and </w:t>
      </w:r>
      <w:proofErr w:type="gramStart"/>
      <w:r w:rsidRPr="00F4748A">
        <w:t>violence?.</w:t>
      </w:r>
      <w:proofErr w:type="gramEnd"/>
      <w:r w:rsidRPr="00F4748A">
        <w:t xml:space="preserve"> Journal of Forensic Psychiatry &amp; Psychology, 22(5), pp.692-705.</w:t>
      </w:r>
    </w:p>
    <w:p w14:paraId="23946B74" w14:textId="24152A73" w:rsidR="00154B7D" w:rsidRDefault="00154B7D" w:rsidP="004A391C">
      <w:r w:rsidRPr="00154B7D">
        <w:t>Intravia, J., Thompson, A.J. and Pickett, J.T., 2020. Net legitimacy: Internet and social media exposure and attitudes toward the police. Sociological Spectrum, 40(1), pp.58-80.</w:t>
      </w:r>
    </w:p>
    <w:p w14:paraId="0531C572" w14:textId="48FE4E3C" w:rsidR="000F4BCA" w:rsidRDefault="000F4BCA" w:rsidP="004A391C">
      <w:r w:rsidRPr="000F4BCA">
        <w:t>Jackson, J., 2009. A psychological perspective on vulnerability in the fear of crime. Psychology, Crime &amp; Law, 15(4), pp.365-390.</w:t>
      </w:r>
    </w:p>
    <w:p w14:paraId="31F19F26" w14:textId="5DFC1CA5" w:rsidR="008A4ED0" w:rsidRPr="00154B7D" w:rsidRDefault="008A4ED0" w:rsidP="004A391C">
      <w:r w:rsidRPr="008A4ED0">
        <w:t>Jakobsen, K.K., Langballe, Å. and Schultz, J.H., 2017. Trauma-exposed young victims: possibilities and constraints for providing trauma support within the investigative interview. Psychology, Crime &amp; Law, 23(5), pp.427-444.</w:t>
      </w:r>
    </w:p>
    <w:p w14:paraId="09094BE4" w14:textId="48B57D0D" w:rsidR="00EE1DDB" w:rsidRPr="00571023" w:rsidRDefault="00EE1DDB" w:rsidP="004A391C">
      <w:r w:rsidRPr="00571023">
        <w:t>JESIP; Major Incidents. Accessed from: https://www.jesip.org.uk/webapp/major.html on 26/05/2024 at 20:51</w:t>
      </w:r>
    </w:p>
    <w:p w14:paraId="43D9991B" w14:textId="56272BFC" w:rsidR="00882037" w:rsidRDefault="00882037" w:rsidP="004A391C">
      <w:r w:rsidRPr="00882037">
        <w:t>Kelly, C.E., Dawson, E. and Hartwig, M., 2021. Context manipulation in police interviews: a field experiment. Journal of Experimental Criminology, 17, pp.67-86.</w:t>
      </w:r>
    </w:p>
    <w:p w14:paraId="4ED60181" w14:textId="1F8BF702" w:rsidR="001869CF" w:rsidRPr="00882037" w:rsidRDefault="001869CF" w:rsidP="004A391C">
      <w:bookmarkStart w:id="0" w:name="_Hlk167717398"/>
      <w:proofErr w:type="spellStart"/>
      <w:r w:rsidRPr="001869CF">
        <w:t>Köhnken</w:t>
      </w:r>
      <w:proofErr w:type="spellEnd"/>
      <w:r w:rsidRPr="001869CF">
        <w:t>, G., Milne, R., Memon, A. and Bull</w:t>
      </w:r>
      <w:bookmarkEnd w:id="0"/>
      <w:r w:rsidRPr="001869CF">
        <w:t>, R., 1999. The cognitive interview: A meta-analysis. Psychology, crime and law, 5(1-2), pp.3-27.</w:t>
      </w:r>
    </w:p>
    <w:p w14:paraId="728C44A5" w14:textId="5F26C80C" w:rsidR="00D70377" w:rsidRPr="00D70377" w:rsidRDefault="00D70377" w:rsidP="004A391C">
      <w:r w:rsidRPr="00D70377">
        <w:t>Lacoe, J. and Stein, J., 2018. Exploring the policy implications of high-profile police violence. Criminology &amp; Public Policy, 17(4), pp.859-863.</w:t>
      </w:r>
    </w:p>
    <w:p w14:paraId="78570381" w14:textId="351FB921" w:rsidR="000565A7" w:rsidRDefault="000565A7" w:rsidP="004A391C">
      <w:proofErr w:type="spellStart"/>
      <w:r w:rsidRPr="000565A7">
        <w:t>Laufs</w:t>
      </w:r>
      <w:proofErr w:type="spellEnd"/>
      <w:r w:rsidRPr="000565A7">
        <w:t>, J. and Waseem, Z., 2020. Policing in pandemics: A systematic review and best practices for police response to COVID-19. International journal of disaster risk reduction, 51, p.101812.</w:t>
      </w:r>
    </w:p>
    <w:p w14:paraId="10122041" w14:textId="3D935A34" w:rsidR="008A4ED0" w:rsidRDefault="008A4ED0" w:rsidP="004A391C">
      <w:r w:rsidRPr="008A4ED0">
        <w:t>Launay, C., Brunel, M. and Bull, R., 2022. What do police interview eyewitnesses for? A review. Policing: A Journal of Policy and Practice, 16(4), pp.602-614.</w:t>
      </w:r>
    </w:p>
    <w:p w14:paraId="352A7F41" w14:textId="61D354D8" w:rsidR="00B74B9E" w:rsidRDefault="00B74B9E" w:rsidP="004A391C">
      <w:r w:rsidRPr="00B74B9E">
        <w:lastRenderedPageBreak/>
        <w:t>Lennquist, S., 2013. Response to major incidents and disasters: an important part of trauma management. In General Trauma Care and Related Aspects: Trauma Surgery II (pp. 31-68). Berlin, Heidelberg: Springer Berlin Heidelberg.</w:t>
      </w:r>
    </w:p>
    <w:p w14:paraId="1C10A86D" w14:textId="2C3391EE" w:rsidR="00F4748A" w:rsidRPr="000565A7" w:rsidRDefault="00F4748A" w:rsidP="004A391C">
      <w:r w:rsidRPr="00F4748A">
        <w:t>Lofstrom, M. and Raphael, S., 2016. Crime, the criminal justice system, and socioeconomic inequality. Journal of Economic Perspectives, 30(2), pp.103-126.</w:t>
      </w:r>
    </w:p>
    <w:p w14:paraId="43A2714F" w14:textId="585553CD" w:rsidR="00F56168" w:rsidRDefault="00F56168" w:rsidP="004A391C">
      <w:r w:rsidRPr="00F56168">
        <w:t>Lopez, A.J., 2023. Personality and Demographic Predictors of Attitudes Towards the Police (Doctoral dissertation, Alliant International University).</w:t>
      </w:r>
    </w:p>
    <w:p w14:paraId="26D16228" w14:textId="0CC3499B" w:rsidR="00F4748A" w:rsidRPr="00F56168" w:rsidRDefault="00F4748A" w:rsidP="004A391C">
      <w:r w:rsidRPr="00F4748A">
        <w:t xml:space="preserve">Lynam, D.R., Caspi, A., Moffit, T.E., Wikström, P.O., Loeber, R. and Novak, S., 2000. The interaction between impulsivity and </w:t>
      </w:r>
      <w:proofErr w:type="spellStart"/>
      <w:r w:rsidRPr="00F4748A">
        <w:t>neighborhood</w:t>
      </w:r>
      <w:proofErr w:type="spellEnd"/>
      <w:r w:rsidRPr="00F4748A">
        <w:t xml:space="preserve"> context on offending: the effects of impulsivity are stronger in poorer </w:t>
      </w:r>
      <w:proofErr w:type="spellStart"/>
      <w:r w:rsidRPr="00F4748A">
        <w:t>neighborhoods</w:t>
      </w:r>
      <w:proofErr w:type="spellEnd"/>
      <w:r w:rsidRPr="00F4748A">
        <w:t>. Journal of abnormal psychology, 109(4), p.563.</w:t>
      </w:r>
    </w:p>
    <w:p w14:paraId="788DE83F" w14:textId="3D00759D" w:rsidR="008A4ED0" w:rsidRPr="008A4ED0" w:rsidRDefault="008A4ED0" w:rsidP="004A391C">
      <w:r w:rsidRPr="008A4ED0">
        <w:t>Maras, K.L. and Bowler, D.M., 2010. The cognitive interview for eyewitnesses with autism spectrum disorder. Journal of Autism and Developmental Disorders, 40, pp.1350-1360.</w:t>
      </w:r>
    </w:p>
    <w:p w14:paraId="5731EB11" w14:textId="003A4AA9" w:rsidR="00882037" w:rsidRDefault="00882037" w:rsidP="004A391C">
      <w:proofErr w:type="spellStart"/>
      <w:r w:rsidRPr="00882037">
        <w:t>Mcleod</w:t>
      </w:r>
      <w:proofErr w:type="spellEnd"/>
      <w:r w:rsidRPr="00882037">
        <w:t>, S., 2022. Cognitive Interview Technique. Simply Psychology, November.</w:t>
      </w:r>
    </w:p>
    <w:p w14:paraId="55D12E91" w14:textId="09DAB59A" w:rsidR="008A4ED0" w:rsidRDefault="008A4ED0" w:rsidP="004A391C">
      <w:r w:rsidRPr="008A4ED0">
        <w:t>Meissner, C.A., 2021. “What works?” Systematic reviews and m eta</w:t>
      </w:r>
      <w:r w:rsidRPr="008A4ED0">
        <w:rPr>
          <w:rFonts w:ascii="Cambria Math" w:hAnsi="Cambria Math" w:cs="Cambria Math"/>
        </w:rPr>
        <w:t>‐</w:t>
      </w:r>
      <w:r w:rsidRPr="008A4ED0">
        <w:t>analyses of the investigative interviewing research literature. Applied Cognitive Psychology, 35(2), pp.322-328.</w:t>
      </w:r>
    </w:p>
    <w:p w14:paraId="0DA3ADFF" w14:textId="36EC3C0A" w:rsidR="001869CF" w:rsidRPr="00882037" w:rsidRDefault="001869CF" w:rsidP="004A391C">
      <w:r w:rsidRPr="001869CF">
        <w:t xml:space="preserve">Memon, A., Holley, A., Milne, R., </w:t>
      </w:r>
      <w:proofErr w:type="spellStart"/>
      <w:r w:rsidRPr="001869CF">
        <w:t>Koehnken</w:t>
      </w:r>
      <w:proofErr w:type="spellEnd"/>
      <w:r w:rsidRPr="001869CF">
        <w:t>, G. and Bull, R., 1994. Towards understanding the effects of interviewer training in evaluating the cognitive interview. Applied Cognitive Psychology, 8(7), pp.641-659.</w:t>
      </w:r>
    </w:p>
    <w:p w14:paraId="56843C75" w14:textId="2686323B" w:rsidR="00694B48" w:rsidRPr="00694B48" w:rsidRDefault="00694B48" w:rsidP="004A391C">
      <w:r w:rsidRPr="00694B48">
        <w:t>Mishra, J.L., Allen, D.K. and Pearman, A.D., 2011. Information sharing during multi</w:t>
      </w:r>
      <w:r w:rsidRPr="00694B48">
        <w:rPr>
          <w:rFonts w:ascii="Cambria Math" w:hAnsi="Cambria Math" w:cs="Cambria Math"/>
        </w:rPr>
        <w:t>‐</w:t>
      </w:r>
      <w:r w:rsidRPr="00694B48">
        <w:t>agency major incidents. Proceedings of the American Society for Information Science and Technology, 48(1), pp.1-10.</w:t>
      </w:r>
    </w:p>
    <w:p w14:paraId="67A75610" w14:textId="341C9088" w:rsidR="00F33DA4" w:rsidRDefault="00F33DA4" w:rsidP="004A391C">
      <w:r w:rsidRPr="00F33DA4">
        <w:t>Morgan, R., 2023. ‘Policing by consent’: legitimating the doctrine. In Coming to terms with policing (pp. 217-234). Routledge.</w:t>
      </w:r>
    </w:p>
    <w:p w14:paraId="798F25FD" w14:textId="78D9FD4D" w:rsidR="00D33944" w:rsidRDefault="00D33944" w:rsidP="004A391C">
      <w:r w:rsidRPr="00D33944">
        <w:t>Morgan, R.D., Scanlon, F. and Van Horn, S.A., 2020. Criminogenic risk and mental health: A complicated relationship. CNS spectrums, 25(2), pp.237-244.</w:t>
      </w:r>
    </w:p>
    <w:p w14:paraId="3DA606B4" w14:textId="2CC66796" w:rsidR="001869CF" w:rsidRPr="00F33DA4" w:rsidRDefault="001869CF" w:rsidP="004A391C">
      <w:r w:rsidRPr="001869CF">
        <w:t>Mount, D. and Mazerolle, L., 2021. Acquiring core investigative interviewing skills in police academy training. Policing: A Journal of Policy and Practice, 15(3), pp.1773-1789.</w:t>
      </w:r>
    </w:p>
    <w:p w14:paraId="0C83FCE5" w14:textId="007BBC21" w:rsidR="001869CF" w:rsidRDefault="001869CF" w:rsidP="004A391C">
      <w:r w:rsidRPr="001869CF">
        <w:t>Murphy, D., 2018. Interviewing individuals with an autism spectrum disorder in forensic settings. International Journal of Forensic Mental Health, 17(4), pp.310-320.</w:t>
      </w:r>
    </w:p>
    <w:p w14:paraId="402279D3" w14:textId="4EBEFAAB" w:rsidR="00370CDD" w:rsidRDefault="00370CDD" w:rsidP="004A391C">
      <w:proofErr w:type="spellStart"/>
      <w:r w:rsidRPr="00370CDD">
        <w:t>Nepryakhin</w:t>
      </w:r>
      <w:proofErr w:type="spellEnd"/>
      <w:r w:rsidRPr="00370CDD">
        <w:t>, N., 2019. Classification of vulnerability factors in the process of psychological manipulation. In International Conference on the Advanced Research in Social Science.</w:t>
      </w:r>
    </w:p>
    <w:p w14:paraId="56059AAD" w14:textId="7ABC6F57" w:rsidR="001869CF" w:rsidRPr="001869CF" w:rsidRDefault="001869CF" w:rsidP="004A391C">
      <w:proofErr w:type="spellStart"/>
      <w:r w:rsidRPr="001869CF">
        <w:lastRenderedPageBreak/>
        <w:t>Newiss</w:t>
      </w:r>
      <w:proofErr w:type="spellEnd"/>
      <w:r w:rsidRPr="001869CF">
        <w:t>, G., Charman, S., Ilett, C., Bennett, S., Ghaemmaghami, A., Smith, P. and Inkpen, R., 2022. Taking the strain? Police well-being in the COVID-19 era. The Police Journal, 95(1), pp.88-108.</w:t>
      </w:r>
    </w:p>
    <w:p w14:paraId="1A024173" w14:textId="5F7AD58D" w:rsidR="00F33DA4" w:rsidRPr="00F33DA4" w:rsidRDefault="00F33DA4" w:rsidP="004A391C">
      <w:proofErr w:type="spellStart"/>
      <w:r w:rsidRPr="00F33DA4">
        <w:t>Obasogie</w:t>
      </w:r>
      <w:proofErr w:type="spellEnd"/>
      <w:r w:rsidRPr="00F33DA4">
        <w:t>, O.K., 2020. More than bias: How law produces police violence. BUL Rev., 100, p.771.</w:t>
      </w:r>
    </w:p>
    <w:p w14:paraId="791702BD" w14:textId="57AE560C" w:rsidR="00B74B9E" w:rsidRPr="00B74B9E" w:rsidRDefault="00B74B9E" w:rsidP="004A391C">
      <w:r w:rsidRPr="00B74B9E">
        <w:t xml:space="preserve">Pais, L.G. and Felgueiras, S., 2016. Police decision-making at major events: a research programme. Eur. Police Sci. &amp; </w:t>
      </w:r>
      <w:proofErr w:type="spellStart"/>
      <w:r w:rsidRPr="00B74B9E">
        <w:t>Rsch</w:t>
      </w:r>
      <w:proofErr w:type="spellEnd"/>
      <w:r w:rsidRPr="00B74B9E">
        <w:t>. Bull., 15, p.67.</w:t>
      </w:r>
    </w:p>
    <w:p w14:paraId="4AD240E6" w14:textId="0FA97199" w:rsidR="00154B7D" w:rsidRPr="00154B7D" w:rsidRDefault="00154B7D" w:rsidP="004A391C">
      <w:proofErr w:type="spellStart"/>
      <w:r w:rsidRPr="00154B7D">
        <w:t>Péloquin</w:t>
      </w:r>
      <w:proofErr w:type="spellEnd"/>
      <w:r w:rsidRPr="00154B7D">
        <w:t>, O., Fortin, F. and Paquette, S., 2022. Examining negative online social reaction to police use of force: The George Floyd and Jacob Blake events. Canadian journal of criminology and criminal justice, 64(1), pp.53-81.</w:t>
      </w:r>
    </w:p>
    <w:p w14:paraId="182B92DD" w14:textId="77777777" w:rsidR="004A391C" w:rsidRPr="00F4748A" w:rsidRDefault="004A391C" w:rsidP="004A391C">
      <w:r w:rsidRPr="00F4748A">
        <w:t>Peterson, J.K. and Silver, R.C., 2017. Developing an understanding of victims and violent offenders: The impact of fostering empathy. Journal of interpersonal violence, 32(3), pp.399-422.</w:t>
      </w:r>
    </w:p>
    <w:p w14:paraId="581F23D8" w14:textId="0EDB2F8B" w:rsidR="00D70377" w:rsidRPr="00D70377" w:rsidRDefault="00D70377" w:rsidP="004A391C">
      <w:r w:rsidRPr="00D70377">
        <w:t>Phung, V.H., Trueman, I., Togher, F., Orner, R. and Siriwardena, A.N., 2017. Community first responders and responder schemes in the United Kingdom: systematic scoping review. Scandinavian journal of trauma, resuscitation and emergency medicine, 25, pp.1-9.</w:t>
      </w:r>
    </w:p>
    <w:p w14:paraId="13569607" w14:textId="6C46D0BA" w:rsidR="001B0117" w:rsidRPr="001B0117" w:rsidRDefault="001B0117" w:rsidP="004A391C">
      <w:r w:rsidRPr="001B0117">
        <w:t xml:space="preserve">Pickering, S., </w:t>
      </w:r>
      <w:proofErr w:type="spellStart"/>
      <w:r w:rsidRPr="001B0117">
        <w:t>Dorussen</w:t>
      </w:r>
      <w:proofErr w:type="spellEnd"/>
      <w:r w:rsidRPr="001B0117">
        <w:t>, H., Hansen, M.E., Reifler, J., Scotto, T., Sunahara, Y. and Yen, D., 2024. London, you have a problem with women: trust towards the police in England. Policing and Society, pp.1-16.</w:t>
      </w:r>
    </w:p>
    <w:p w14:paraId="031FD248" w14:textId="4F9877B5" w:rsidR="00F33DA4" w:rsidRPr="00F33DA4" w:rsidRDefault="00F33DA4" w:rsidP="004A391C">
      <w:r w:rsidRPr="00F33DA4">
        <w:t>Ralph, L., Jones, M., Rowe, M. and Millie, A., 2022. Maintaining police-citizen relations on social media during the COVID-19 pandemic. Policing and Society, 32(6), pp.764-777.</w:t>
      </w:r>
    </w:p>
    <w:p w14:paraId="21881756" w14:textId="50434602" w:rsidR="00B74B9E" w:rsidRPr="00B74B9E" w:rsidRDefault="00B74B9E" w:rsidP="004A391C">
      <w:r w:rsidRPr="00B74B9E">
        <w:t>Roach, J., 2023. Human and police decision-making. In Practical Psychology for Policing (pp. 28-44). Policy Press.</w:t>
      </w:r>
    </w:p>
    <w:p w14:paraId="7CF91469" w14:textId="7EDA4D0B" w:rsidR="00B74B9E" w:rsidRDefault="00B74B9E" w:rsidP="004A391C">
      <w:r w:rsidRPr="00B74B9E">
        <w:t>Russell, R.J., 2000. The approach to a major incident. BMJ Military Health, 146(1), p.8.</w:t>
      </w:r>
    </w:p>
    <w:p w14:paraId="6E69CFEF" w14:textId="54E002C5" w:rsidR="00535793" w:rsidRPr="00B74B9E" w:rsidRDefault="00535793" w:rsidP="004A391C">
      <w:proofErr w:type="spellStart"/>
      <w:r w:rsidRPr="00535793">
        <w:t>Sarı</w:t>
      </w:r>
      <w:proofErr w:type="spellEnd"/>
      <w:r w:rsidRPr="00535793">
        <w:t>, M., 2020. Rehabilitation of Children Working on the Street. In Global Street Economy and Micro Entrepreneurship (pp. 97-99). Emerald Publishing Limited.</w:t>
      </w:r>
    </w:p>
    <w:p w14:paraId="2EDCE48D" w14:textId="78E91D52" w:rsidR="00E00B16" w:rsidRDefault="00E00B16" w:rsidP="004A391C">
      <w:r w:rsidRPr="00E00B16">
        <w:t>Schaap, D., 2021. Police trust-building strategies. A socio-institutional, comparative approach. Policing and society, 31(3), pp.304-320.</w:t>
      </w:r>
    </w:p>
    <w:p w14:paraId="3F8D5D55" w14:textId="5C0B1333" w:rsidR="00571023" w:rsidRPr="00E00B16" w:rsidRDefault="00571023" w:rsidP="004A391C">
      <w:proofErr w:type="spellStart"/>
      <w:r w:rsidRPr="00571023">
        <w:t>Shankley</w:t>
      </w:r>
      <w:proofErr w:type="spellEnd"/>
      <w:r w:rsidRPr="00571023">
        <w:t>, W. and Williams, P., 2020. Minority ethnic groups, policing and the criminal justice system in Britain. Ethnicity, Race and Inequality in the UK, p.51.</w:t>
      </w:r>
    </w:p>
    <w:p w14:paraId="545E6703" w14:textId="65937C9B" w:rsidR="00154B7D" w:rsidRDefault="00154B7D" w:rsidP="004A391C">
      <w:r w:rsidRPr="00154B7D">
        <w:t>Shearer, E. and Mitchell, A., 2021. News use across social media platforms in 2020.</w:t>
      </w:r>
    </w:p>
    <w:p w14:paraId="7E29E5A9" w14:textId="37169AAF" w:rsidR="00B74B9E" w:rsidRPr="00154B7D" w:rsidRDefault="00B74B9E" w:rsidP="004A391C">
      <w:r w:rsidRPr="00B74B9E">
        <w:lastRenderedPageBreak/>
        <w:t xml:space="preserve">Sheehan, D.C., Everly Jr, G.S. and </w:t>
      </w:r>
      <w:proofErr w:type="spellStart"/>
      <w:r w:rsidRPr="00B74B9E">
        <w:t>Langlieb</w:t>
      </w:r>
      <w:proofErr w:type="spellEnd"/>
      <w:r w:rsidRPr="00B74B9E">
        <w:t>, A., 2004. Current Best Practice: Coping with Major Critical Incidents. FBI L. Enforcement Bull., 73, p.1.</w:t>
      </w:r>
    </w:p>
    <w:p w14:paraId="61601BC7" w14:textId="4164994A" w:rsidR="00F56168" w:rsidRDefault="00F56168" w:rsidP="004A391C">
      <w:r w:rsidRPr="00F56168">
        <w:t>Smith, G., 2004. Rethinking police complaints. British journal of criminology, 44(1), pp.15-33.</w:t>
      </w:r>
    </w:p>
    <w:p w14:paraId="050ACF70" w14:textId="50D2F778" w:rsidR="00F4748A" w:rsidRPr="00F56168" w:rsidRDefault="00F4748A" w:rsidP="004A391C">
      <w:r w:rsidRPr="00F4748A">
        <w:t>Smith, I.D., 2007. Being tough on the causes of crime: Tackling family breakdown to prevent youth crime. Social Justice Challenge, pp.1-15.</w:t>
      </w:r>
    </w:p>
    <w:p w14:paraId="150949E7" w14:textId="34161524" w:rsidR="00B74B9E" w:rsidRPr="00B74B9E" w:rsidRDefault="00B74B9E" w:rsidP="004A391C">
      <w:r w:rsidRPr="00B74B9E">
        <w:t>Sørensen, L.N., Olesen, K.H., Midtgaard, C.D. and Willert, M.V., 2022. Risk of post-traumatic stress disorder following major disasters and critical incidents in police officers—a systematic review. Journal of police and criminal psychology, 37(4), pp.752-768.</w:t>
      </w:r>
    </w:p>
    <w:p w14:paraId="6CBE7AF4" w14:textId="77777777" w:rsidR="004A391C" w:rsidRPr="00F56168" w:rsidRDefault="004A391C" w:rsidP="004A391C">
      <w:r w:rsidRPr="00F56168">
        <w:t>Spalek, B., 2017. Crime victims: Theory, policy and practice. Bloomsbury Publishing.</w:t>
      </w:r>
    </w:p>
    <w:p w14:paraId="3305D519" w14:textId="47753DD9" w:rsidR="00F33DA4" w:rsidRDefault="00F33DA4" w:rsidP="004A391C">
      <w:r w:rsidRPr="00F33DA4">
        <w:t>Wall, T., 2020. The police invention of humanity: Notes on the “thin blue line”. Crime, Media, Culture, 16(3), pp.319-336.</w:t>
      </w:r>
    </w:p>
    <w:p w14:paraId="60A0EDED" w14:textId="5C4A3DF4" w:rsidR="00370CDD" w:rsidRPr="00F33DA4" w:rsidRDefault="00370CDD" w:rsidP="004A391C">
      <w:r w:rsidRPr="00370CDD">
        <w:t xml:space="preserve">Weisburd, D., Savona, E.U., </w:t>
      </w:r>
      <w:proofErr w:type="spellStart"/>
      <w:r w:rsidRPr="00370CDD">
        <w:t>Hasisi</w:t>
      </w:r>
      <w:proofErr w:type="spellEnd"/>
      <w:r w:rsidRPr="00370CDD">
        <w:t>, B. and Calderoni, F. eds., 2020. Understanding recruitment to organized crime and terrorism. Berlin: Springer.</w:t>
      </w:r>
    </w:p>
    <w:p w14:paraId="33DC1B27" w14:textId="2CF1D187" w:rsidR="00F56168" w:rsidRDefault="00F56168" w:rsidP="004A391C">
      <w:proofErr w:type="spellStart"/>
      <w:r w:rsidRPr="00F56168">
        <w:t>Westmarland</w:t>
      </w:r>
      <w:proofErr w:type="spellEnd"/>
      <w:r w:rsidRPr="00F56168">
        <w:t xml:space="preserve">, L. and Conway, S., 2020. Police ethics and integrity: Keeping the ‘blue </w:t>
      </w:r>
      <w:proofErr w:type="spellStart"/>
      <w:r w:rsidRPr="00F56168">
        <w:t>code’of</w:t>
      </w:r>
      <w:proofErr w:type="spellEnd"/>
      <w:r w:rsidRPr="00F56168">
        <w:t xml:space="preserve"> silence. International Journal of Police Science &amp; Management, 22(4), pp.378-392.</w:t>
      </w:r>
    </w:p>
    <w:p w14:paraId="3D5D26C6" w14:textId="6A77C94E" w:rsidR="00694B48" w:rsidRPr="00F56168" w:rsidRDefault="00694B48" w:rsidP="004A391C">
      <w:r w:rsidRPr="00694B48">
        <w:t>Wilkinson, B., Cohen</w:t>
      </w:r>
      <w:r w:rsidRPr="00694B48">
        <w:rPr>
          <w:rFonts w:ascii="Cambria Math" w:hAnsi="Cambria Math" w:cs="Cambria Math"/>
        </w:rPr>
        <w:t>‐</w:t>
      </w:r>
      <w:r w:rsidRPr="00694B48">
        <w:t>Hatton, S.R. and Honey, R.C., 2019. Decision</w:t>
      </w:r>
      <w:r w:rsidRPr="00694B48">
        <w:rPr>
          <w:rFonts w:ascii="Cambria Math" w:hAnsi="Cambria Math" w:cs="Cambria Math"/>
        </w:rPr>
        <w:t>‐</w:t>
      </w:r>
      <w:r w:rsidRPr="00694B48">
        <w:t>making in multi</w:t>
      </w:r>
      <w:r w:rsidRPr="00694B48">
        <w:rPr>
          <w:rFonts w:ascii="Cambria Math" w:hAnsi="Cambria Math" w:cs="Cambria Math"/>
        </w:rPr>
        <w:t>‐</w:t>
      </w:r>
      <w:r w:rsidRPr="00694B48">
        <w:t>agency groups at simulated major incident emergencies: In situ analysis of adherence to UK doctrine. Journal of Contingencies and Crisis Management, 27(4), pp.306-316.</w:t>
      </w:r>
    </w:p>
    <w:p w14:paraId="3CF97098" w14:textId="41DB17ED" w:rsidR="001B0117" w:rsidRPr="001B0117" w:rsidRDefault="001B0117" w:rsidP="004A391C">
      <w:r w:rsidRPr="001B0117">
        <w:t>Wolfe, S., Rojek, J., McLean, K. and Alpert, G., 2020. Social interaction training to reduce police use of force. The ANNALS of the American Academy of Political and Social Science, 687(1), pp.124-145.</w:t>
      </w:r>
    </w:p>
    <w:p w14:paraId="15CA606F" w14:textId="0FC6EF82" w:rsidR="004A391C" w:rsidRPr="00F4748A" w:rsidRDefault="00F4748A" w:rsidP="004A391C">
      <w:r w:rsidRPr="00F4748A">
        <w:t>Young, T., Fitzgibbon, W. and Silverstone, D., 2014. A question of family? Youth and gangs. Youth Justice, 14(2), pp.171-185.</w:t>
      </w:r>
    </w:p>
    <w:sectPr w:rsidR="004A391C" w:rsidRPr="00F4748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6E1181" w14:textId="77777777" w:rsidR="004D414F" w:rsidRDefault="004D414F" w:rsidP="00E36794">
      <w:pPr>
        <w:spacing w:after="0" w:line="240" w:lineRule="auto"/>
      </w:pPr>
      <w:r>
        <w:separator/>
      </w:r>
    </w:p>
  </w:endnote>
  <w:endnote w:type="continuationSeparator" w:id="0">
    <w:p w14:paraId="45AED5C1" w14:textId="77777777" w:rsidR="004D414F" w:rsidRDefault="004D414F" w:rsidP="00E36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F21256" w14:textId="77777777" w:rsidR="004D414F" w:rsidRDefault="004D414F" w:rsidP="00E36794">
      <w:pPr>
        <w:spacing w:after="0" w:line="240" w:lineRule="auto"/>
      </w:pPr>
      <w:r>
        <w:separator/>
      </w:r>
    </w:p>
  </w:footnote>
  <w:footnote w:type="continuationSeparator" w:id="0">
    <w:p w14:paraId="79BDFA39" w14:textId="77777777" w:rsidR="004D414F" w:rsidRDefault="004D414F" w:rsidP="00E36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7256CD" w14:textId="77777777" w:rsidR="00E36794" w:rsidRDefault="00E36794">
    <w:pPr>
      <w:pStyle w:val="Header"/>
    </w:pPr>
    <w:r w:rsidRPr="00E36794">
      <w:t>Graduate Diploma in Policing (GDIP)</w:t>
    </w:r>
    <w:r>
      <w:t xml:space="preserve"> - </w:t>
    </w:r>
    <w:r w:rsidRPr="00E36794">
      <w:t>Operational Policing Practice 3</w:t>
    </w:r>
    <w:r>
      <w:t xml:space="preserve"> Module</w:t>
    </w:r>
  </w:p>
  <w:p w14:paraId="754D7229" w14:textId="129BB117" w:rsidR="00E36794" w:rsidRDefault="00E36794">
    <w:pPr>
      <w:pStyle w:val="Header"/>
    </w:pPr>
    <w:r>
      <w:t>Submission: 4000 Word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94"/>
    <w:rsid w:val="00030016"/>
    <w:rsid w:val="000565A7"/>
    <w:rsid w:val="000D2FBD"/>
    <w:rsid w:val="000F4BCA"/>
    <w:rsid w:val="00113C71"/>
    <w:rsid w:val="00154066"/>
    <w:rsid w:val="00154B7D"/>
    <w:rsid w:val="001632D4"/>
    <w:rsid w:val="001869CF"/>
    <w:rsid w:val="001B0117"/>
    <w:rsid w:val="00301A62"/>
    <w:rsid w:val="0030738D"/>
    <w:rsid w:val="00322830"/>
    <w:rsid w:val="00370CDD"/>
    <w:rsid w:val="003E1D05"/>
    <w:rsid w:val="003E614E"/>
    <w:rsid w:val="004410DC"/>
    <w:rsid w:val="00453152"/>
    <w:rsid w:val="00471E7C"/>
    <w:rsid w:val="00485233"/>
    <w:rsid w:val="004A391C"/>
    <w:rsid w:val="004D2111"/>
    <w:rsid w:val="004D414F"/>
    <w:rsid w:val="00535793"/>
    <w:rsid w:val="00560C02"/>
    <w:rsid w:val="00565933"/>
    <w:rsid w:val="00571023"/>
    <w:rsid w:val="005F4251"/>
    <w:rsid w:val="00633F2F"/>
    <w:rsid w:val="00694B48"/>
    <w:rsid w:val="006B6B68"/>
    <w:rsid w:val="006C2D4B"/>
    <w:rsid w:val="006D3289"/>
    <w:rsid w:val="006D3303"/>
    <w:rsid w:val="007F5459"/>
    <w:rsid w:val="00810CCA"/>
    <w:rsid w:val="00877CA1"/>
    <w:rsid w:val="00882037"/>
    <w:rsid w:val="008A4ED0"/>
    <w:rsid w:val="008C3ADB"/>
    <w:rsid w:val="009E714A"/>
    <w:rsid w:val="00A15DAE"/>
    <w:rsid w:val="00A41EB6"/>
    <w:rsid w:val="00A47592"/>
    <w:rsid w:val="00A64A7B"/>
    <w:rsid w:val="00B74B9E"/>
    <w:rsid w:val="00C2134F"/>
    <w:rsid w:val="00C41B00"/>
    <w:rsid w:val="00C607E4"/>
    <w:rsid w:val="00C94C0D"/>
    <w:rsid w:val="00CB25A8"/>
    <w:rsid w:val="00CD1A3C"/>
    <w:rsid w:val="00D057CD"/>
    <w:rsid w:val="00D33944"/>
    <w:rsid w:val="00D33E1D"/>
    <w:rsid w:val="00D70377"/>
    <w:rsid w:val="00D92D85"/>
    <w:rsid w:val="00DC7619"/>
    <w:rsid w:val="00E00B16"/>
    <w:rsid w:val="00E36794"/>
    <w:rsid w:val="00E720DA"/>
    <w:rsid w:val="00E83560"/>
    <w:rsid w:val="00E92CAD"/>
    <w:rsid w:val="00EB07EC"/>
    <w:rsid w:val="00EE1DDB"/>
    <w:rsid w:val="00EF4220"/>
    <w:rsid w:val="00F13A83"/>
    <w:rsid w:val="00F17529"/>
    <w:rsid w:val="00F33DA4"/>
    <w:rsid w:val="00F4748A"/>
    <w:rsid w:val="00F56168"/>
    <w:rsid w:val="00F65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19CFF"/>
  <w15:chartTrackingRefBased/>
  <w15:docId w15:val="{38A49DFC-3858-4083-BA14-F0EE66022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7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7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7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7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794"/>
    <w:rPr>
      <w:rFonts w:eastAsiaTheme="majorEastAsia" w:cstheme="majorBidi"/>
      <w:color w:val="272727" w:themeColor="text1" w:themeTint="D8"/>
    </w:rPr>
  </w:style>
  <w:style w:type="paragraph" w:styleId="Title">
    <w:name w:val="Title"/>
    <w:basedOn w:val="Normal"/>
    <w:next w:val="Normal"/>
    <w:link w:val="TitleChar"/>
    <w:uiPriority w:val="10"/>
    <w:qFormat/>
    <w:rsid w:val="00E36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7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794"/>
    <w:pPr>
      <w:spacing w:before="160"/>
      <w:jc w:val="center"/>
    </w:pPr>
    <w:rPr>
      <w:i/>
      <w:iCs/>
      <w:color w:val="404040" w:themeColor="text1" w:themeTint="BF"/>
    </w:rPr>
  </w:style>
  <w:style w:type="character" w:customStyle="1" w:styleId="QuoteChar">
    <w:name w:val="Quote Char"/>
    <w:basedOn w:val="DefaultParagraphFont"/>
    <w:link w:val="Quote"/>
    <w:uiPriority w:val="29"/>
    <w:rsid w:val="00E36794"/>
    <w:rPr>
      <w:i/>
      <w:iCs/>
      <w:color w:val="404040" w:themeColor="text1" w:themeTint="BF"/>
    </w:rPr>
  </w:style>
  <w:style w:type="paragraph" w:styleId="ListParagraph">
    <w:name w:val="List Paragraph"/>
    <w:basedOn w:val="Normal"/>
    <w:uiPriority w:val="34"/>
    <w:qFormat/>
    <w:rsid w:val="00E36794"/>
    <w:pPr>
      <w:ind w:left="720"/>
      <w:contextualSpacing/>
    </w:pPr>
  </w:style>
  <w:style w:type="character" w:styleId="IntenseEmphasis">
    <w:name w:val="Intense Emphasis"/>
    <w:basedOn w:val="DefaultParagraphFont"/>
    <w:uiPriority w:val="21"/>
    <w:qFormat/>
    <w:rsid w:val="00E36794"/>
    <w:rPr>
      <w:i/>
      <w:iCs/>
      <w:color w:val="0F4761" w:themeColor="accent1" w:themeShade="BF"/>
    </w:rPr>
  </w:style>
  <w:style w:type="paragraph" w:styleId="IntenseQuote">
    <w:name w:val="Intense Quote"/>
    <w:basedOn w:val="Normal"/>
    <w:next w:val="Normal"/>
    <w:link w:val="IntenseQuoteChar"/>
    <w:uiPriority w:val="30"/>
    <w:qFormat/>
    <w:rsid w:val="00E36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794"/>
    <w:rPr>
      <w:i/>
      <w:iCs/>
      <w:color w:val="0F4761" w:themeColor="accent1" w:themeShade="BF"/>
    </w:rPr>
  </w:style>
  <w:style w:type="character" w:styleId="IntenseReference">
    <w:name w:val="Intense Reference"/>
    <w:basedOn w:val="DefaultParagraphFont"/>
    <w:uiPriority w:val="32"/>
    <w:qFormat/>
    <w:rsid w:val="00E36794"/>
    <w:rPr>
      <w:b/>
      <w:bCs/>
      <w:smallCaps/>
      <w:color w:val="0F4761" w:themeColor="accent1" w:themeShade="BF"/>
      <w:spacing w:val="5"/>
    </w:rPr>
  </w:style>
  <w:style w:type="paragraph" w:styleId="Header">
    <w:name w:val="header"/>
    <w:basedOn w:val="Normal"/>
    <w:link w:val="HeaderChar"/>
    <w:uiPriority w:val="99"/>
    <w:unhideWhenUsed/>
    <w:rsid w:val="00E36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794"/>
  </w:style>
  <w:style w:type="paragraph" w:styleId="Footer">
    <w:name w:val="footer"/>
    <w:basedOn w:val="Normal"/>
    <w:link w:val="FooterChar"/>
    <w:uiPriority w:val="99"/>
    <w:unhideWhenUsed/>
    <w:rsid w:val="00E36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794"/>
  </w:style>
  <w:style w:type="character" w:styleId="Hyperlink">
    <w:name w:val="Hyperlink"/>
    <w:basedOn w:val="DefaultParagraphFont"/>
    <w:uiPriority w:val="99"/>
    <w:unhideWhenUsed/>
    <w:rsid w:val="006B6B68"/>
    <w:rPr>
      <w:color w:val="467886" w:themeColor="hyperlink"/>
      <w:u w:val="single"/>
    </w:rPr>
  </w:style>
  <w:style w:type="character" w:styleId="UnresolvedMention">
    <w:name w:val="Unresolved Mention"/>
    <w:basedOn w:val="DefaultParagraphFont"/>
    <w:uiPriority w:val="99"/>
    <w:semiHidden/>
    <w:unhideWhenUsed/>
    <w:rsid w:val="006B6B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691</TotalTime>
  <Pages>17</Pages>
  <Words>6455</Words>
  <Characters>36794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L</dc:creator>
  <cp:keywords/>
  <dc:description/>
  <cp:lastModifiedBy>Christian L</cp:lastModifiedBy>
  <cp:revision>41</cp:revision>
  <dcterms:created xsi:type="dcterms:W3CDTF">2024-05-18T14:55:00Z</dcterms:created>
  <dcterms:modified xsi:type="dcterms:W3CDTF">2024-05-27T16:58:00Z</dcterms:modified>
</cp:coreProperties>
</file>