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Encabezamiento 2"/>
        <w:spacing w:line="360" w:lineRule="auto"/>
        <w:jc w:val="center"/>
        <w:rPr>
          <w:rStyle w:val="Ninguno"/>
          <w:rFonts w:ascii="EB Garamond" w:cs="EB Garamond" w:hAnsi="EB Garamond" w:eastAsia="EB Garamond"/>
          <w:b w:val="1"/>
          <w:bCs w:val="1"/>
        </w:rPr>
      </w:pPr>
      <w:bookmarkStart w:name="_gjdgxs" w:id="0"/>
      <w:bookmarkEnd w:id="0"/>
      <w:r>
        <w:rPr>
          <w:rStyle w:val="Ninguno"/>
          <w:rFonts w:ascii="EB Garamond" w:cs="EB Garamond" w:hAnsi="EB Garamond" w:eastAsia="EB Garamond"/>
          <w:b w:val="1"/>
          <w:bCs w:val="1"/>
          <w:rtl w:val="0"/>
        </w:rPr>
        <w:t>A</w:t>
      </w:r>
      <w:r>
        <w:rPr>
          <w:rStyle w:val="Ninguno"/>
          <w:rFonts w:ascii="EB Garamond" w:cs="EB Garamond" w:hAnsi="EB Garamond" w:eastAsia="EB Garamond"/>
          <w:b w:val="1"/>
          <w:bCs w:val="1"/>
          <w:rtl w:val="0"/>
          <w:lang w:val="en-US"/>
        </w:rPr>
        <w:t>N ENQUIRY ON THE ROLE OF SYMBOL IN ASTROLOGY</w:t>
      </w:r>
    </w:p>
    <w:p>
      <w:pPr>
        <w:pStyle w:val="Cuerpo A"/>
        <w:jc w:val="center"/>
        <w:rPr>
          <w:rStyle w:val="Ninguno"/>
          <w:rFonts w:ascii="EB Garamond" w:cs="EB Garamond" w:hAnsi="EB Garamond" w:eastAsia="EB Garamond"/>
          <w:sz w:val="32"/>
          <w:szCs w:val="32"/>
        </w:rPr>
      </w:pPr>
      <w:r>
        <w:rPr>
          <w:rStyle w:val="Ninguno"/>
          <w:rFonts w:ascii="EB Garamond" w:cs="EB Garamond" w:hAnsi="EB Garamond" w:eastAsia="EB Garamond"/>
          <w:sz w:val="34"/>
          <w:szCs w:val="34"/>
          <w:rtl w:val="0"/>
          <w:lang w:val="es-ES_tradnl"/>
        </w:rPr>
        <w:t>Soledad Davies</w:t>
      </w:r>
      <w:r>
        <w:rPr>
          <w:rStyle w:val="Ninguno"/>
          <w:rFonts w:ascii="EB Garamond" w:cs="EB Garamond" w:hAnsi="EB Garamond" w:eastAsia="EB Garamond"/>
          <w:sz w:val="32"/>
          <w:szCs w:val="32"/>
        </w:rPr>
        <w:br w:type="textWrapping"/>
      </w:r>
      <w:r>
        <w:rPr>
          <w:rStyle w:val="Ninguno"/>
          <w:rFonts w:ascii="EB Garamond" w:cs="EB Garamond" w:hAnsi="EB Garamond" w:eastAsia="EB Garamond"/>
          <w:sz w:val="26"/>
          <w:szCs w:val="26"/>
          <w:rtl w:val="0"/>
          <w:lang w:val="es-ES_tradnl"/>
        </w:rPr>
        <w:t xml:space="preserve">Student Number: </w:t>
      </w:r>
      <w:r>
        <w:rPr>
          <w:rStyle w:val="Ninguno"/>
          <w:rFonts w:ascii="EB Garamond" w:cs="EB Garamond" w:hAnsi="EB Garamond" w:eastAsia="EB Garamond"/>
          <w:sz w:val="26"/>
          <w:szCs w:val="26"/>
          <w:rtl w:val="0"/>
        </w:rPr>
        <w:t>1710849</w:t>
      </w:r>
    </w:p>
    <w:p>
      <w:pPr>
        <w:pStyle w:val="Cuerpo A"/>
      </w:pPr>
    </w:p>
    <w:p>
      <w:pPr>
        <w:pStyle w:val="Cuerpo A"/>
      </w:pPr>
    </w:p>
    <w:p>
      <w:pPr>
        <w:pStyle w:val="Cuerpo A"/>
      </w:pPr>
      <w:r>
        <w:rPr>
          <w:rStyle w:val="Ninguno A"/>
          <w:rtl w:val="0"/>
        </w:rPr>
        <w:tab/>
        <w:tab/>
        <w:t xml:space="preserve"> </w:t>
        <w:tab/>
        <w:t xml:space="preserve"> </w:t>
        <w:tab/>
        <w:t xml:space="preserve"> </w:t>
        <w:tab/>
        <w:tab/>
      </w:r>
    </w:p>
    <w:p>
      <w:pPr>
        <w:pStyle w:val="Cuerpo A"/>
      </w:pPr>
      <w:r>
        <w:rPr>
          <w:rStyle w:val="Ninguno A"/>
        </w:rPr>
        <w:tab/>
        <w:tab/>
        <w:tab/>
      </w:r>
    </w:p>
    <w:p>
      <w:pPr>
        <w:pStyle w:val="Cuerpo A"/>
      </w:pPr>
      <w:r>
        <w:rPr>
          <w:rStyle w:val="Ninguno A"/>
        </w:rPr>
        <w:tab/>
        <w:tab/>
        <w:tab/>
        <w:tab/>
      </w:r>
    </w:p>
    <w:p>
      <w:pPr>
        <w:pStyle w:val="Cuerpo A"/>
      </w:pPr>
      <w:r>
        <w:rPr>
          <w:rStyle w:val="Ninguno A"/>
        </w:rPr>
        <w:tab/>
        <w:tab/>
        <w:tab/>
        <w:tab/>
        <w:tab/>
      </w:r>
    </w:p>
    <w:p>
      <w:pPr>
        <w:pStyle w:val="Cuerpo A"/>
        <w:spacing w:before="240" w:after="240"/>
        <w:jc w:val="center"/>
        <w:rPr>
          <w:rStyle w:val="Ninguno"/>
          <w:b w:val="1"/>
          <w:bCs w:val="1"/>
          <w:sz w:val="24"/>
          <w:szCs w:val="24"/>
        </w:rPr>
      </w:pPr>
    </w:p>
    <w:p>
      <w:pPr>
        <w:pStyle w:val="Cuerpo A"/>
        <w:spacing w:before="240" w:after="240"/>
        <w:jc w:val="center"/>
        <w:rPr>
          <w:rStyle w:val="Ninguno"/>
          <w:b w:val="1"/>
          <w:bCs w:val="1"/>
          <w:sz w:val="24"/>
          <w:szCs w:val="24"/>
        </w:rPr>
      </w:pPr>
    </w:p>
    <w:p>
      <w:pPr>
        <w:pStyle w:val="Cuerpo A"/>
        <w:spacing w:before="240" w:after="240"/>
        <w:jc w:val="center"/>
        <w:rPr>
          <w:rStyle w:val="Ninguno"/>
          <w:b w:val="1"/>
          <w:bCs w:val="1"/>
          <w:sz w:val="24"/>
          <w:szCs w:val="24"/>
        </w:rPr>
      </w:pPr>
    </w:p>
    <w:p>
      <w:pPr>
        <w:pStyle w:val="Cuerpo A"/>
        <w:spacing w:before="240" w:after="240"/>
        <w:jc w:val="center"/>
        <w:rPr>
          <w:rStyle w:val="Ninguno"/>
          <w:b w:val="1"/>
          <w:bCs w:val="1"/>
          <w:sz w:val="24"/>
          <w:szCs w:val="24"/>
        </w:rPr>
      </w:pPr>
    </w:p>
    <w:p>
      <w:pPr>
        <w:pStyle w:val="Cuerpo A"/>
        <w:spacing w:before="240" w:after="240"/>
        <w:jc w:val="center"/>
        <w:rPr>
          <w:rStyle w:val="Ninguno"/>
          <w:b w:val="1"/>
          <w:bCs w:val="1"/>
          <w:sz w:val="24"/>
          <w:szCs w:val="24"/>
        </w:rPr>
      </w:pPr>
      <w:r>
        <w:rPr>
          <w:rStyle w:val="Ninguno"/>
          <w:b w:val="1"/>
          <w:bCs w:val="1"/>
          <w:sz w:val="24"/>
          <w:szCs w:val="24"/>
          <w:rtl w:val="0"/>
          <w:lang w:val="en-US"/>
        </w:rPr>
        <w:t>Dissertation submitted for the MA in Cultural Astronomy and Astrology University of Wales Trinity Saint David</w:t>
      </w:r>
    </w:p>
    <w:p>
      <w:pPr>
        <w:pStyle w:val="Cuerpo A"/>
        <w:jc w:val="center"/>
      </w:pPr>
      <w:r>
        <w:rPr>
          <w:rStyle w:val="Ninguno A"/>
        </w:rPr>
        <w:tab/>
        <w:tab/>
        <w:tab/>
        <w:tab/>
        <w:tab/>
      </w:r>
    </w:p>
    <w:p>
      <w:pPr>
        <w:pStyle w:val="Cuerpo A"/>
        <w:spacing w:before="240" w:after="240"/>
        <w:jc w:val="center"/>
        <w:rPr>
          <w:rStyle w:val="Ninguno"/>
          <w:b w:val="1"/>
          <w:bCs w:val="1"/>
          <w:sz w:val="24"/>
          <w:szCs w:val="24"/>
        </w:rPr>
      </w:pPr>
      <w:r>
        <w:rPr>
          <w:rStyle w:val="Ninguno"/>
          <w:b w:val="1"/>
          <w:bCs w:val="1"/>
          <w:sz w:val="24"/>
          <w:szCs w:val="24"/>
          <w:rtl w:val="0"/>
          <w:lang w:val="en-US"/>
        </w:rPr>
        <w:t xml:space="preserve">January 2022 </w:t>
      </w:r>
    </w:p>
    <w:p>
      <w:pPr>
        <w:pStyle w:val="Cuerpo A"/>
      </w:pPr>
      <w:r>
        <w:rPr>
          <w:rStyle w:val="Ninguno A"/>
        </w:rPr>
        <w:tab/>
        <w:tab/>
        <w:tab/>
        <w:tab/>
      </w:r>
    </w:p>
    <w:p>
      <w:pPr>
        <w:pStyle w:val="Cuerpo A"/>
      </w:pPr>
      <w:r>
        <w:rPr>
          <w:rStyle w:val="Ninguno A"/>
        </w:rPr>
        <w:tab/>
        <w:tab/>
        <w:tab/>
      </w:r>
    </w:p>
    <w:p>
      <w:pPr>
        <w:pStyle w:val="Cuerpo A"/>
      </w:pPr>
      <w:r>
        <w:rPr>
          <w:rStyle w:val="Ninguno A"/>
        </w:rPr>
        <w:tab/>
        <w:tab/>
      </w: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spacing w:after="100"/>
        <w:ind w:left="540" w:firstLine="0"/>
        <w:rPr>
          <w:rStyle w:val="Ninguno"/>
          <w:sz w:val="18"/>
          <w:szCs w:val="18"/>
        </w:rPr>
      </w:pPr>
      <w:r>
        <w:rPr>
          <w:rStyle w:val="Ninguno"/>
          <w:sz w:val="18"/>
          <w:szCs w:val="18"/>
          <w:rtl w:val="0"/>
        </w:rPr>
        <w:t xml:space="preserve"> </w:t>
      </w:r>
    </w:p>
    <w:p>
      <w:pPr>
        <w:pStyle w:val="Cuerpo A"/>
        <w:spacing w:after="100"/>
        <w:jc w:val="center"/>
        <w:rPr>
          <w:rStyle w:val="Ninguno"/>
          <w:b w:val="1"/>
          <w:bCs w:val="1"/>
          <w:sz w:val="18"/>
          <w:szCs w:val="18"/>
        </w:rPr>
      </w:pPr>
      <w:r>
        <w:rPr>
          <w:rStyle w:val="Ninguno"/>
          <w:b w:val="1"/>
          <w:bCs w:val="1"/>
          <w:sz w:val="18"/>
          <w:szCs w:val="18"/>
          <w:rtl w:val="0"/>
          <w:lang w:val="en-US"/>
        </w:rPr>
        <w:t>Master</w:t>
      </w:r>
      <w:r>
        <w:rPr>
          <w:rStyle w:val="Ninguno"/>
          <w:rFonts w:ascii="Arial Unicode MS" w:hAnsi="Arial Unicode MS" w:hint="default"/>
          <w:sz w:val="18"/>
          <w:szCs w:val="18"/>
          <w:rtl w:val="1"/>
        </w:rPr>
        <w:t>’</w:t>
      </w:r>
      <w:r>
        <w:rPr>
          <w:rStyle w:val="Ninguno"/>
          <w:b w:val="1"/>
          <w:bCs w:val="1"/>
          <w:sz w:val="18"/>
          <w:szCs w:val="18"/>
          <w:rtl w:val="0"/>
          <w:lang w:val="en-US"/>
        </w:rPr>
        <w:t>s Degrees by Examination and Dissertation</w:t>
      </w:r>
    </w:p>
    <w:p>
      <w:pPr>
        <w:pStyle w:val="Cuerpo A"/>
        <w:spacing w:after="100"/>
        <w:jc w:val="center"/>
        <w:rPr>
          <w:rStyle w:val="Ninguno"/>
          <w:b w:val="1"/>
          <w:bCs w:val="1"/>
          <w:sz w:val="18"/>
          <w:szCs w:val="18"/>
        </w:rPr>
      </w:pPr>
      <w:r>
        <w:rPr>
          <w:rStyle w:val="Ninguno"/>
          <w:b w:val="1"/>
          <w:bCs w:val="1"/>
          <w:sz w:val="18"/>
          <w:szCs w:val="18"/>
          <w:rtl w:val="0"/>
        </w:rPr>
        <w:t>Declaration Form</w:t>
      </w:r>
    </w:p>
    <w:p>
      <w:pPr>
        <w:pStyle w:val="Cuerpo A"/>
        <w:spacing w:after="100"/>
        <w:rPr>
          <w:rStyle w:val="Ninguno"/>
          <w:sz w:val="18"/>
          <w:szCs w:val="18"/>
        </w:rPr>
      </w:pPr>
      <w:r>
        <w:rPr>
          <w:rStyle w:val="Ninguno"/>
          <w:sz w:val="18"/>
          <w:szCs w:val="18"/>
          <w:rtl w:val="0"/>
          <w:lang w:val="en-US"/>
        </w:rPr>
        <w:t>1. This work has not previously been accepted in substance for any degree and is not being concurrently submitted in candidature for any degree.</w:t>
      </w:r>
    </w:p>
    <w:p>
      <w:pPr>
        <w:pStyle w:val="Cuerpo A"/>
        <w:spacing w:after="100"/>
        <w:rPr>
          <w:rStyle w:val="Ninguno"/>
          <w:sz w:val="18"/>
          <w:szCs w:val="18"/>
        </w:rPr>
      </w:pPr>
      <w:r>
        <w:rPr>
          <w:rStyle w:val="Ninguno"/>
          <w:sz w:val="18"/>
          <w:szCs w:val="18"/>
          <w:rtl w:val="0"/>
          <w:lang w:val="de-DE"/>
        </w:rPr>
        <w:t>Name..</w:t>
      </w:r>
      <w:r>
        <w:rPr>
          <w:rStyle w:val="Ninguno"/>
          <w:sz w:val="18"/>
          <w:szCs w:val="18"/>
          <w:rtl w:val="0"/>
        </w:rPr>
        <w:t>……</w:t>
      </w:r>
      <w:r>
        <w:rPr>
          <w:rStyle w:val="Ninguno"/>
          <w:sz w:val="18"/>
          <w:szCs w:val="18"/>
          <w:rtl w:val="0"/>
        </w:rPr>
        <w:t>.</w:t>
      </w:r>
      <w:r>
        <w:rPr>
          <w:rStyle w:val="Ninguno"/>
          <w:sz w:val="18"/>
          <w:szCs w:val="18"/>
          <w:rtl w:val="0"/>
        </w:rPr>
        <w:t>……</w:t>
      </w:r>
      <w:r>
        <w:rPr>
          <w:rStyle w:val="Ninguno"/>
          <w:sz w:val="18"/>
          <w:szCs w:val="18"/>
          <w:rtl w:val="0"/>
          <w:lang w:val="es-ES_tradnl"/>
        </w:rPr>
        <w:t>Soledad Davies</w:t>
      </w:r>
      <w:r>
        <w:rPr>
          <w:rStyle w:val="Ninguno"/>
          <w:sz w:val="18"/>
          <w:szCs w:val="18"/>
          <w:rtl w:val="0"/>
        </w:rPr>
        <w:t>…………………………………………………………………</w:t>
      </w:r>
      <w:r>
        <w:rPr>
          <w:rStyle w:val="Ninguno"/>
          <w:sz w:val="18"/>
          <w:szCs w:val="18"/>
          <w:rtl w:val="0"/>
        </w:rPr>
        <w:t>...</w:t>
      </w:r>
    </w:p>
    <w:p>
      <w:pPr>
        <w:pStyle w:val="Cuerpo A"/>
        <w:spacing w:after="100"/>
        <w:rPr>
          <w:rStyle w:val="Ninguno"/>
          <w:sz w:val="18"/>
          <w:szCs w:val="18"/>
        </w:rPr>
      </w:pPr>
      <w:r>
        <w:rPr>
          <w:rStyle w:val="Ninguno"/>
          <w:sz w:val="18"/>
          <w:szCs w:val="18"/>
          <w:rtl w:val="0"/>
          <w:lang w:val="de-DE"/>
        </w:rPr>
        <w:t xml:space="preserve">Date </w:t>
      </w:r>
      <w:r>
        <w:rPr>
          <w:rStyle w:val="Ninguno"/>
          <w:sz w:val="18"/>
          <w:szCs w:val="18"/>
          <w:rtl w:val="0"/>
        </w:rPr>
        <w:t>………………</w:t>
      </w:r>
      <w:r>
        <w:rPr>
          <w:rStyle w:val="Ninguno"/>
          <w:sz w:val="18"/>
          <w:szCs w:val="18"/>
          <w:rtl w:val="0"/>
          <w:lang w:val="en-US"/>
        </w:rPr>
        <w:t>30 January 2022</w:t>
      </w:r>
      <w:r>
        <w:rPr>
          <w:rStyle w:val="Ninguno"/>
          <w:sz w:val="18"/>
          <w:szCs w:val="18"/>
          <w:rtl w:val="0"/>
        </w:rPr>
        <w:t>………………………………………………………………</w:t>
      </w:r>
      <w:r>
        <w:rPr>
          <w:rStyle w:val="Ninguno"/>
          <w:sz w:val="18"/>
          <w:szCs w:val="18"/>
          <w:rtl w:val="0"/>
        </w:rPr>
        <w:t>...</w:t>
      </w:r>
    </w:p>
    <w:p>
      <w:pPr>
        <w:pStyle w:val="Cuerpo A"/>
        <w:spacing w:after="100"/>
        <w:rPr>
          <w:rStyle w:val="Ninguno A"/>
          <w:sz w:val="18"/>
          <w:szCs w:val="18"/>
        </w:rPr>
      </w:pPr>
    </w:p>
    <w:p>
      <w:pPr>
        <w:pStyle w:val="Cuerpo A"/>
        <w:spacing w:after="100"/>
        <w:rPr>
          <w:rStyle w:val="Ninguno"/>
          <w:sz w:val="18"/>
          <w:szCs w:val="18"/>
        </w:rPr>
      </w:pPr>
      <w:r>
        <w:rPr>
          <w:rStyle w:val="Ninguno"/>
          <w:sz w:val="18"/>
          <w:szCs w:val="18"/>
          <w:rtl w:val="0"/>
          <w:lang w:val="en-US"/>
        </w:rPr>
        <w:t xml:space="preserve">2. This dissertation is being submitted in partial fulfilment of the requirements for the degree of </w:t>
      </w:r>
      <w:r>
        <w:rPr>
          <w:rStyle w:val="Ninguno"/>
          <w:sz w:val="18"/>
          <w:szCs w:val="18"/>
          <w:rtl w:val="0"/>
        </w:rPr>
        <w:t>………………………………………………………………</w:t>
      </w:r>
      <w:r>
        <w:rPr>
          <w:rStyle w:val="Ninguno"/>
          <w:sz w:val="18"/>
          <w:szCs w:val="18"/>
          <w:rtl w:val="0"/>
        </w:rPr>
        <w:t>..................................</w:t>
      </w:r>
    </w:p>
    <w:p>
      <w:pPr>
        <w:pStyle w:val="Cuerpo A"/>
        <w:spacing w:after="100"/>
        <w:rPr>
          <w:rStyle w:val="Ninguno"/>
          <w:sz w:val="18"/>
          <w:szCs w:val="18"/>
        </w:rPr>
      </w:pPr>
      <w:r>
        <w:rPr>
          <w:rStyle w:val="Ninguno"/>
          <w:sz w:val="18"/>
          <w:szCs w:val="18"/>
          <w:rtl w:val="0"/>
          <w:lang w:val="de-DE"/>
        </w:rPr>
        <w:t>Name</w:t>
      </w:r>
      <w:r>
        <w:rPr>
          <w:rStyle w:val="Ninguno"/>
          <w:sz w:val="18"/>
          <w:szCs w:val="18"/>
          <w:rtl w:val="0"/>
        </w:rPr>
        <w:t>… …………</w:t>
      </w:r>
      <w:r>
        <w:rPr>
          <w:rStyle w:val="Ninguno"/>
          <w:sz w:val="18"/>
          <w:szCs w:val="18"/>
          <w:rtl w:val="0"/>
          <w:lang w:val="es-ES_tradnl"/>
        </w:rPr>
        <w:t>Soledad Davies</w:t>
      </w:r>
      <w:r>
        <w:rPr>
          <w:rStyle w:val="Ninguno"/>
          <w:sz w:val="18"/>
          <w:szCs w:val="18"/>
          <w:rtl w:val="0"/>
        </w:rPr>
        <w:t>…………………………………………………………………</w:t>
      </w:r>
      <w:r>
        <w:rPr>
          <w:rStyle w:val="Ninguno"/>
          <w:sz w:val="18"/>
          <w:szCs w:val="18"/>
          <w:rtl w:val="0"/>
        </w:rPr>
        <w:t>.</w:t>
      </w:r>
    </w:p>
    <w:p>
      <w:pPr>
        <w:pStyle w:val="Cuerpo A"/>
        <w:spacing w:after="100"/>
        <w:rPr>
          <w:rStyle w:val="Ninguno"/>
          <w:sz w:val="18"/>
          <w:szCs w:val="18"/>
        </w:rPr>
      </w:pPr>
      <w:r>
        <w:rPr>
          <w:rStyle w:val="Ninguno"/>
          <w:sz w:val="18"/>
          <w:szCs w:val="18"/>
          <w:rtl w:val="0"/>
        </w:rPr>
        <w:t xml:space="preserve">Date  </w:t>
      </w:r>
      <w:r>
        <w:rPr>
          <w:rStyle w:val="Ninguno"/>
          <w:sz w:val="18"/>
          <w:szCs w:val="18"/>
          <w:rtl w:val="0"/>
        </w:rPr>
        <w:t>…………………</w:t>
      </w:r>
      <w:r>
        <w:rPr>
          <w:rStyle w:val="Ninguno"/>
          <w:sz w:val="18"/>
          <w:szCs w:val="18"/>
          <w:rtl w:val="0"/>
          <w:lang w:val="en-US"/>
        </w:rPr>
        <w:t>30 January 2022</w:t>
      </w:r>
      <w:r>
        <w:rPr>
          <w:rStyle w:val="Ninguno"/>
          <w:sz w:val="18"/>
          <w:szCs w:val="18"/>
          <w:rtl w:val="0"/>
        </w:rPr>
        <w:t>……………………………………</w:t>
      </w:r>
      <w:r>
        <w:rPr>
          <w:rStyle w:val="Ninguno"/>
          <w:sz w:val="18"/>
          <w:szCs w:val="18"/>
          <w:rtl w:val="0"/>
        </w:rPr>
        <w:t>.</w:t>
      </w:r>
      <w:r>
        <w:rPr>
          <w:rStyle w:val="Ninguno"/>
          <w:sz w:val="18"/>
          <w:szCs w:val="18"/>
          <w:rtl w:val="0"/>
        </w:rPr>
        <w:t>…………</w:t>
      </w:r>
      <w:r>
        <w:rPr>
          <w:rStyle w:val="Ninguno"/>
          <w:sz w:val="18"/>
          <w:szCs w:val="18"/>
          <w:rtl w:val="0"/>
        </w:rPr>
        <w:t>..</w:t>
      </w:r>
      <w:r>
        <w:rPr>
          <w:rStyle w:val="Ninguno"/>
          <w:sz w:val="18"/>
          <w:szCs w:val="18"/>
          <w:rtl w:val="0"/>
        </w:rPr>
        <w:t>…………</w:t>
      </w:r>
      <w:r>
        <w:rPr>
          <w:rStyle w:val="Ninguno"/>
          <w:sz w:val="18"/>
          <w:szCs w:val="18"/>
          <w:rtl w:val="0"/>
        </w:rPr>
        <w:t>...</w:t>
      </w:r>
    </w:p>
    <w:p>
      <w:pPr>
        <w:pStyle w:val="Cuerpo A"/>
        <w:spacing w:after="100"/>
        <w:rPr>
          <w:rStyle w:val="Ninguno A"/>
          <w:sz w:val="18"/>
          <w:szCs w:val="18"/>
        </w:rPr>
      </w:pPr>
    </w:p>
    <w:p>
      <w:pPr>
        <w:pStyle w:val="Cuerpo A"/>
        <w:spacing w:after="100"/>
        <w:rPr>
          <w:rStyle w:val="Ninguno"/>
          <w:sz w:val="18"/>
          <w:szCs w:val="18"/>
        </w:rPr>
      </w:pPr>
      <w:r>
        <w:rPr>
          <w:rStyle w:val="Ninguno"/>
          <w:sz w:val="18"/>
          <w:szCs w:val="18"/>
          <w:rtl w:val="0"/>
          <w:lang w:val="en-US"/>
        </w:rPr>
        <w:t>3. This dissertation is the result of my own independent work/investigation, except where otherwise stated.</w:t>
      </w:r>
    </w:p>
    <w:p>
      <w:pPr>
        <w:pStyle w:val="Cuerpo A"/>
        <w:spacing w:after="100"/>
        <w:rPr>
          <w:rStyle w:val="Ninguno"/>
          <w:sz w:val="18"/>
          <w:szCs w:val="18"/>
        </w:rPr>
      </w:pPr>
      <w:r>
        <w:rPr>
          <w:rStyle w:val="Ninguno"/>
          <w:sz w:val="18"/>
          <w:szCs w:val="18"/>
          <w:rtl w:val="0"/>
          <w:lang w:val="en-US"/>
        </w:rPr>
        <w:t xml:space="preserve">Other sources are acknowledged by footnotes giving explicit references. </w:t>
      </w:r>
    </w:p>
    <w:p>
      <w:pPr>
        <w:pStyle w:val="Cuerpo A"/>
        <w:spacing w:after="100"/>
        <w:rPr>
          <w:rStyle w:val="Ninguno"/>
          <w:sz w:val="18"/>
          <w:szCs w:val="18"/>
        </w:rPr>
      </w:pPr>
      <w:r>
        <w:rPr>
          <w:rStyle w:val="Ninguno"/>
          <w:sz w:val="18"/>
          <w:szCs w:val="18"/>
          <w:rtl w:val="0"/>
          <w:lang w:val="en-US"/>
        </w:rPr>
        <w:t>A bibliography is appended.</w:t>
      </w:r>
    </w:p>
    <w:p>
      <w:pPr>
        <w:pStyle w:val="Cuerpo A"/>
        <w:spacing w:after="100"/>
        <w:rPr>
          <w:rStyle w:val="Ninguno"/>
          <w:sz w:val="18"/>
          <w:szCs w:val="18"/>
        </w:rPr>
      </w:pPr>
      <w:r>
        <w:rPr>
          <w:rStyle w:val="Ninguno"/>
          <w:sz w:val="18"/>
          <w:szCs w:val="18"/>
          <w:rtl w:val="0"/>
          <w:lang w:val="de-DE"/>
        </w:rPr>
        <w:t>Name</w:t>
      </w:r>
      <w:r>
        <w:rPr>
          <w:rStyle w:val="Ninguno"/>
          <w:sz w:val="18"/>
          <w:szCs w:val="18"/>
          <w:rtl w:val="0"/>
        </w:rPr>
        <w:t>……………</w:t>
      </w:r>
      <w:r>
        <w:rPr>
          <w:rStyle w:val="Ninguno"/>
          <w:sz w:val="18"/>
          <w:szCs w:val="18"/>
          <w:rtl w:val="0"/>
          <w:lang w:val="es-ES_tradnl"/>
        </w:rPr>
        <w:t>:  Soledad Davies</w:t>
      </w:r>
      <w:r>
        <w:rPr>
          <w:rStyle w:val="Ninguno"/>
          <w:sz w:val="18"/>
          <w:szCs w:val="18"/>
          <w:rtl w:val="0"/>
        </w:rPr>
        <w:t>………………………………………………</w:t>
      </w:r>
      <w:r>
        <w:rPr>
          <w:rStyle w:val="Ninguno"/>
          <w:sz w:val="18"/>
          <w:szCs w:val="18"/>
          <w:rtl w:val="0"/>
        </w:rPr>
        <w:t>.</w:t>
      </w:r>
      <w:r>
        <w:rPr>
          <w:rStyle w:val="Ninguno"/>
          <w:sz w:val="18"/>
          <w:szCs w:val="18"/>
          <w:rtl w:val="0"/>
        </w:rPr>
        <w:t>………………</w:t>
      </w:r>
      <w:r>
        <w:rPr>
          <w:rStyle w:val="Ninguno"/>
          <w:sz w:val="18"/>
          <w:szCs w:val="18"/>
          <w:rtl w:val="0"/>
        </w:rPr>
        <w:t>.</w:t>
      </w:r>
    </w:p>
    <w:p>
      <w:pPr>
        <w:pStyle w:val="Cuerpo A"/>
        <w:spacing w:after="100"/>
        <w:rPr>
          <w:rStyle w:val="Ninguno"/>
          <w:sz w:val="18"/>
          <w:szCs w:val="18"/>
        </w:rPr>
      </w:pPr>
      <w:r>
        <w:rPr>
          <w:rStyle w:val="Ninguno"/>
          <w:sz w:val="18"/>
          <w:szCs w:val="18"/>
          <w:rtl w:val="0"/>
          <w:lang w:val="de-DE"/>
        </w:rPr>
        <w:t xml:space="preserve">Date:  </w:t>
      </w:r>
      <w:r>
        <w:rPr>
          <w:rStyle w:val="Ninguno"/>
          <w:sz w:val="18"/>
          <w:szCs w:val="18"/>
          <w:rtl w:val="0"/>
        </w:rPr>
        <w:t>……………………</w:t>
      </w:r>
      <w:r>
        <w:rPr>
          <w:rStyle w:val="Ninguno"/>
          <w:sz w:val="18"/>
          <w:szCs w:val="18"/>
          <w:rtl w:val="0"/>
          <w:lang w:val="en-US"/>
        </w:rPr>
        <w:t>30 January 2022</w:t>
      </w:r>
      <w:r>
        <w:rPr>
          <w:rStyle w:val="Ninguno"/>
          <w:sz w:val="18"/>
          <w:szCs w:val="18"/>
          <w:rtl w:val="0"/>
        </w:rPr>
        <w:t>………………………………</w:t>
      </w:r>
      <w:r>
        <w:rPr>
          <w:rStyle w:val="Ninguno"/>
          <w:sz w:val="18"/>
          <w:szCs w:val="18"/>
          <w:rtl w:val="0"/>
        </w:rPr>
        <w:t>...</w:t>
      </w:r>
      <w:r>
        <w:rPr>
          <w:rStyle w:val="Ninguno"/>
          <w:sz w:val="18"/>
          <w:szCs w:val="18"/>
          <w:rtl w:val="0"/>
        </w:rPr>
        <w:t>………………………</w:t>
      </w:r>
      <w:r>
        <w:rPr>
          <w:rStyle w:val="Ninguno"/>
          <w:sz w:val="18"/>
          <w:szCs w:val="18"/>
          <w:rtl w:val="0"/>
        </w:rPr>
        <w:t>.</w:t>
      </w:r>
    </w:p>
    <w:p>
      <w:pPr>
        <w:pStyle w:val="Cuerpo A"/>
        <w:spacing w:after="100"/>
        <w:rPr>
          <w:rStyle w:val="Ninguno"/>
          <w:sz w:val="18"/>
          <w:szCs w:val="18"/>
        </w:rPr>
      </w:pPr>
      <w:r>
        <w:rPr>
          <w:rStyle w:val="Ninguno"/>
          <w:sz w:val="18"/>
          <w:szCs w:val="18"/>
          <w:rtl w:val="0"/>
        </w:rPr>
        <w:t xml:space="preserve">  </w:t>
      </w:r>
    </w:p>
    <w:p>
      <w:pPr>
        <w:pStyle w:val="Cuerpo A"/>
        <w:spacing w:after="100"/>
        <w:rPr>
          <w:rStyle w:val="Ninguno"/>
          <w:sz w:val="18"/>
          <w:szCs w:val="18"/>
        </w:rPr>
      </w:pPr>
      <w:r>
        <w:rPr>
          <w:rStyle w:val="Ninguno"/>
          <w:sz w:val="18"/>
          <w:szCs w:val="18"/>
          <w:rtl w:val="0"/>
          <w:lang w:val="en-US"/>
        </w:rPr>
        <w:t>4. I hereby give consent for my dissertation, if accepted, to be available for photocopying, inter-library loan, and for deposit in the University</w:t>
      </w:r>
      <w:r>
        <w:rPr>
          <w:rStyle w:val="Ninguno"/>
          <w:rFonts w:ascii="Arial Unicode MS" w:hAnsi="Arial Unicode MS" w:hint="default"/>
          <w:sz w:val="18"/>
          <w:szCs w:val="18"/>
          <w:rtl w:val="1"/>
        </w:rPr>
        <w:t>’</w:t>
      </w:r>
      <w:r>
        <w:rPr>
          <w:rStyle w:val="Ninguno"/>
          <w:sz w:val="18"/>
          <w:szCs w:val="18"/>
          <w:rtl w:val="0"/>
          <w:lang w:val="it-IT"/>
        </w:rPr>
        <w:t xml:space="preserve">s digital repository </w:t>
      </w:r>
    </w:p>
    <w:p>
      <w:pPr>
        <w:pStyle w:val="Cuerpo A"/>
        <w:spacing w:after="100"/>
        <w:rPr>
          <w:rStyle w:val="Ninguno"/>
          <w:sz w:val="18"/>
          <w:szCs w:val="18"/>
        </w:rPr>
      </w:pPr>
      <w:r>
        <w:rPr>
          <w:rStyle w:val="Ninguno"/>
          <w:sz w:val="18"/>
          <w:szCs w:val="18"/>
          <w:rtl w:val="0"/>
          <w:lang w:val="de-DE"/>
        </w:rPr>
        <w:t>Name</w:t>
      </w:r>
      <w:r>
        <w:rPr>
          <w:rStyle w:val="Ninguno"/>
          <w:sz w:val="18"/>
          <w:szCs w:val="18"/>
          <w:rtl w:val="0"/>
        </w:rPr>
        <w:t>…………………</w:t>
      </w:r>
      <w:r>
        <w:rPr>
          <w:rStyle w:val="Ninguno"/>
          <w:sz w:val="18"/>
          <w:szCs w:val="18"/>
          <w:rtl w:val="0"/>
          <w:lang w:val="es-ES_tradnl"/>
        </w:rPr>
        <w:t>Soledad Davies</w:t>
      </w:r>
      <w:r>
        <w:rPr>
          <w:rStyle w:val="Ninguno"/>
          <w:sz w:val="18"/>
          <w:szCs w:val="18"/>
          <w:rtl w:val="0"/>
        </w:rPr>
        <w:t>……………………………………………………………</w:t>
      </w:r>
      <w:r>
        <w:rPr>
          <w:rStyle w:val="Ninguno"/>
          <w:sz w:val="18"/>
          <w:szCs w:val="18"/>
          <w:rtl w:val="0"/>
        </w:rPr>
        <w:t>.</w:t>
      </w:r>
    </w:p>
    <w:p>
      <w:pPr>
        <w:pStyle w:val="Cuerpo A"/>
        <w:spacing w:after="100"/>
        <w:rPr>
          <w:rStyle w:val="Ninguno"/>
          <w:sz w:val="18"/>
          <w:szCs w:val="18"/>
        </w:rPr>
      </w:pPr>
      <w:r>
        <w:rPr>
          <w:rStyle w:val="Ninguno"/>
          <w:sz w:val="18"/>
          <w:szCs w:val="18"/>
          <w:rtl w:val="0"/>
          <w:lang w:val="de-DE"/>
        </w:rPr>
        <w:t>Date</w:t>
      </w:r>
      <w:r>
        <w:rPr>
          <w:rStyle w:val="Ninguno"/>
          <w:sz w:val="18"/>
          <w:szCs w:val="18"/>
          <w:rtl w:val="0"/>
        </w:rPr>
        <w:t>…………………………</w:t>
      </w:r>
      <w:r>
        <w:rPr>
          <w:rStyle w:val="Ninguno"/>
          <w:sz w:val="18"/>
          <w:szCs w:val="18"/>
          <w:rtl w:val="0"/>
          <w:lang w:val="en-US"/>
        </w:rPr>
        <w:t>30 January 2022</w:t>
      </w:r>
      <w:r>
        <w:rPr>
          <w:rStyle w:val="Ninguno"/>
          <w:sz w:val="18"/>
          <w:szCs w:val="18"/>
          <w:rtl w:val="0"/>
        </w:rPr>
        <w:t>………………………</w:t>
      </w:r>
      <w:r>
        <w:rPr>
          <w:rStyle w:val="Ninguno"/>
          <w:sz w:val="18"/>
          <w:szCs w:val="18"/>
          <w:rtl w:val="0"/>
        </w:rPr>
        <w:t>.</w:t>
      </w:r>
      <w:r>
        <w:rPr>
          <w:rStyle w:val="Ninguno"/>
          <w:sz w:val="18"/>
          <w:szCs w:val="18"/>
          <w:rtl w:val="0"/>
        </w:rPr>
        <w:t>……………………………</w:t>
      </w:r>
      <w:r>
        <w:rPr>
          <w:rStyle w:val="Ninguno"/>
          <w:sz w:val="18"/>
          <w:szCs w:val="18"/>
          <w:rtl w:val="0"/>
        </w:rPr>
        <w:t>..</w:t>
      </w:r>
    </w:p>
    <w:p>
      <w:pPr>
        <w:pStyle w:val="Cuerpo A"/>
        <w:spacing w:after="100"/>
        <w:rPr>
          <w:rStyle w:val="Ninguno"/>
          <w:sz w:val="18"/>
          <w:szCs w:val="18"/>
        </w:rPr>
      </w:pPr>
      <w:r>
        <w:rPr>
          <w:rStyle w:val="Ninguno"/>
          <w:b w:val="1"/>
          <w:bCs w:val="1"/>
          <w:sz w:val="18"/>
          <w:szCs w:val="18"/>
          <w:rtl w:val="0"/>
          <w:lang w:val="it-IT"/>
        </w:rPr>
        <w:t>Supervisor</w:t>
      </w:r>
      <w:r>
        <w:rPr>
          <w:rStyle w:val="Ninguno"/>
          <w:rFonts w:ascii="Arial Unicode MS" w:hAnsi="Arial Unicode MS" w:hint="default"/>
          <w:sz w:val="18"/>
          <w:szCs w:val="18"/>
          <w:rtl w:val="1"/>
        </w:rPr>
        <w:t>’</w:t>
      </w:r>
      <w:r>
        <w:rPr>
          <w:rStyle w:val="Ninguno"/>
          <w:b w:val="1"/>
          <w:bCs w:val="1"/>
          <w:sz w:val="18"/>
          <w:szCs w:val="18"/>
          <w:rtl w:val="0"/>
        </w:rPr>
        <w:t>s Declaration</w:t>
      </w:r>
      <w:r>
        <w:rPr>
          <w:rStyle w:val="Ninguno"/>
          <w:sz w:val="18"/>
          <w:szCs w:val="18"/>
          <w:rtl w:val="0"/>
        </w:rPr>
        <w:t>.</w:t>
      </w:r>
    </w:p>
    <w:p>
      <w:pPr>
        <w:pStyle w:val="Cuerpo A"/>
        <w:spacing w:after="100"/>
        <w:rPr>
          <w:rStyle w:val="Ninguno"/>
          <w:sz w:val="18"/>
          <w:szCs w:val="18"/>
        </w:rPr>
      </w:pPr>
      <w:r>
        <w:rPr>
          <w:rStyle w:val="Ninguno"/>
          <w:sz w:val="18"/>
          <w:szCs w:val="18"/>
          <w:rtl w:val="0"/>
          <w:lang w:val="en-US"/>
        </w:rPr>
        <w:t>I am satisfied that this work is the result of the student</w:t>
      </w:r>
      <w:r>
        <w:rPr>
          <w:rStyle w:val="Ninguno"/>
          <w:rFonts w:ascii="Arial Unicode MS" w:hAnsi="Arial Unicode MS" w:hint="default"/>
          <w:sz w:val="18"/>
          <w:szCs w:val="18"/>
          <w:rtl w:val="1"/>
        </w:rPr>
        <w:t>’</w:t>
      </w:r>
      <w:r>
        <w:rPr>
          <w:rStyle w:val="Ninguno"/>
          <w:sz w:val="18"/>
          <w:szCs w:val="18"/>
          <w:rtl w:val="0"/>
          <w:lang w:val="en-US"/>
        </w:rPr>
        <w:t>s own efforts.</w:t>
      </w:r>
    </w:p>
    <w:p>
      <w:pPr>
        <w:pStyle w:val="Cuerpo A"/>
        <w:spacing w:after="100"/>
        <w:rPr>
          <w:rStyle w:val="Ninguno"/>
          <w:sz w:val="18"/>
          <w:szCs w:val="18"/>
        </w:rPr>
      </w:pPr>
      <w:r>
        <w:rPr>
          <w:rStyle w:val="Ninguno"/>
          <w:sz w:val="18"/>
          <w:szCs w:val="18"/>
          <w:rtl w:val="0"/>
          <w:lang w:val="en-US"/>
        </w:rPr>
        <w:t>Signed: Garry Phillipson.</w:t>
      </w:r>
    </w:p>
    <w:p>
      <w:pPr>
        <w:pStyle w:val="Cuerpo A"/>
        <w:spacing w:after="100"/>
        <w:jc w:val="both"/>
        <w:rPr>
          <w:rStyle w:val="Ninguno"/>
          <w:sz w:val="18"/>
          <w:szCs w:val="18"/>
        </w:rPr>
      </w:pPr>
      <w:r>
        <w:rPr>
          <w:rStyle w:val="Ninguno"/>
          <w:sz w:val="18"/>
          <w:szCs w:val="18"/>
          <w:rtl w:val="0"/>
          <w:lang w:val="de-DE"/>
        </w:rPr>
        <w:t>Date: 31</w:t>
      </w:r>
      <w:r>
        <w:rPr>
          <w:rStyle w:val="Ninguno"/>
          <w:sz w:val="18"/>
          <w:szCs w:val="18"/>
          <w:vertAlign w:val="superscript"/>
          <w:rtl w:val="0"/>
        </w:rPr>
        <w:t>st</w:t>
      </w:r>
      <w:r>
        <w:rPr>
          <w:rStyle w:val="Ninguno"/>
          <w:sz w:val="18"/>
          <w:szCs w:val="18"/>
          <w:rtl w:val="0"/>
          <w:lang w:val="en-US"/>
        </w:rPr>
        <w:t xml:space="preserve"> January 2022</w:t>
      </w: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rPr>
          <w:rStyle w:val="Ninguno"/>
          <w:rFonts w:ascii="EB Garamond" w:cs="EB Garamond" w:hAnsi="EB Garamond" w:eastAsia="EB Garamond"/>
          <w:b w:val="1"/>
          <w:bCs w:val="1"/>
          <w:sz w:val="30"/>
          <w:szCs w:val="30"/>
        </w:rPr>
      </w:pPr>
      <w:r>
        <w:rPr>
          <w:rStyle w:val="Ninguno"/>
          <w:rFonts w:ascii="EB Garamond" w:cs="EB Garamond" w:hAnsi="EB Garamond" w:eastAsia="EB Garamond"/>
          <w:b w:val="1"/>
          <w:bCs w:val="1"/>
          <w:sz w:val="30"/>
          <w:szCs w:val="30"/>
          <w:rtl w:val="0"/>
          <w:lang w:val="en-US"/>
        </w:rPr>
        <w:t>TABLE OF CONTENTS</w:t>
      </w:r>
    </w:p>
    <w:p>
      <w:pPr>
        <w:pStyle w:val="Encabezamiento 2"/>
        <w:spacing w:line="360" w:lineRule="auto"/>
        <w:jc w:val="both"/>
        <w:rPr>
          <w:rStyle w:val="Ninguno"/>
          <w:rFonts w:ascii="EB Garamond" w:cs="EB Garamond" w:hAnsi="EB Garamond" w:eastAsia="EB Garamond"/>
          <w:b w:val="1"/>
          <w:bCs w:val="1"/>
        </w:rPr>
      </w:pPr>
      <w:bookmarkStart w:name="_ipymxiluuehc" w:id="1"/>
      <w:bookmarkEnd w:id="1"/>
    </w:p>
    <w:p>
      <w:pPr>
        <w:pStyle w:val="Cuerpo A"/>
        <w:spacing w:line="480" w:lineRule="auto"/>
        <w:rPr>
          <w:rStyle w:val="Ninguno"/>
          <w:rFonts w:ascii="EB Garamond" w:cs="EB Garamond" w:hAnsi="EB Garamond" w:eastAsia="EB Garamond"/>
          <w:sz w:val="30"/>
          <w:szCs w:val="30"/>
        </w:rPr>
      </w:pPr>
      <w:r>
        <w:rPr>
          <w:rStyle w:val="Ninguno"/>
          <w:rFonts w:ascii="EB Garamond" w:cs="EB Garamond" w:hAnsi="EB Garamond" w:eastAsia="EB Garamond"/>
          <w:sz w:val="30"/>
          <w:szCs w:val="30"/>
          <w:rtl w:val="0"/>
          <w:lang w:val="en-US"/>
        </w:rPr>
        <w:t>Acknowledgments</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 p. iv</w:t>
      </w:r>
    </w:p>
    <w:p>
      <w:pPr>
        <w:pStyle w:val="Cuerpo A"/>
        <w:spacing w:line="480" w:lineRule="auto"/>
        <w:rPr>
          <w:rStyle w:val="Ninguno"/>
          <w:rFonts w:ascii="EB Garamond" w:cs="EB Garamond" w:hAnsi="EB Garamond" w:eastAsia="EB Garamond"/>
          <w:sz w:val="30"/>
          <w:szCs w:val="30"/>
        </w:rPr>
      </w:pPr>
      <w:r>
        <w:rPr>
          <w:rStyle w:val="Ninguno"/>
          <w:rFonts w:ascii="EB Garamond" w:cs="EB Garamond" w:hAnsi="EB Garamond" w:eastAsia="EB Garamond"/>
          <w:sz w:val="30"/>
          <w:szCs w:val="30"/>
          <w:rtl w:val="0"/>
          <w:lang w:val="de-DE"/>
        </w:rPr>
        <w:t>Abstract</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w:t>
      </w:r>
      <w:r>
        <w:rPr>
          <w:rStyle w:val="Ninguno"/>
          <w:rFonts w:ascii="EB Garamond" w:cs="EB Garamond" w:hAnsi="EB Garamond" w:eastAsia="EB Garamond"/>
          <w:sz w:val="30"/>
          <w:szCs w:val="30"/>
          <w:rtl w:val="0"/>
          <w:lang w:val="en-US"/>
        </w:rPr>
        <w:t xml:space="preserve">…… </w:t>
      </w:r>
      <w:r>
        <w:rPr>
          <w:rStyle w:val="Ninguno"/>
          <w:rFonts w:ascii="EB Garamond" w:cs="EB Garamond" w:hAnsi="EB Garamond" w:eastAsia="EB Garamond"/>
          <w:sz w:val="30"/>
          <w:szCs w:val="30"/>
          <w:rtl w:val="0"/>
        </w:rPr>
        <w:t>p. v</w:t>
      </w:r>
    </w:p>
    <w:p>
      <w:pPr>
        <w:pStyle w:val="Cuerpo A"/>
        <w:spacing w:line="480" w:lineRule="auto"/>
        <w:rPr>
          <w:rStyle w:val="Ninguno"/>
          <w:rFonts w:ascii="EB Garamond" w:cs="EB Garamond" w:hAnsi="EB Garamond" w:eastAsia="EB Garamond"/>
          <w:sz w:val="30"/>
          <w:szCs w:val="30"/>
        </w:rPr>
      </w:pPr>
      <w:r>
        <w:rPr>
          <w:rStyle w:val="Ninguno"/>
          <w:rFonts w:ascii="EB Garamond" w:cs="EB Garamond" w:hAnsi="EB Garamond" w:eastAsia="EB Garamond"/>
          <w:sz w:val="30"/>
          <w:szCs w:val="30"/>
          <w:rtl w:val="0"/>
          <w:lang w:val="fr-FR"/>
        </w:rPr>
        <w:t xml:space="preserve">Introduction </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w:t>
      </w:r>
      <w:r>
        <w:rPr>
          <w:rStyle w:val="Ninguno"/>
          <w:rFonts w:ascii="EB Garamond" w:cs="EB Garamond" w:hAnsi="EB Garamond" w:eastAsia="EB Garamond"/>
          <w:sz w:val="30"/>
          <w:szCs w:val="30"/>
          <w:rtl w:val="0"/>
          <w:lang w:val="en-US"/>
        </w:rPr>
        <w:t xml:space="preserve">……………………………… </w:t>
      </w:r>
      <w:r>
        <w:rPr>
          <w:rStyle w:val="Ninguno"/>
          <w:rFonts w:ascii="EB Garamond" w:cs="EB Garamond" w:hAnsi="EB Garamond" w:eastAsia="EB Garamond"/>
          <w:sz w:val="30"/>
          <w:szCs w:val="30"/>
          <w:rtl w:val="0"/>
        </w:rPr>
        <w:t>p. 7</w:t>
      </w:r>
    </w:p>
    <w:p>
      <w:pPr>
        <w:pStyle w:val="Cuerpo A"/>
        <w:spacing w:line="480" w:lineRule="auto"/>
        <w:rPr>
          <w:rStyle w:val="Ninguno"/>
          <w:rFonts w:ascii="EB Garamond" w:cs="EB Garamond" w:hAnsi="EB Garamond" w:eastAsia="EB Garamond"/>
          <w:sz w:val="30"/>
          <w:szCs w:val="30"/>
        </w:rPr>
      </w:pPr>
      <w:r>
        <w:rPr>
          <w:rStyle w:val="Ninguno"/>
          <w:rFonts w:ascii="EB Garamond" w:cs="EB Garamond" w:hAnsi="EB Garamond" w:eastAsia="EB Garamond"/>
          <w:sz w:val="30"/>
          <w:szCs w:val="30"/>
          <w:rtl w:val="0"/>
          <w:lang w:val="en-US"/>
        </w:rPr>
        <w:t>Imagination &amp; Symbol</w:t>
      </w:r>
    </w:p>
    <w:p>
      <w:pPr>
        <w:pStyle w:val="Cuerpo A"/>
        <w:spacing w:line="480" w:lineRule="auto"/>
        <w:rPr>
          <w:rStyle w:val="Ninguno"/>
          <w:rFonts w:ascii="EB Garamond" w:cs="EB Garamond" w:hAnsi="EB Garamond" w:eastAsia="EB Garamond"/>
          <w:sz w:val="30"/>
          <w:szCs w:val="30"/>
        </w:rPr>
      </w:pPr>
      <w:r>
        <w:rPr>
          <w:rStyle w:val="Ninguno"/>
          <w:rFonts w:ascii="EB Garamond" w:cs="EB Garamond" w:hAnsi="EB Garamond" w:eastAsia="EB Garamond"/>
          <w:sz w:val="30"/>
          <w:szCs w:val="30"/>
          <w:rtl w:val="0"/>
          <w:lang w:val="en-US"/>
        </w:rPr>
        <w:t xml:space="preserve">Imagination and Synchronicity </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 p. 21</w:t>
      </w:r>
    </w:p>
    <w:p>
      <w:pPr>
        <w:pStyle w:val="Cuerpo A"/>
        <w:spacing w:line="480" w:lineRule="auto"/>
        <w:rPr>
          <w:rStyle w:val="Ninguno"/>
          <w:rFonts w:ascii="EB Garamond" w:cs="EB Garamond" w:hAnsi="EB Garamond" w:eastAsia="EB Garamond"/>
          <w:sz w:val="30"/>
          <w:szCs w:val="30"/>
        </w:rPr>
      </w:pPr>
      <w:r>
        <w:rPr>
          <w:rStyle w:val="Ninguno"/>
          <w:rFonts w:ascii="EB Garamond" w:cs="EB Garamond" w:hAnsi="EB Garamond" w:eastAsia="EB Garamond"/>
          <w:sz w:val="30"/>
          <w:szCs w:val="30"/>
          <w:rtl w:val="0"/>
          <w:lang w:val="en-US"/>
        </w:rPr>
        <w:t xml:space="preserve">Active Imagination, Participation and Theurgy </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w:t>
      </w:r>
      <w:r>
        <w:rPr>
          <w:rStyle w:val="Ninguno"/>
          <w:rFonts w:ascii="EB Garamond" w:cs="EB Garamond" w:hAnsi="EB Garamond" w:eastAsia="EB Garamond"/>
          <w:sz w:val="30"/>
          <w:szCs w:val="30"/>
          <w:rtl w:val="0"/>
          <w:lang w:val="en-US"/>
        </w:rPr>
        <w:t xml:space="preserve">…………… </w:t>
      </w:r>
      <w:r>
        <w:rPr>
          <w:rStyle w:val="Ninguno"/>
          <w:rFonts w:ascii="EB Garamond" w:cs="EB Garamond" w:hAnsi="EB Garamond" w:eastAsia="EB Garamond"/>
          <w:sz w:val="30"/>
          <w:szCs w:val="30"/>
          <w:rtl w:val="0"/>
        </w:rPr>
        <w:t>p. 31</w:t>
      </w:r>
    </w:p>
    <w:p>
      <w:pPr>
        <w:pStyle w:val="Cuerpo A"/>
        <w:spacing w:line="480" w:lineRule="auto"/>
        <w:rPr>
          <w:rStyle w:val="Ninguno"/>
          <w:rFonts w:ascii="EB Garamond" w:cs="EB Garamond" w:hAnsi="EB Garamond" w:eastAsia="EB Garamond"/>
          <w:sz w:val="30"/>
          <w:szCs w:val="30"/>
        </w:rPr>
      </w:pPr>
      <w:r>
        <w:rPr>
          <w:rStyle w:val="Ninguno"/>
          <w:rFonts w:ascii="EB Garamond" w:cs="EB Garamond" w:hAnsi="EB Garamond" w:eastAsia="EB Garamond"/>
          <w:sz w:val="30"/>
          <w:szCs w:val="30"/>
          <w:rtl w:val="0"/>
          <w:lang w:val="en-US"/>
        </w:rPr>
        <w:t xml:space="preserve">The Sacred </w:t>
      </w:r>
      <w:r>
        <w:rPr>
          <w:rStyle w:val="Ninguno"/>
          <w:rFonts w:ascii="EB Garamond" w:cs="EB Garamond" w:hAnsi="EB Garamond" w:eastAsia="EB Garamond"/>
          <w:sz w:val="30"/>
          <w:szCs w:val="30"/>
          <w:rtl w:val="0"/>
          <w:lang w:val="en-US"/>
        </w:rPr>
        <w:t xml:space="preserve">………………………………………………………………………………………… </w:t>
      </w:r>
      <w:r>
        <w:rPr>
          <w:rStyle w:val="Ninguno"/>
          <w:rFonts w:ascii="EB Garamond" w:cs="EB Garamond" w:hAnsi="EB Garamond" w:eastAsia="EB Garamond"/>
          <w:sz w:val="30"/>
          <w:szCs w:val="30"/>
          <w:rtl w:val="0"/>
        </w:rPr>
        <w:t>p. 41</w:t>
      </w:r>
    </w:p>
    <w:p>
      <w:pPr>
        <w:pStyle w:val="Cuerpo A"/>
        <w:spacing w:line="480" w:lineRule="auto"/>
        <w:rPr>
          <w:rStyle w:val="Ninguno"/>
          <w:rFonts w:ascii="EB Garamond" w:cs="EB Garamond" w:hAnsi="EB Garamond" w:eastAsia="EB Garamond"/>
          <w:sz w:val="30"/>
          <w:szCs w:val="30"/>
        </w:rPr>
      </w:pPr>
      <w:r>
        <w:rPr>
          <w:rStyle w:val="Ninguno"/>
          <w:rFonts w:ascii="EB Garamond" w:cs="EB Garamond" w:hAnsi="EB Garamond" w:eastAsia="EB Garamond"/>
          <w:sz w:val="30"/>
          <w:szCs w:val="30"/>
          <w:rtl w:val="0"/>
          <w:lang w:val="en-US"/>
        </w:rPr>
        <w:t xml:space="preserve">Imagination, Astrology and Mystical Experience </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 p. 54</w:t>
      </w:r>
    </w:p>
    <w:p>
      <w:pPr>
        <w:pStyle w:val="Cuerpo A"/>
        <w:spacing w:line="480" w:lineRule="auto"/>
        <w:rPr>
          <w:rStyle w:val="Ninguno"/>
          <w:rFonts w:ascii="EB Garamond" w:cs="EB Garamond" w:hAnsi="EB Garamond" w:eastAsia="EB Garamond"/>
          <w:sz w:val="30"/>
          <w:szCs w:val="30"/>
        </w:rPr>
      </w:pPr>
      <w:r>
        <w:rPr>
          <w:rStyle w:val="Ninguno"/>
          <w:rFonts w:ascii="EB Garamond" w:cs="EB Garamond" w:hAnsi="EB Garamond" w:eastAsia="EB Garamond"/>
          <w:sz w:val="30"/>
          <w:szCs w:val="30"/>
          <w:rtl w:val="0"/>
          <w:lang w:val="fr-FR"/>
        </w:rPr>
        <w:t xml:space="preserve">Conclusion </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 p. 65</w:t>
      </w:r>
    </w:p>
    <w:p>
      <w:pPr>
        <w:pStyle w:val="Cuerpo A"/>
        <w:spacing w:line="480" w:lineRule="auto"/>
        <w:rPr>
          <w:rStyle w:val="Ninguno"/>
          <w:rFonts w:ascii="EB Garamond" w:cs="EB Garamond" w:hAnsi="EB Garamond" w:eastAsia="EB Garamond"/>
          <w:sz w:val="30"/>
          <w:szCs w:val="30"/>
        </w:rPr>
      </w:pPr>
      <w:r>
        <w:rPr>
          <w:rStyle w:val="Ninguno"/>
          <w:rFonts w:ascii="EB Garamond" w:cs="EB Garamond" w:hAnsi="EB Garamond" w:eastAsia="EB Garamond"/>
          <w:sz w:val="30"/>
          <w:szCs w:val="30"/>
          <w:rtl w:val="0"/>
          <w:lang w:val="fr-FR"/>
        </w:rPr>
        <w:t xml:space="preserve">Bibliography </w:t>
      </w:r>
      <w:r>
        <w:rPr>
          <w:rStyle w:val="Ninguno"/>
          <w:rFonts w:ascii="EB Garamond" w:cs="EB Garamond" w:hAnsi="EB Garamond" w:eastAsia="EB Garamond"/>
          <w:sz w:val="30"/>
          <w:szCs w:val="30"/>
          <w:rtl w:val="0"/>
          <w:lang w:val="en-US"/>
        </w:rPr>
        <w:t>………………………………………………………………………………………</w:t>
      </w:r>
      <w:r>
        <w:rPr>
          <w:rStyle w:val="Ninguno"/>
          <w:rFonts w:ascii="EB Garamond" w:cs="EB Garamond" w:hAnsi="EB Garamond" w:eastAsia="EB Garamond"/>
          <w:sz w:val="30"/>
          <w:szCs w:val="30"/>
          <w:rtl w:val="0"/>
        </w:rPr>
        <w:t>. p. 69</w:t>
      </w:r>
    </w:p>
    <w:p>
      <w:pPr>
        <w:pStyle w:val="Cuerpo A"/>
        <w:spacing w:line="480" w:lineRule="auto"/>
        <w:rPr>
          <w:rStyle w:val="Ninguno A"/>
          <w:rFonts w:ascii="EB Garamond" w:cs="EB Garamond" w:hAnsi="EB Garamond" w:eastAsia="EB Garamond"/>
          <w:sz w:val="30"/>
          <w:szCs w:val="30"/>
        </w:rPr>
      </w:pPr>
    </w:p>
    <w:p>
      <w:pPr>
        <w:pStyle w:val="Cuerpo A"/>
        <w:spacing w:line="480" w:lineRule="auto"/>
        <w:rPr>
          <w:rStyle w:val="Ninguno A"/>
          <w:rFonts w:ascii="EB Garamond" w:cs="EB Garamond" w:hAnsi="EB Garamond" w:eastAsia="EB Garamond"/>
          <w:sz w:val="30"/>
          <w:szCs w:val="30"/>
        </w:rPr>
      </w:pPr>
    </w:p>
    <w:p>
      <w:pPr>
        <w:pStyle w:val="Cuerpo A"/>
        <w:spacing w:line="480" w:lineRule="auto"/>
        <w:rPr>
          <w:rStyle w:val="Ninguno A"/>
          <w:rFonts w:ascii="EB Garamond" w:cs="EB Garamond" w:hAnsi="EB Garamond" w:eastAsia="EB Garamond"/>
          <w:sz w:val="30"/>
          <w:szCs w:val="30"/>
        </w:rPr>
      </w:pPr>
    </w:p>
    <w:p>
      <w:pPr>
        <w:pStyle w:val="Cuerpo A"/>
        <w:spacing w:line="480" w:lineRule="auto"/>
        <w:rPr>
          <w:rStyle w:val="Ninguno A"/>
          <w:rFonts w:ascii="EB Garamond" w:cs="EB Garamond" w:hAnsi="EB Garamond" w:eastAsia="EB Garamond"/>
          <w:sz w:val="30"/>
          <w:szCs w:val="30"/>
        </w:rPr>
      </w:pPr>
    </w:p>
    <w:p>
      <w:pPr>
        <w:pStyle w:val="Cuerpo A"/>
        <w:spacing w:line="480" w:lineRule="auto"/>
        <w:rPr>
          <w:rStyle w:val="Ninguno A"/>
          <w:rFonts w:ascii="EB Garamond" w:cs="EB Garamond" w:hAnsi="EB Garamond" w:eastAsia="EB Garamond"/>
          <w:sz w:val="30"/>
          <w:szCs w:val="30"/>
        </w:rPr>
      </w:pPr>
    </w:p>
    <w:p>
      <w:pPr>
        <w:pStyle w:val="Cuerpo A"/>
        <w:spacing w:line="480" w:lineRule="auto"/>
        <w:rPr>
          <w:rStyle w:val="Ninguno A"/>
          <w:rFonts w:ascii="EB Garamond" w:cs="EB Garamond" w:hAnsi="EB Garamond" w:eastAsia="EB Garamond"/>
          <w:sz w:val="30"/>
          <w:szCs w:val="30"/>
        </w:rPr>
      </w:pPr>
    </w:p>
    <w:p>
      <w:pPr>
        <w:pStyle w:val="Cuerpo A"/>
        <w:spacing w:line="480" w:lineRule="auto"/>
        <w:rPr>
          <w:rStyle w:val="Ninguno A"/>
          <w:rFonts w:ascii="EB Garamond" w:cs="EB Garamond" w:hAnsi="EB Garamond" w:eastAsia="EB Garamond"/>
          <w:sz w:val="30"/>
          <w:szCs w:val="30"/>
        </w:rPr>
      </w:pPr>
    </w:p>
    <w:p>
      <w:pPr>
        <w:pStyle w:val="Cuerpo A"/>
        <w:spacing w:line="480" w:lineRule="auto"/>
        <w:rPr>
          <w:rStyle w:val="Ninguno A"/>
          <w:rFonts w:ascii="EB Garamond" w:cs="EB Garamond" w:hAnsi="EB Garamond" w:eastAsia="EB Garamond"/>
          <w:sz w:val="30"/>
          <w:szCs w:val="30"/>
        </w:rPr>
      </w:pPr>
    </w:p>
    <w:p>
      <w:pPr>
        <w:pStyle w:val="Encabezamiento 2"/>
        <w:spacing w:line="360" w:lineRule="auto"/>
        <w:jc w:val="both"/>
        <w:rPr>
          <w:rStyle w:val="Ninguno"/>
          <w:rFonts w:ascii="EB Garamond" w:cs="EB Garamond" w:hAnsi="EB Garamond" w:eastAsia="EB Garamond"/>
          <w:b w:val="1"/>
          <w:bCs w:val="1"/>
        </w:rPr>
      </w:pPr>
      <w:bookmarkStart w:name="_v5enk9mriiat" w:id="2"/>
      <w:bookmarkEnd w:id="2"/>
      <w:r>
        <w:rPr>
          <w:rStyle w:val="Ninguno"/>
          <w:rFonts w:ascii="EB Garamond" w:cs="EB Garamond" w:hAnsi="EB Garamond" w:eastAsia="EB Garamond"/>
          <w:b w:val="1"/>
          <w:bCs w:val="1"/>
          <w:rtl w:val="0"/>
        </w:rPr>
        <w:t>A</w:t>
      </w:r>
      <w:r>
        <w:rPr>
          <w:rStyle w:val="Ninguno"/>
          <w:rFonts w:ascii="EB Garamond" w:cs="EB Garamond" w:hAnsi="EB Garamond" w:eastAsia="EB Garamond"/>
          <w:b w:val="1"/>
          <w:bCs w:val="1"/>
          <w:rtl w:val="0"/>
          <w:lang w:val="en-US"/>
        </w:rPr>
        <w:t>cknowledgments</w:t>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Most of all I would like to thank Garry Phillipson for his intense support. His comments and suggestions have been a fundamental guide in the process of developing my ideas and insights into the present research.</w:t>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 am also deeply grateful to Nicholas Campion, Bernadette and all my professors who have greatly inspired my vision of the world and of astrology in particular. Also, because all their comments throughout the courses have guided me to be a better academic researcher each time, but also to discover myself. It was a soul's journey through an amazing academic program.</w:t>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Finally, I would like to thank my parents who have supported me in every step of my life and this has not been the exception. Also, thanks to my Welsh lineage and the mysterious order of life that, following the stars, brought me back to their lands through the University of Wales.</w:t>
      </w: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rPr>
          <w:rStyle w:val="Ninguno"/>
          <w:rFonts w:ascii="EB Garamond" w:cs="EB Garamond" w:hAnsi="EB Garamond" w:eastAsia="EB Garamond"/>
          <w:b w:val="1"/>
          <w:bCs w:val="1"/>
          <w:sz w:val="30"/>
          <w:szCs w:val="30"/>
        </w:rPr>
      </w:pPr>
      <w:r>
        <w:rPr>
          <w:rStyle w:val="Ninguno"/>
          <w:rFonts w:ascii="EB Garamond" w:cs="EB Garamond" w:hAnsi="EB Garamond" w:eastAsia="EB Garamond"/>
          <w:b w:val="1"/>
          <w:bCs w:val="1"/>
          <w:sz w:val="30"/>
          <w:szCs w:val="30"/>
          <w:rtl w:val="0"/>
          <w:lang w:val="de-DE"/>
        </w:rPr>
        <w:t>ABSTRACT</w:t>
      </w:r>
    </w:p>
    <w:p>
      <w:pPr>
        <w:pStyle w:val="Cuerpo A"/>
      </w:pPr>
    </w:p>
    <w:p>
      <w:pPr>
        <w:pStyle w:val="Cuerpo A"/>
      </w:pPr>
    </w:p>
    <w:p>
      <w:pPr>
        <w:pStyle w:val="Cuerpo A"/>
        <w:spacing w:line="24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Some contemporary astrologers have given to the faculty of imagination an ontological aspect capable of opening the doors of perception onto other ways of perceiving the world. In addition, there seems to be that symbol and symbolic thinking are central in the knowledge of imagination as the ability to look into the world, to see it from the inside. Furthermore, it has been argued that there is a correlation between the function of symbol and the faculty imagination as a way towards mystical experience. </w:t>
      </w:r>
    </w:p>
    <w:p>
      <w:pPr>
        <w:pStyle w:val="Cuerpo A"/>
        <w:spacing w:line="240" w:lineRule="auto"/>
        <w:jc w:val="both"/>
        <w:rPr>
          <w:rStyle w:val="Ninguno A"/>
          <w:rFonts w:ascii="EB Garamond" w:cs="EB Garamond" w:hAnsi="EB Garamond" w:eastAsia="EB Garamond"/>
          <w:sz w:val="28"/>
          <w:szCs w:val="28"/>
        </w:rPr>
      </w:pPr>
    </w:p>
    <w:p>
      <w:pPr>
        <w:pStyle w:val="Cuerpo A"/>
        <w:spacing w:line="24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 will adopt Geoffrey Cornelius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understanding of the `Fourfold Interpretation of the Symbol` as a fundamental map to explore and contrast the different functions of symbol and whether it has an ontological dimension.</w:t>
      </w:r>
      <w:r>
        <w:rPr>
          <w:rStyle w:val="Ninguno"/>
          <w:rFonts w:ascii="EB Garamond" w:cs="EB Garamond" w:hAnsi="EB Garamond" w:eastAsia="EB Garamond"/>
          <w:sz w:val="28"/>
          <w:szCs w:val="28"/>
          <w:vertAlign w:val="superscript"/>
        </w:rPr>
        <w:footnoteReference w:id="1"/>
      </w:r>
      <w:r>
        <w:rPr>
          <w:rStyle w:val="Ninguno"/>
          <w:rFonts w:ascii="EB Garamond" w:cs="EB Garamond" w:hAnsi="EB Garamond" w:eastAsia="EB Garamond"/>
          <w:sz w:val="28"/>
          <w:szCs w:val="28"/>
          <w:rtl w:val="0"/>
          <w:lang w:val="en-US"/>
        </w:rPr>
        <w:t xml:space="preserve"> As he introduces, this is a hermeneutic model of four levels of approaching the symbol developed in early and mediaeval Christianity to interpret the inner meaning represented by the literal text of the sacred Scripture.</w:t>
      </w:r>
      <w:r>
        <w:rPr>
          <w:rStyle w:val="Ninguno"/>
          <w:rFonts w:ascii="EB Garamond" w:cs="EB Garamond" w:hAnsi="EB Garamond" w:eastAsia="EB Garamond"/>
          <w:sz w:val="28"/>
          <w:szCs w:val="28"/>
          <w:vertAlign w:val="superscript"/>
        </w:rPr>
        <w:footnoteReference w:id="2"/>
      </w:r>
      <w:r>
        <w:rPr>
          <w:rStyle w:val="Ninguno"/>
          <w:rFonts w:ascii="EB Garamond" w:cs="EB Garamond" w:hAnsi="EB Garamond" w:eastAsia="EB Garamond"/>
          <w:sz w:val="28"/>
          <w:szCs w:val="28"/>
          <w:rtl w:val="0"/>
          <w:lang w:val="en-US"/>
        </w:rPr>
        <w:t xml:space="preserve"> These four levels of interpretation of the symbol are the literal, the allegorical, the tropologic or moral, and the anagogic or mystical. However, for the aim of my research, my interest relies on how Cornelius, as a contemporary astrologer, uses the scheme to analyse the different aspects of symbol in astrological practice; and not to refer the Christian texts in particular, and how they achieve the fourfold scheme for theirs ends. </w:t>
      </w:r>
    </w:p>
    <w:p>
      <w:pPr>
        <w:pStyle w:val="Cuerpo A"/>
        <w:spacing w:line="240" w:lineRule="auto"/>
        <w:jc w:val="both"/>
        <w:rPr>
          <w:rStyle w:val="Ninguno A"/>
          <w:rFonts w:ascii="EB Garamond" w:cs="EB Garamond" w:hAnsi="EB Garamond" w:eastAsia="EB Garamond"/>
          <w:sz w:val="28"/>
          <w:szCs w:val="28"/>
        </w:rPr>
      </w:pPr>
    </w:p>
    <w:p>
      <w:pPr>
        <w:pStyle w:val="Cuerpo A"/>
        <w:spacing w:line="240" w:lineRule="auto"/>
        <w:jc w:val="both"/>
        <w:rPr>
          <w:rStyle w:val="Ninguno"/>
          <w:rFonts w:ascii="EB Garamond" w:cs="EB Garamond" w:hAnsi="EB Garamond" w:eastAsia="EB Garamond"/>
          <w:sz w:val="28"/>
          <w:szCs w:val="28"/>
          <w:vertAlign w:val="superscript"/>
        </w:rPr>
      </w:pPr>
      <w:r>
        <w:rPr>
          <w:rStyle w:val="Ninguno"/>
          <w:rFonts w:ascii="EB Garamond" w:cs="EB Garamond" w:hAnsi="EB Garamond" w:eastAsia="EB Garamond"/>
          <w:sz w:val="28"/>
          <w:szCs w:val="28"/>
          <w:rtl w:val="0"/>
          <w:lang w:val="en-US"/>
        </w:rPr>
        <w:t>This research explores whether imagination has an ontological aspect, a power in itself, capable of orienting the individual soul and triggering a movement of attitude to manifest a mystical experience spontaneously; and, therefore, if applying imagination to astrological practice can reveal a profound self-transformation shift and trigger a mystical experience in the person who practises it.  Or if, on the contrary, astrology is merely seen as a analogy and a tool for self-knowledge, personal healing and problem-solving, in which the goal of astrological symbolism is oriented to personal desires, and not to enable the person to communicate and be unified with some form of transcendental or transpersonal intelligence.</w:t>
      </w:r>
    </w:p>
    <w:p>
      <w:pPr>
        <w:pStyle w:val="Cuerpo A"/>
        <w:spacing w:line="360" w:lineRule="auto"/>
        <w:jc w:val="both"/>
        <w:rPr>
          <w:rStyle w:val="Ninguno A"/>
          <w:rFonts w:ascii="EB Garamond" w:cs="EB Garamond" w:hAnsi="EB Garamond" w:eastAsia="EB Garamond"/>
          <w:sz w:val="28"/>
          <w:szCs w:val="28"/>
        </w:rPr>
      </w:pPr>
    </w:p>
    <w:p>
      <w:pPr>
        <w:pStyle w:val="Cuerpo A"/>
        <w:rPr>
          <w:rStyle w:val="Ninguno A"/>
          <w:rFonts w:ascii="EB Garamond" w:cs="EB Garamond" w:hAnsi="EB Garamond" w:eastAsia="EB Garamond"/>
          <w:sz w:val="28"/>
          <w:szCs w:val="28"/>
        </w:rPr>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Cuerpo A"/>
      </w:pPr>
    </w:p>
    <w:p>
      <w:pPr>
        <w:pStyle w:val="Encabezamiento 2"/>
        <w:spacing w:line="360" w:lineRule="auto"/>
        <w:jc w:val="both"/>
        <w:rPr>
          <w:rStyle w:val="Ninguno"/>
          <w:rFonts w:ascii="EB Garamond" w:cs="EB Garamond" w:hAnsi="EB Garamond" w:eastAsia="EB Garamond"/>
          <w:sz w:val="18"/>
          <w:szCs w:val="18"/>
        </w:rPr>
      </w:pPr>
      <w:bookmarkStart w:name="_hjtjghahbh32" w:id="3"/>
      <w:bookmarkEnd w:id="3"/>
      <w:r>
        <w:rPr>
          <w:rStyle w:val="Ninguno"/>
          <w:rFonts w:ascii="EB Garamond" w:cs="EB Garamond" w:hAnsi="EB Garamond" w:eastAsia="EB Garamond"/>
          <w:b w:val="1"/>
          <w:bCs w:val="1"/>
          <w:rtl w:val="0"/>
        </w:rPr>
        <w:t>I</w:t>
      </w:r>
      <w:r>
        <w:rPr>
          <w:rStyle w:val="Ninguno"/>
          <w:rFonts w:ascii="EB Garamond" w:cs="EB Garamond" w:hAnsi="EB Garamond" w:eastAsia="EB Garamond"/>
          <w:b w:val="1"/>
          <w:bCs w:val="1"/>
          <w:rtl w:val="0"/>
          <w:lang w:val="en-US"/>
        </w:rPr>
        <w:t>NTRODUCTION</w:t>
      </w:r>
    </w:p>
    <w:p>
      <w:pPr>
        <w:pStyle w:val="Cuerpo A"/>
        <w:spacing w:line="360" w:lineRule="auto"/>
        <w:jc w:val="both"/>
        <w:rPr>
          <w:rStyle w:val="Ninguno"/>
          <w:rFonts w:ascii="EB Garamond" w:cs="EB Garamond" w:hAnsi="EB Garamond" w:eastAsia="EB Garamond"/>
        </w:rPr>
      </w:pPr>
      <w:r>
        <w:rPr>
          <w:rStyle w:val="Ninguno"/>
          <w:rFonts w:ascii="EB Garamond" w:cs="EB Garamond" w:hAnsi="EB Garamond" w:eastAsia="EB Garamond"/>
        </w:rPr>
        <w:tab/>
        <w:tab/>
        <w:tab/>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Some contemporary astrologers have given to the faculty of imagination an ontological aspect capable of opening the doors of perception onto other ways of perceiving the world.</w:t>
      </w:r>
      <w:r>
        <w:rPr>
          <w:rStyle w:val="Ninguno"/>
          <w:rFonts w:ascii="EB Garamond" w:cs="EB Garamond" w:hAnsi="EB Garamond" w:eastAsia="EB Garamond"/>
          <w:sz w:val="28"/>
          <w:szCs w:val="28"/>
          <w:vertAlign w:val="superscript"/>
        </w:rPr>
        <w:footnoteReference w:id="3"/>
      </w:r>
      <w:r>
        <w:rPr>
          <w:rStyle w:val="Ninguno"/>
          <w:rFonts w:ascii="EB Garamond" w:cs="EB Garamond" w:hAnsi="EB Garamond" w:eastAsia="EB Garamond"/>
          <w:sz w:val="28"/>
          <w:szCs w:val="28"/>
          <w:rtl w:val="0"/>
          <w:lang w:val="en-US"/>
        </w:rPr>
        <w:t xml:space="preserve"> For example, the astrologer and cultural historian Richard Tarnas points out that it increases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awareness of the depth, power, and complexity of the unconscious; and a more sophisticated analysis of the nature of symbolic, metaphoric, and archetypal meaning in human life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4"/>
      </w:r>
      <w:r>
        <w:rPr>
          <w:rStyle w:val="Ninguno"/>
          <w:rFonts w:ascii="EB Garamond" w:cs="EB Garamond" w:hAnsi="EB Garamond" w:eastAsia="EB Garamond"/>
          <w:sz w:val="28"/>
          <w:szCs w:val="28"/>
          <w:rtl w:val="0"/>
          <w:lang w:val="en-US"/>
        </w:rPr>
        <w:t xml:space="preserve"> Astrologer Brian Clark also says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imagination perceives objects, experiences and ideas through symbols, images, associations, correspondences and metaphors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5"/>
      </w:r>
      <w:r>
        <w:rPr>
          <w:rStyle w:val="Ninguno"/>
          <w:rFonts w:ascii="EB Garamond" w:cs="EB Garamond" w:hAnsi="EB Garamond" w:eastAsia="EB Garamond"/>
          <w:sz w:val="28"/>
          <w:szCs w:val="28"/>
          <w:rtl w:val="0"/>
          <w:lang w:val="en-US"/>
        </w:rPr>
        <w:t xml:space="preserve"> Astrologer and scholar Angela Voss also argues that the capacity of the imagination allows one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to gain deeper insight into the spiritual dimensions of human life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6"/>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Furthermore,  it has been argued that there is a correlation between the function of symbol and the faculty imagination as a way towards mystical experience. For example, the astrologer and historian of astrology, Nicholas Campion, compares the goal of astrology with that of religion which is to invoke a sense of complete integration with the cosmos and the reconciliation between humanity and the divine.</w:t>
      </w:r>
      <w:r>
        <w:rPr>
          <w:rStyle w:val="Ninguno"/>
          <w:rFonts w:ascii="EB Garamond" w:cs="EB Garamond" w:hAnsi="EB Garamond" w:eastAsia="EB Garamond"/>
          <w:sz w:val="28"/>
          <w:szCs w:val="28"/>
          <w:vertAlign w:val="superscript"/>
        </w:rPr>
        <w:footnoteReference w:id="7"/>
      </w:r>
      <w:r>
        <w:rPr>
          <w:rStyle w:val="Ninguno"/>
          <w:rFonts w:ascii="EB Garamond" w:cs="EB Garamond" w:hAnsi="EB Garamond" w:eastAsia="EB Garamond"/>
          <w:sz w:val="28"/>
          <w:szCs w:val="28"/>
          <w:rtl w:val="0"/>
          <w:lang w:val="en-US"/>
        </w:rPr>
        <w:t xml:space="preserve"> He says that astrology, in all cultures, `offer common ways of seeing the cosmos as an integrated, interdependent whole in which the sky and the earth are reflections of each other [...], indicating a dialectical and symbiotic relationship between repetitive constancy and endless change, and revealing messages and meaning to those who care to look and listen</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8"/>
      </w:r>
      <w:r>
        <w:rPr>
          <w:rStyle w:val="Ninguno"/>
          <w:rFonts w:ascii="EB Garamond" w:cs="EB Garamond" w:hAnsi="EB Garamond" w:eastAsia="EB Garamond"/>
          <w:sz w:val="28"/>
          <w:szCs w:val="28"/>
          <w:rtl w:val="0"/>
          <w:lang w:val="en-US"/>
        </w:rPr>
        <w:t xml:space="preserve"> Moreover, Campion also says that the sky was used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as a huge stage set for imaginal engagement between humanity and the cosmos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9"/>
      </w:r>
      <w:r>
        <w:rPr>
          <w:rStyle w:val="Ninguno"/>
          <w:rFonts w:ascii="EB Garamond" w:cs="EB Garamond" w:hAnsi="EB Garamond" w:eastAsia="EB Garamond"/>
          <w:sz w:val="28"/>
          <w:szCs w:val="28"/>
          <w:rtl w:val="0"/>
          <w:lang w:val="en-US"/>
        </w:rPr>
        <w:t xml:space="preserve"> The astrologer Geoffrey Cornelius also argues that the true goal of a symbol is to turn towards mystical experience, which is that experience of unity.</w:t>
      </w:r>
      <w:r>
        <w:rPr>
          <w:rStyle w:val="Ninguno"/>
          <w:rFonts w:ascii="EB Garamond" w:cs="EB Garamond" w:hAnsi="EB Garamond" w:eastAsia="EB Garamond"/>
          <w:sz w:val="28"/>
          <w:szCs w:val="28"/>
          <w:vertAlign w:val="superscript"/>
        </w:rPr>
        <w:footnoteReference w:id="10"/>
      </w:r>
      <w:r>
        <w:rPr>
          <w:rStyle w:val="Ninguno"/>
          <w:rFonts w:ascii="EB Garamond" w:cs="EB Garamond" w:hAnsi="EB Garamond" w:eastAsia="EB Garamond"/>
          <w:sz w:val="28"/>
          <w:szCs w:val="28"/>
          <w:rtl w:val="0"/>
          <w:lang w:val="en-US"/>
        </w:rPr>
        <w:t xml:space="preserve"> As Mircea Eliade notices, modern psychology has popularised certain terms such as image and symbol, which can also be obscure.</w:t>
      </w:r>
      <w:r>
        <w:rPr>
          <w:rStyle w:val="Ninguno"/>
          <w:rFonts w:ascii="EB Garamond" w:cs="EB Garamond" w:hAnsi="EB Garamond" w:eastAsia="EB Garamond"/>
          <w:sz w:val="28"/>
          <w:szCs w:val="28"/>
          <w:vertAlign w:val="superscript"/>
        </w:rPr>
        <w:footnoteReference w:id="11"/>
      </w:r>
      <w:r>
        <w:rPr>
          <w:rStyle w:val="Ninguno"/>
          <w:rFonts w:ascii="EB Garamond" w:cs="EB Garamond" w:hAnsi="EB Garamond" w:eastAsia="EB Garamond"/>
          <w:sz w:val="28"/>
          <w:szCs w:val="28"/>
          <w:rtl w:val="0"/>
          <w:lang w:val="en-US"/>
        </w:rPr>
        <w:t xml:space="preserve">  So, the faculty of imagination and the function of symbol sometimes seem to overlap; thus, for the aim of my research, it is essential to clarify and contrast these two terms and their roles.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The faculty of imagination plays a central role in the study and practice of various mystic and esoteric traditions as a way of knowing until the 16th and 17th centuries when the soul and spirits were progressively removed from the natural world; and, along with it, the human psychic participation.</w:t>
      </w:r>
      <w:r>
        <w:rPr>
          <w:rStyle w:val="Ninguno"/>
          <w:rFonts w:ascii="EB Garamond" w:cs="EB Garamond" w:hAnsi="EB Garamond" w:eastAsia="EB Garamond"/>
          <w:sz w:val="28"/>
          <w:szCs w:val="28"/>
          <w:vertAlign w:val="superscript"/>
        </w:rPr>
        <w:footnoteReference w:id="12"/>
      </w:r>
      <w:r>
        <w:rPr>
          <w:rStyle w:val="Ninguno"/>
          <w:rFonts w:ascii="EB Garamond" w:cs="EB Garamond" w:hAnsi="EB Garamond" w:eastAsia="EB Garamond"/>
          <w:sz w:val="28"/>
          <w:szCs w:val="28"/>
          <w:rtl w:val="0"/>
          <w:lang w:val="en-US"/>
        </w:rPr>
        <w:t xml:space="preserve"> The increasing intellectualisation and rationalisation of the scientific revolution and Enlightenment brought a disenchantment with the world in the modern era in which imaginal and symbolic modes of thinking have declined.</w:t>
      </w:r>
      <w:r>
        <w:rPr>
          <w:rStyle w:val="Ninguno"/>
          <w:rFonts w:ascii="EB Garamond" w:cs="EB Garamond" w:hAnsi="EB Garamond" w:eastAsia="EB Garamond"/>
          <w:sz w:val="28"/>
          <w:szCs w:val="28"/>
          <w:vertAlign w:val="superscript"/>
        </w:rPr>
        <w:footnoteReference w:id="13"/>
      </w:r>
      <w:r>
        <w:rPr>
          <w:rStyle w:val="Ninguno"/>
          <w:rFonts w:ascii="EB Garamond" w:cs="EB Garamond" w:hAnsi="EB Garamond" w:eastAsia="EB Garamond"/>
          <w:sz w:val="28"/>
          <w:szCs w:val="28"/>
          <w:rtl w:val="0"/>
          <w:lang w:val="en-US"/>
        </w:rPr>
        <w:t xml:space="preserve"> Nevertheless, in 1933, a group in Switzerland called Eranos brought together some of the most influential scholars and thinkers of the twentieth century, which was characterised by a comparative phenomenological approach to Eastern and Western spiritual traditions, myth, symbolism and archetypal topics.</w:t>
      </w:r>
      <w:r>
        <w:rPr>
          <w:rStyle w:val="Ninguno"/>
          <w:rFonts w:ascii="EB Garamond" w:cs="EB Garamond" w:hAnsi="EB Garamond" w:eastAsia="EB Garamond"/>
          <w:sz w:val="28"/>
          <w:szCs w:val="28"/>
          <w:vertAlign w:val="superscript"/>
        </w:rPr>
        <w:footnoteReference w:id="14"/>
      </w:r>
      <w:r>
        <w:rPr>
          <w:rStyle w:val="Ninguno"/>
          <w:rFonts w:ascii="EB Garamond" w:cs="EB Garamond" w:hAnsi="EB Garamond" w:eastAsia="EB Garamond"/>
          <w:sz w:val="28"/>
          <w:szCs w:val="28"/>
          <w:rtl w:val="0"/>
          <w:lang w:val="en-US"/>
        </w:rPr>
        <w:t xml:space="preserve"> I will mainly rely on the work of some of the most representative members: Swiss psychiatrist Carl Gustav Jung  (1875-1961), philosopher and Sufi scholar Henry Corbin (1903-1978) and historian of religions Mircea Eliade (1907-1986), all of whom were interested in recovering the central role of imagination in human experience.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 term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imagination'' contains in itself the notion of </w:t>
      </w:r>
      <w:r>
        <w:rPr>
          <w:rStyle w:val="Ninguno"/>
          <w:rFonts w:ascii="EB Garamond" w:cs="EB Garamond" w:hAnsi="EB Garamond" w:eastAsia="EB Garamond"/>
          <w:i w:val="1"/>
          <w:iCs w:val="1"/>
          <w:sz w:val="28"/>
          <w:szCs w:val="28"/>
          <w:rtl w:val="0"/>
          <w:lang w:val="fr-FR"/>
        </w:rPr>
        <w:t xml:space="preserve">image, </w:t>
      </w:r>
      <w:r>
        <w:rPr>
          <w:rStyle w:val="Ninguno"/>
          <w:rFonts w:ascii="EB Garamond" w:cs="EB Garamond" w:hAnsi="EB Garamond" w:eastAsia="EB Garamond"/>
          <w:sz w:val="28"/>
          <w:szCs w:val="28"/>
          <w:rtl w:val="0"/>
        </w:rPr>
        <w:t>and</w:t>
      </w:r>
      <w:r>
        <w:rPr>
          <w:rStyle w:val="Ninguno"/>
          <w:rFonts w:ascii="EB Garamond" w:cs="EB Garamond" w:hAnsi="EB Garamond" w:eastAsia="EB Garamond"/>
          <w:i w:val="1"/>
          <w:iCs w:val="1"/>
          <w:sz w:val="28"/>
          <w:szCs w:val="28"/>
          <w:rtl w:val="0"/>
        </w:rPr>
        <w:t xml:space="preserve"> </w:t>
      </w:r>
      <w:r>
        <w:rPr>
          <w:rStyle w:val="Ninguno"/>
          <w:rFonts w:ascii="EB Garamond" w:cs="EB Garamond" w:hAnsi="EB Garamond" w:eastAsia="EB Garamond"/>
          <w:sz w:val="28"/>
          <w:szCs w:val="28"/>
          <w:rtl w:val="0"/>
          <w:lang w:val="en-US"/>
        </w:rPr>
        <w:t xml:space="preserve">an image or an icon (from the Greek </w:t>
      </w:r>
      <w:r>
        <w:rPr>
          <w:rStyle w:val="Ninguno"/>
          <w:rFonts w:ascii="EB Garamond" w:cs="EB Garamond" w:hAnsi="EB Garamond" w:eastAsia="EB Garamond"/>
          <w:i w:val="1"/>
          <w:iCs w:val="1"/>
          <w:sz w:val="28"/>
          <w:szCs w:val="28"/>
          <w:rtl w:val="0"/>
        </w:rPr>
        <w:t>eikon</w:t>
      </w:r>
      <w:r>
        <w:rPr>
          <w:rStyle w:val="Ninguno"/>
          <w:rFonts w:ascii="EB Garamond" w:cs="EB Garamond" w:hAnsi="EB Garamond" w:eastAsia="EB Garamond"/>
          <w:sz w:val="28"/>
          <w:szCs w:val="28"/>
          <w:rtl w:val="0"/>
          <w:lang w:val="en-US"/>
        </w:rPr>
        <w:t>) is a material object or entity that manifests and mirrors another entity or idea. Thus, the material object becomes an image of it.  According to Uzdavinys, it is a mirror-image that acts as a direct representation of its object.</w:t>
      </w:r>
      <w:r>
        <w:rPr>
          <w:rStyle w:val="Ninguno"/>
          <w:rFonts w:ascii="EB Garamond" w:cs="EB Garamond" w:hAnsi="EB Garamond" w:eastAsia="EB Garamond"/>
          <w:sz w:val="28"/>
          <w:szCs w:val="28"/>
          <w:vertAlign w:val="superscript"/>
        </w:rPr>
        <w:footnoteReference w:id="15"/>
      </w:r>
      <w:r>
        <w:rPr>
          <w:rStyle w:val="Ninguno"/>
          <w:rFonts w:ascii="EB Garamond" w:cs="EB Garamond" w:hAnsi="EB Garamond" w:eastAsia="EB Garamond"/>
          <w:sz w:val="28"/>
          <w:szCs w:val="28"/>
          <w:rtl w:val="0"/>
          <w:lang w:val="en-US"/>
        </w:rPr>
        <w:t xml:space="preserve"> Relying on a Neoplatonic ontology, he says that the gods represented in myths do not communicate their truth by making images (</w:t>
      </w:r>
      <w:r>
        <w:rPr>
          <w:rStyle w:val="Ninguno"/>
          <w:rFonts w:ascii="EB Garamond" w:cs="EB Garamond" w:hAnsi="EB Garamond" w:eastAsia="EB Garamond"/>
          <w:i w:val="1"/>
          <w:iCs w:val="1"/>
          <w:sz w:val="28"/>
          <w:szCs w:val="28"/>
          <w:rtl w:val="0"/>
        </w:rPr>
        <w:t>eikones</w:t>
      </w:r>
      <w:r>
        <w:rPr>
          <w:rStyle w:val="Ninguno"/>
          <w:rFonts w:ascii="EB Garamond" w:cs="EB Garamond" w:hAnsi="EB Garamond" w:eastAsia="EB Garamond"/>
          <w:sz w:val="28"/>
          <w:szCs w:val="28"/>
          <w:rtl w:val="0"/>
          <w:lang w:val="en-US"/>
        </w:rPr>
        <w:t>) and imitations (</w:t>
      </w:r>
      <w:r>
        <w:rPr>
          <w:rStyle w:val="Ninguno"/>
          <w:rFonts w:ascii="EB Garamond" w:cs="EB Garamond" w:hAnsi="EB Garamond" w:eastAsia="EB Garamond"/>
          <w:i w:val="1"/>
          <w:iCs w:val="1"/>
          <w:sz w:val="28"/>
          <w:szCs w:val="28"/>
          <w:rtl w:val="0"/>
          <w:lang w:val="it-IT"/>
        </w:rPr>
        <w:t>mimemata</w:t>
      </w:r>
      <w:r>
        <w:rPr>
          <w:rStyle w:val="Ninguno"/>
          <w:rFonts w:ascii="EB Garamond" w:cs="EB Garamond" w:hAnsi="EB Garamond" w:eastAsia="EB Garamond"/>
          <w:sz w:val="28"/>
          <w:szCs w:val="28"/>
          <w:rtl w:val="0"/>
          <w:lang w:val="en-US"/>
        </w:rPr>
        <w:t>) but by making symbols (</w:t>
      </w:r>
      <w:r>
        <w:rPr>
          <w:rStyle w:val="Ninguno"/>
          <w:rFonts w:ascii="EB Garamond" w:cs="EB Garamond" w:hAnsi="EB Garamond" w:eastAsia="EB Garamond"/>
          <w:i w:val="1"/>
          <w:iCs w:val="1"/>
          <w:sz w:val="28"/>
          <w:szCs w:val="28"/>
          <w:rtl w:val="0"/>
          <w:lang w:val="pt-PT"/>
        </w:rPr>
        <w:t>sumbola</w:t>
      </w:r>
      <w:r>
        <w:rPr>
          <w:rStyle w:val="Ninguno"/>
          <w:rFonts w:ascii="EB Garamond" w:cs="EB Garamond" w:hAnsi="EB Garamond" w:eastAsia="EB Garamond"/>
          <w:sz w:val="28"/>
          <w:szCs w:val="28"/>
          <w:rtl w:val="0"/>
          <w:lang w:val="en-US"/>
        </w:rPr>
        <w:t xml:space="preserve"> or </w:t>
      </w:r>
      <w:r>
        <w:rPr>
          <w:rStyle w:val="Ninguno"/>
          <w:rFonts w:ascii="EB Garamond" w:cs="EB Garamond" w:hAnsi="EB Garamond" w:eastAsia="EB Garamond"/>
          <w:i w:val="1"/>
          <w:iCs w:val="1"/>
          <w:sz w:val="28"/>
          <w:szCs w:val="28"/>
          <w:rtl w:val="0"/>
          <w:lang w:val="en-US"/>
        </w:rPr>
        <w:t>sunthemata</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6"/>
      </w:r>
      <w:r>
        <w:rPr>
          <w:rStyle w:val="Ninguno"/>
          <w:rFonts w:ascii="EB Garamond" w:cs="EB Garamond" w:hAnsi="EB Garamond" w:eastAsia="EB Garamond"/>
          <w:sz w:val="28"/>
          <w:szCs w:val="28"/>
          <w:rtl w:val="0"/>
          <w:lang w:val="en-US"/>
        </w:rPr>
        <w:t xml:space="preserve"> In this regard, the Neoplatonist Proclus says that `every soul is all things, the things of sense after the manner of an exemplar and the intelligible things after the manner of an image`.</w:t>
      </w:r>
      <w:r>
        <w:rPr>
          <w:rStyle w:val="Ninguno"/>
          <w:rFonts w:ascii="EB Garamond" w:cs="EB Garamond" w:hAnsi="EB Garamond" w:eastAsia="EB Garamond"/>
          <w:sz w:val="28"/>
          <w:szCs w:val="28"/>
          <w:vertAlign w:val="superscript"/>
        </w:rPr>
        <w:footnoteReference w:id="17"/>
      </w:r>
      <w:r>
        <w:rPr>
          <w:rStyle w:val="Ninguno"/>
          <w:rFonts w:ascii="EB Garamond" w:cs="EB Garamond" w:hAnsi="EB Garamond" w:eastAsia="EB Garamond"/>
          <w:sz w:val="28"/>
          <w:szCs w:val="28"/>
          <w:rtl w:val="0"/>
          <w:lang w:val="en-US"/>
        </w:rPr>
        <w:t xml:space="preserve"> Thus, the Forms are transcendent and unknowable, but we know them through their images. This distinction, according to Uzdavinys, follows a Pythagorean tradition that presented images and icons of reality before revealing the direct truth.</w:t>
      </w:r>
      <w:r>
        <w:rPr>
          <w:rStyle w:val="Ninguno"/>
          <w:rFonts w:ascii="EB Garamond" w:cs="EB Garamond" w:hAnsi="EB Garamond" w:eastAsia="EB Garamond"/>
          <w:sz w:val="28"/>
          <w:szCs w:val="28"/>
          <w:vertAlign w:val="superscript"/>
        </w:rPr>
        <w:footnoteReference w:id="18"/>
      </w:r>
      <w:r>
        <w:rPr>
          <w:rStyle w:val="Ninguno"/>
          <w:rFonts w:ascii="EB Garamond" w:cs="EB Garamond" w:hAnsi="EB Garamond" w:eastAsia="EB Garamond"/>
          <w:sz w:val="28"/>
          <w:szCs w:val="28"/>
          <w:rtl w:val="0"/>
          <w:lang w:val="en-US"/>
        </w:rPr>
        <w:t xml:space="preserve"> Therefore, icons or images seem to be, in effect, double entities, they have their own material existence, but at the same time, they manifest another reality. However, Eliade makes a similar description about the symbol -and not about an image- arguing that it reveals the most profound aspects of reality like any other means of knowledge and recognizes its cognitive value.</w:t>
      </w:r>
      <w:r>
        <w:rPr>
          <w:rStyle w:val="Ninguno"/>
          <w:rFonts w:ascii="EB Garamond" w:cs="EB Garamond" w:hAnsi="EB Garamond" w:eastAsia="EB Garamond"/>
          <w:sz w:val="28"/>
          <w:szCs w:val="28"/>
          <w:vertAlign w:val="superscript"/>
        </w:rPr>
        <w:footnoteReference w:id="19"/>
      </w:r>
      <w:r>
        <w:rPr>
          <w:rStyle w:val="Ninguno"/>
          <w:rFonts w:ascii="EB Garamond" w:cs="EB Garamond" w:hAnsi="EB Garamond" w:eastAsia="EB Garamond"/>
          <w:sz w:val="28"/>
          <w:szCs w:val="28"/>
          <w:rtl w:val="0"/>
          <w:lang w:val="en-US"/>
        </w:rPr>
        <w:t xml:space="preserve"> So, symbol and image seem to overlap particularly in modern studies, as Eliade already noticed.</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On the other hand, symbol and symbolic thinking are also central in the knowledge of imagination as the ability to look into the world, to see it from the inside. As Angela Voss argues, `true imagination, whether one considers it from Neoplatonic, Romantic or archetypal psychological perspectives, is the mode in which the soul reveals its nature through the language of symbol and metaphor</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0"/>
      </w:r>
      <w:r>
        <w:rPr>
          <w:rStyle w:val="Ninguno"/>
          <w:rFonts w:ascii="EB Garamond" w:cs="EB Garamond" w:hAnsi="EB Garamond" w:eastAsia="EB Garamond"/>
          <w:sz w:val="28"/>
          <w:szCs w:val="28"/>
          <w:rtl w:val="0"/>
          <w:lang w:val="en-US"/>
        </w:rPr>
        <w:t xml:space="preserve"> From this perspective, symbol and metaphor are not similar to imagination, although imagination may arise through them.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 term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symbol</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is derived from the Greek verb </w:t>
      </w:r>
      <w:r>
        <w:rPr>
          <w:rStyle w:val="Ninguno"/>
          <w:rFonts w:ascii="EB Garamond" w:cs="EB Garamond" w:hAnsi="EB Garamond" w:eastAsia="EB Garamond"/>
          <w:i w:val="1"/>
          <w:iCs w:val="1"/>
          <w:sz w:val="28"/>
          <w:szCs w:val="28"/>
          <w:rtl w:val="0"/>
          <w:lang w:val="de-DE"/>
        </w:rPr>
        <w:t>symballein</w:t>
      </w:r>
      <w:r>
        <w:rPr>
          <w:rStyle w:val="Ninguno"/>
          <w:rFonts w:ascii="EB Garamond" w:cs="EB Garamond" w:hAnsi="EB Garamond" w:eastAsia="EB Garamond"/>
          <w:sz w:val="28"/>
          <w:szCs w:val="28"/>
          <w:rtl w:val="0"/>
          <w:lang w:val="en-US"/>
        </w:rPr>
        <w:t xml:space="preserve">, which means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to join or bring together</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1"/>
      </w:r>
      <w:r>
        <w:rPr>
          <w:rStyle w:val="Ninguno"/>
          <w:rFonts w:ascii="EB Garamond" w:cs="EB Garamond" w:hAnsi="EB Garamond" w:eastAsia="EB Garamond"/>
          <w:sz w:val="28"/>
          <w:szCs w:val="28"/>
          <w:rtl w:val="0"/>
          <w:lang w:val="en-US"/>
        </w:rPr>
        <w:t xml:space="preserve"> The professor of classical studies, Peter Struck, says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a symbol is one half of an object that is deliberately split in two and then allocated to the parties to an agreement</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2"/>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In addition, Algis Uz</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davinys points out that the roots of the term symbol initially denoted a half of a whole that becomes meaningful when two halves correspond to each other.</w:t>
      </w:r>
      <w:r>
        <w:rPr>
          <w:rStyle w:val="Ninguno"/>
          <w:rFonts w:ascii="EB Garamond" w:cs="EB Garamond" w:hAnsi="EB Garamond" w:eastAsia="EB Garamond"/>
          <w:sz w:val="28"/>
          <w:szCs w:val="28"/>
          <w:vertAlign w:val="superscript"/>
        </w:rPr>
        <w:footnoteReference w:id="23"/>
      </w:r>
      <w:r>
        <w:rPr>
          <w:rStyle w:val="Ninguno"/>
          <w:rFonts w:ascii="EB Garamond" w:cs="EB Garamond" w:hAnsi="EB Garamond" w:eastAsia="EB Garamond"/>
          <w:sz w:val="28"/>
          <w:szCs w:val="28"/>
          <w:rtl w:val="0"/>
          <w:lang w:val="en-US"/>
        </w:rPr>
        <w:t xml:space="preserve"> That is, symbols are two halves of a single object. Furthermore, he says that, from the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vertical perspective, one part represents visible things and the other half stands for the invisible noetic reality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4"/>
      </w:r>
      <w:r>
        <w:rPr>
          <w:rStyle w:val="Ninguno"/>
          <w:rFonts w:ascii="EB Garamond" w:cs="EB Garamond" w:hAnsi="EB Garamond" w:eastAsia="EB Garamond"/>
          <w:sz w:val="28"/>
          <w:szCs w:val="28"/>
          <w:rtl w:val="0"/>
          <w:lang w:val="en-US"/>
        </w:rPr>
        <w:t xml:space="preserve"> This view seems to rely on Plato's idea of the twofold structure of the soul that he explains in his </w:t>
      </w:r>
      <w:r>
        <w:rPr>
          <w:rStyle w:val="Ninguno"/>
          <w:rFonts w:ascii="EB Garamond" w:cs="EB Garamond" w:hAnsi="EB Garamond" w:eastAsia="EB Garamond"/>
          <w:i w:val="1"/>
          <w:iCs w:val="1"/>
          <w:sz w:val="28"/>
          <w:szCs w:val="28"/>
          <w:rtl w:val="0"/>
        </w:rPr>
        <w:t>Republic,</w:t>
      </w:r>
      <w:r>
        <w:rPr>
          <w:rStyle w:val="Ninguno"/>
          <w:rFonts w:ascii="EB Garamond" w:cs="EB Garamond" w:hAnsi="EB Garamond" w:eastAsia="EB Garamond"/>
          <w:sz w:val="28"/>
          <w:szCs w:val="28"/>
          <w:rtl w:val="0"/>
          <w:lang w:val="en-US"/>
        </w:rPr>
        <w:t xml:space="preserve"> one that is visible and changeable, and the other that is invisible and eternal.</w:t>
      </w:r>
      <w:r>
        <w:rPr>
          <w:rStyle w:val="Ninguno"/>
          <w:rFonts w:ascii="EB Garamond" w:cs="EB Garamond" w:hAnsi="EB Garamond" w:eastAsia="EB Garamond"/>
          <w:sz w:val="28"/>
          <w:szCs w:val="28"/>
          <w:vertAlign w:val="superscript"/>
        </w:rPr>
        <w:footnoteReference w:id="25"/>
      </w:r>
      <w:r>
        <w:rPr>
          <w:rStyle w:val="Ninguno"/>
          <w:rFonts w:ascii="EB Garamond" w:cs="EB Garamond" w:hAnsi="EB Garamond" w:eastAsia="EB Garamond"/>
          <w:sz w:val="28"/>
          <w:szCs w:val="28"/>
          <w:rtl w:val="0"/>
          <w:lang w:val="en-US"/>
        </w:rPr>
        <w:t xml:space="preserve"> Forms or Ideas designate eternal abstract models that partake to the intelligible and superior part of the soul from which things are formed, and that it is the lower and visible part of the soul that uses images.</w:t>
      </w:r>
      <w:r>
        <w:rPr>
          <w:rStyle w:val="Ninguno"/>
          <w:rFonts w:ascii="EB Garamond" w:cs="EB Garamond" w:hAnsi="EB Garamond" w:eastAsia="EB Garamond"/>
          <w:sz w:val="28"/>
          <w:szCs w:val="28"/>
          <w:vertAlign w:val="superscript"/>
        </w:rPr>
        <w:footnoteReference w:id="26"/>
      </w:r>
      <w:r>
        <w:rPr>
          <w:rStyle w:val="Ninguno"/>
          <w:rFonts w:ascii="EB Garamond" w:cs="EB Garamond" w:hAnsi="EB Garamond" w:eastAsia="EB Garamond"/>
          <w:sz w:val="28"/>
          <w:szCs w:val="28"/>
          <w:rtl w:val="0"/>
          <w:lang w:val="en-US"/>
        </w:rPr>
        <w:t xml:space="preserve"> Peter J. Forshaw explains that, in western esotericism, a symbol can signify an object (a Greek token), a verbal construct, a visual image, or a mixed verbal/visual formula but, whatever it signifies, Struck adds, a symbol `has something missing, and this incompleteness begs to be resolved`, as Struck describes.</w:t>
      </w:r>
      <w:r>
        <w:rPr>
          <w:rStyle w:val="Ninguno"/>
          <w:rFonts w:ascii="EB Garamond" w:cs="EB Garamond" w:hAnsi="EB Garamond" w:eastAsia="EB Garamond"/>
          <w:sz w:val="28"/>
          <w:szCs w:val="28"/>
          <w:vertAlign w:val="superscript"/>
        </w:rPr>
        <w:footnoteReference w:id="27"/>
      </w:r>
      <w:r>
        <w:rPr>
          <w:rStyle w:val="Ninguno"/>
          <w:rFonts w:ascii="EB Garamond" w:cs="EB Garamond" w:hAnsi="EB Garamond" w:eastAsia="EB Garamond"/>
          <w:sz w:val="28"/>
          <w:szCs w:val="28"/>
          <w:rtl w:val="0"/>
        </w:rPr>
        <w:t xml:space="preserve"> Uz</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davinys seem to agree with Struck when he says that a symbol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suggests both incompleteness and the partial revelation of secret meaning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 then, he also argues that the so-called Pythagorean symbols represent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teachings on the proper conduct of life that was elaborated in the allegorical tradition of Neoplatonic hermeneutics, and serve as the essential means of ascent and return to the gods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8"/>
      </w:r>
      <w:r>
        <w:rPr>
          <w:rStyle w:val="Ninguno"/>
          <w:rFonts w:ascii="EB Garamond" w:cs="EB Garamond" w:hAnsi="EB Garamond" w:eastAsia="EB Garamond"/>
          <w:sz w:val="28"/>
          <w:szCs w:val="28"/>
          <w:rtl w:val="0"/>
          <w:lang w:val="en-US"/>
        </w:rPr>
        <w:t xml:space="preserve"> So, from this perspective, the function of symbol is to conjoin the divine.</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One important distinction about the understanding of symbol is that the ancient understanding differs radically from the modern approach currently favoured within the academy in which the meaning perceived in symbols is a construct relevant only within a specific cultural context by the concordance of its participants and projected onto the external reality that is void of meaning. On an individual level, Richard Tarnas says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by the late modern period, the cosmos has metamorphosed into a mindless, soulless vacuum, within which the human being is incongruently self-aware. The anima mundi has dissolved and disappeared, and all psychological and spiritual qualities are now located exclusively in the human mind and psyche`.</w:t>
      </w:r>
      <w:r>
        <w:rPr>
          <w:rStyle w:val="Ninguno"/>
          <w:rFonts w:ascii="EB Garamond" w:cs="EB Garamond" w:hAnsi="EB Garamond" w:eastAsia="EB Garamond"/>
          <w:sz w:val="28"/>
          <w:szCs w:val="28"/>
          <w:vertAlign w:val="superscript"/>
        </w:rPr>
        <w:footnoteReference w:id="29"/>
      </w:r>
      <w:r>
        <w:rPr>
          <w:rStyle w:val="Ninguno"/>
          <w:rFonts w:ascii="EB Garamond" w:cs="EB Garamond" w:hAnsi="EB Garamond" w:eastAsia="EB Garamond"/>
          <w:sz w:val="28"/>
          <w:szCs w:val="28"/>
          <w:rtl w:val="0"/>
          <w:lang w:val="en-US"/>
        </w:rPr>
        <w:t xml:space="preserve"> But, if meaning occurs only within human interiority, it follows that a group of individuals creates shared meanings. In this regard,  the sociologist Emile Durkheim (1858-1917) focuses on the existing relationships between the structuring of society and the ontological assumptions relevant to such a social structure.</w:t>
      </w:r>
      <w:r>
        <w:rPr>
          <w:rStyle w:val="Ninguno"/>
          <w:rFonts w:ascii="EB Garamond" w:cs="EB Garamond" w:hAnsi="EB Garamond" w:eastAsia="EB Garamond"/>
          <w:sz w:val="28"/>
          <w:szCs w:val="28"/>
          <w:vertAlign w:val="superscript"/>
        </w:rPr>
        <w:footnoteReference w:id="30"/>
      </w:r>
      <w:r>
        <w:rPr>
          <w:rStyle w:val="Ninguno"/>
          <w:rFonts w:ascii="EB Garamond" w:cs="EB Garamond" w:hAnsi="EB Garamond" w:eastAsia="EB Garamond"/>
          <w:sz w:val="28"/>
          <w:szCs w:val="28"/>
          <w:rtl w:val="0"/>
          <w:lang w:val="pt-PT"/>
        </w:rPr>
        <w:t xml:space="preserve"> He suggests that collective life cannot be recreated unless it is based on a collection of shared beliefs and representations, whose existence is impossible without the unfolding of certain religious forms.</w:t>
      </w:r>
      <w:r>
        <w:rPr>
          <w:rStyle w:val="Ninguno"/>
          <w:rFonts w:ascii="EB Garamond" w:cs="EB Garamond" w:hAnsi="EB Garamond" w:eastAsia="EB Garamond"/>
          <w:sz w:val="28"/>
          <w:szCs w:val="28"/>
          <w:vertAlign w:val="superscript"/>
        </w:rPr>
        <w:footnoteReference w:id="31"/>
      </w:r>
      <w:r>
        <w:rPr>
          <w:rStyle w:val="Ninguno"/>
          <w:rFonts w:ascii="EB Garamond" w:cs="EB Garamond" w:hAnsi="EB Garamond" w:eastAsia="EB Garamond"/>
          <w:sz w:val="28"/>
          <w:szCs w:val="28"/>
          <w:rtl w:val="0"/>
          <w:lang w:val="en-US"/>
        </w:rPr>
        <w:t xml:space="preserve"> He states that society consecrates ideas shared by a group of people; that is to say that, for him, religion is something eminently social, or, as Evans-Pritchard says,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an objectively social event</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32"/>
      </w:r>
      <w:r>
        <w:rPr>
          <w:rStyle w:val="Ninguno"/>
          <w:rFonts w:ascii="EB Garamond" w:cs="EB Garamond" w:hAnsi="EB Garamond" w:eastAsia="EB Garamond"/>
          <w:sz w:val="28"/>
          <w:szCs w:val="28"/>
          <w:rtl w:val="0"/>
          <w:lang w:val="en-US"/>
        </w:rPr>
        <w:t xml:space="preserve"> In addition, Julien Ries, following Durkheim, points out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gods are the people thought symbolically</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and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sacred is the sphere of forces created by society since there is not a supernatural perspective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33"/>
      </w:r>
      <w:r>
        <w:rPr>
          <w:rStyle w:val="Ninguno"/>
          <w:rFonts w:ascii="EB Garamond" w:cs="EB Garamond" w:hAnsi="EB Garamond" w:eastAsia="EB Garamond"/>
          <w:sz w:val="28"/>
          <w:szCs w:val="28"/>
          <w:rtl w:val="0"/>
          <w:lang w:val="en-US"/>
        </w:rPr>
        <w:t xml:space="preserve"> In contrast to Durkheim, for Eliade, sacred space has a transcendent supernatural dimension that he assumes to be ontologically independent of the profane, which is the habitual experience that is void of meaning and homogeneous in Eliade's view.</w:t>
      </w:r>
      <w:r>
        <w:rPr>
          <w:rStyle w:val="Ninguno"/>
          <w:rFonts w:ascii="EB Garamond" w:cs="EB Garamond" w:hAnsi="EB Garamond" w:eastAsia="EB Garamond"/>
          <w:sz w:val="28"/>
          <w:szCs w:val="28"/>
          <w:vertAlign w:val="superscript"/>
        </w:rPr>
        <w:footnoteReference w:id="34"/>
      </w:r>
      <w:r>
        <w:rPr>
          <w:rStyle w:val="Ninguno"/>
          <w:rFonts w:ascii="EB Garamond" w:cs="EB Garamond" w:hAnsi="EB Garamond" w:eastAsia="EB Garamond"/>
          <w:sz w:val="28"/>
          <w:szCs w:val="28"/>
          <w:rtl w:val="0"/>
          <w:lang w:val="en-US"/>
        </w:rPr>
        <w:t xml:space="preserve"> So, within a secular vision of the world, the symbol does not relate to an ontologically different dimension realm that is unveiled by the symbol or imagination; but, by contrast, the symbol refers to meaning as it expresses cultural and collective beliefs that give structure and order to that particular society.</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In addition, I will adopt Geoffrey Cornelius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understanding of the `Fourfold Interpretation of the Symbol` as a fundamental map to explore and contrast the different functions of symbol and whether it has an ontological dimension.</w:t>
      </w:r>
      <w:r>
        <w:rPr>
          <w:rStyle w:val="Ninguno"/>
          <w:rFonts w:ascii="EB Garamond" w:cs="EB Garamond" w:hAnsi="EB Garamond" w:eastAsia="EB Garamond"/>
          <w:sz w:val="28"/>
          <w:szCs w:val="28"/>
          <w:vertAlign w:val="superscript"/>
        </w:rPr>
        <w:footnoteReference w:id="35"/>
      </w:r>
      <w:r>
        <w:rPr>
          <w:rStyle w:val="Ninguno"/>
          <w:rFonts w:ascii="EB Garamond" w:cs="EB Garamond" w:hAnsi="EB Garamond" w:eastAsia="EB Garamond"/>
          <w:sz w:val="28"/>
          <w:szCs w:val="28"/>
          <w:rtl w:val="0"/>
          <w:lang w:val="en-US"/>
        </w:rPr>
        <w:t xml:space="preserve"> As he introduces, this is a hermeneutic model of four levels of approaching the symbol developed in early and mediaeval Christianity to interpret the inner meaning represented by the literal text of the sacred Scripture.</w:t>
      </w:r>
      <w:r>
        <w:rPr>
          <w:rStyle w:val="Ninguno"/>
          <w:rFonts w:ascii="EB Garamond" w:cs="EB Garamond" w:hAnsi="EB Garamond" w:eastAsia="EB Garamond"/>
          <w:sz w:val="28"/>
          <w:szCs w:val="28"/>
          <w:vertAlign w:val="superscript"/>
        </w:rPr>
        <w:footnoteReference w:id="36"/>
      </w:r>
      <w:r>
        <w:rPr>
          <w:rStyle w:val="Ninguno"/>
          <w:rFonts w:ascii="EB Garamond" w:cs="EB Garamond" w:hAnsi="EB Garamond" w:eastAsia="EB Garamond"/>
          <w:sz w:val="28"/>
          <w:szCs w:val="28"/>
          <w:rtl w:val="0"/>
          <w:lang w:val="en-US"/>
        </w:rPr>
        <w:t xml:space="preserve"> However, for the aim of my research, my interest relies on how Cornelius, as a contemporary astrologer, uses the scheme to analyse the different aspects of symbol in astrological practice; and not to refer the Christian texts in particular, and how they achieve the fourfold scheme for theirs ends. Based on Cornelius' description, these four levels of interpretation of the symbol are the literal, the allegorical, the tropologic or moral, and the anagogic or mystical. </w:t>
      </w:r>
      <w:r>
        <w:rPr>
          <w:rStyle w:val="Ninguno"/>
          <w:rFonts w:ascii="EB Garamond" w:cs="EB Garamond" w:hAnsi="EB Garamond" w:eastAsia="EB Garamond"/>
          <w:sz w:val="28"/>
          <w:szCs w:val="28"/>
          <w:shd w:val="clear" w:color="auto" w:fill="ffffff"/>
          <w:rtl w:val="0"/>
          <w:lang w:val="en-US"/>
        </w:rPr>
        <w:t xml:space="preserve">So, I will use this hermeneutical model as a guide to making further distinctions during my exploration.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Cornelius explains the literal level of interpretation of symbol as the level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of the facts of the matter, which can be historically reported, and in principle decided as true or false` and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it appears as an objective truth of the world.`</w:t>
      </w:r>
      <w:r>
        <w:rPr>
          <w:rStyle w:val="Ninguno"/>
          <w:rFonts w:ascii="EB Garamond" w:cs="EB Garamond" w:hAnsi="EB Garamond" w:eastAsia="EB Garamond"/>
          <w:sz w:val="28"/>
          <w:szCs w:val="28"/>
          <w:vertAlign w:val="superscript"/>
        </w:rPr>
        <w:footnoteReference w:id="37"/>
      </w:r>
      <w:r>
        <w:rPr>
          <w:rStyle w:val="Ninguno"/>
          <w:rFonts w:ascii="EB Garamond" w:cs="EB Garamond" w:hAnsi="EB Garamond" w:eastAsia="EB Garamond"/>
          <w:sz w:val="28"/>
          <w:szCs w:val="28"/>
          <w:rtl w:val="0"/>
          <w:lang w:val="en-US"/>
        </w:rPr>
        <w:t xml:space="preserve"> However, he distinguishes literal and objective from material and concrete since, for example, modern science can be seen as a literal and objective truth of reality even if it is not physical and concrete but theories, abstractions and opinions.</w:t>
      </w:r>
      <w:r>
        <w:rPr>
          <w:rStyle w:val="Ninguno"/>
          <w:rFonts w:ascii="EB Garamond" w:cs="EB Garamond" w:hAnsi="EB Garamond" w:eastAsia="EB Garamond"/>
          <w:sz w:val="28"/>
          <w:szCs w:val="28"/>
          <w:vertAlign w:val="superscript"/>
        </w:rPr>
        <w:footnoteReference w:id="38"/>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The allegory level of interpretation of symbol is explained as `a meaning over and above the literal meaning`.</w:t>
      </w:r>
      <w:r>
        <w:rPr>
          <w:rStyle w:val="Ninguno"/>
          <w:rFonts w:ascii="EB Garamond" w:cs="EB Garamond" w:hAnsi="EB Garamond" w:eastAsia="EB Garamond"/>
          <w:sz w:val="28"/>
          <w:szCs w:val="28"/>
          <w:vertAlign w:val="superscript"/>
        </w:rPr>
        <w:footnoteReference w:id="39"/>
      </w:r>
      <w:r>
        <w:rPr>
          <w:rStyle w:val="Ninguno"/>
          <w:rFonts w:ascii="EB Garamond" w:cs="EB Garamond" w:hAnsi="EB Garamond" w:eastAsia="EB Garamond"/>
          <w:sz w:val="28"/>
          <w:szCs w:val="28"/>
          <w:rtl w:val="0"/>
          <w:lang w:val="en-US"/>
        </w:rPr>
        <w:t xml:space="preserve"> Cornelius says:</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ind w:left="720" w:firstLine="0"/>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`Within language there is the imaginative power of metaphor. A meaning is transferred from its literal reference to enable some other meaning to be expressed. In mythic, religious and symbolic language the literal is allegorized in a perpetually extended metaphor to create an alternative vision of reality not attainable within the simple literal`. </w:t>
      </w:r>
      <w:r>
        <w:rPr>
          <w:rStyle w:val="Ninguno"/>
          <w:rFonts w:ascii="EB Garamond" w:cs="EB Garamond" w:hAnsi="EB Garamond" w:eastAsia="EB Garamond"/>
          <w:sz w:val="28"/>
          <w:szCs w:val="28"/>
          <w:vertAlign w:val="superscript"/>
        </w:rPr>
        <w:footnoteReference w:id="40"/>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shd w:val="clear" w:color="auto" w:fill="ffffff"/>
        </w:rPr>
      </w:pPr>
      <w:r>
        <w:rPr>
          <w:rStyle w:val="Ninguno"/>
          <w:rFonts w:ascii="EB Garamond" w:cs="EB Garamond" w:hAnsi="EB Garamond" w:eastAsia="EB Garamond"/>
          <w:sz w:val="28"/>
          <w:szCs w:val="28"/>
          <w:rtl w:val="0"/>
          <w:lang w:val="en-US"/>
        </w:rPr>
        <w:t>Similarly, Mircea Eliade argues that any object becomes something else by manifesting the sacred, yet it remains itself and participates in its surroundings.</w:t>
      </w:r>
      <w:r>
        <w:rPr>
          <w:rStyle w:val="Ninguno"/>
          <w:rFonts w:ascii="EB Garamond" w:cs="EB Garamond" w:hAnsi="EB Garamond" w:eastAsia="EB Garamond"/>
          <w:sz w:val="28"/>
          <w:szCs w:val="28"/>
          <w:shd w:val="clear" w:color="auto" w:fill="ffffff"/>
          <w:vertAlign w:val="superscript"/>
        </w:rPr>
        <w:footnoteReference w:id="41"/>
      </w:r>
      <w:r>
        <w:rPr>
          <w:rStyle w:val="Ninguno"/>
          <w:rFonts w:ascii="EB Garamond" w:cs="EB Garamond" w:hAnsi="EB Garamond" w:eastAsia="EB Garamond"/>
          <w:sz w:val="28"/>
          <w:szCs w:val="28"/>
          <w:shd w:val="clear" w:color="auto" w:fill="ffffff"/>
          <w:rtl w:val="0"/>
          <w:lang w:val="en-US"/>
        </w:rPr>
        <w:t xml:space="preserve"> It seems to be an independent power that enables that other meaning to objective reality and by which the object, thus, becomes something else. Eliade seems to follow Neoplatonic tradition and, in particular, Iamblichus' ideas on symbol and soul in his argument. Iamblichus (AD 245-325) was a Neoplatonism Philosopher from Syria. Student and colleague of Porphyry, a student of Plotinus, the father of Neoplatonism. He introduced Egyptian and Chaldaean religious rituals as part of the intellectual disciplines of the Platonic school that he established in Syria, and he called these rituals </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lang w:val="nl-NL"/>
        </w:rPr>
        <w:t>theurgy</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rPr>
        <w:t>.</w:t>
      </w:r>
      <w:r>
        <w:rPr>
          <w:rStyle w:val="Ninguno"/>
          <w:rFonts w:ascii="EB Garamond" w:cs="EB Garamond" w:hAnsi="EB Garamond" w:eastAsia="EB Garamond"/>
          <w:sz w:val="28"/>
          <w:szCs w:val="28"/>
          <w:shd w:val="clear" w:color="auto" w:fill="ffffff"/>
          <w:vertAlign w:val="superscript"/>
        </w:rPr>
        <w:footnoteReference w:id="42"/>
      </w:r>
      <w:r>
        <w:rPr>
          <w:rStyle w:val="Ninguno"/>
          <w:rFonts w:ascii="EB Garamond" w:cs="EB Garamond" w:hAnsi="EB Garamond" w:eastAsia="EB Garamond"/>
          <w:sz w:val="28"/>
          <w:szCs w:val="28"/>
          <w:shd w:val="clear" w:color="auto" w:fill="ffffff"/>
          <w:rtl w:val="0"/>
          <w:lang w:val="en-US"/>
        </w:rPr>
        <w:t xml:space="preserve"> Theurgy is the praxis through which human beings enter and embody the divine activity and </w:t>
      </w:r>
      <w:r>
        <w:rPr>
          <w:rStyle w:val="Ninguno"/>
          <w:rFonts w:ascii="EB Garamond" w:cs="EB Garamond" w:hAnsi="EB Garamond" w:eastAsia="EB Garamond"/>
          <w:i w:val="1"/>
          <w:iCs w:val="1"/>
          <w:sz w:val="28"/>
          <w:szCs w:val="28"/>
          <w:shd w:val="clear" w:color="auto" w:fill="ffffff"/>
          <w:rtl w:val="0"/>
          <w:lang w:val="en-US"/>
        </w:rPr>
        <w:t>receive</w:t>
      </w:r>
      <w:r>
        <w:rPr>
          <w:rStyle w:val="Ninguno"/>
          <w:rFonts w:ascii="EB Garamond" w:cs="EB Garamond" w:hAnsi="EB Garamond" w:eastAsia="EB Garamond"/>
          <w:sz w:val="28"/>
          <w:szCs w:val="28"/>
          <w:shd w:val="clear" w:color="auto" w:fill="ffffff"/>
          <w:rtl w:val="0"/>
          <w:lang w:val="en-US"/>
        </w:rPr>
        <w:t xml:space="preserve"> the divine revelation.</w:t>
      </w:r>
      <w:r>
        <w:rPr>
          <w:rStyle w:val="Ninguno"/>
          <w:rFonts w:ascii="EB Garamond" w:cs="EB Garamond" w:hAnsi="EB Garamond" w:eastAsia="EB Garamond"/>
          <w:sz w:val="28"/>
          <w:szCs w:val="28"/>
          <w:shd w:val="clear" w:color="auto" w:fill="ffffff"/>
          <w:vertAlign w:val="superscript"/>
        </w:rPr>
        <w:footnoteReference w:id="43"/>
      </w:r>
      <w:r>
        <w:rPr>
          <w:rStyle w:val="Ninguno"/>
          <w:rFonts w:ascii="EB Garamond" w:cs="EB Garamond" w:hAnsi="EB Garamond" w:eastAsia="EB Garamond"/>
          <w:sz w:val="28"/>
          <w:szCs w:val="28"/>
          <w:shd w:val="clear" w:color="auto" w:fill="ffffff"/>
          <w:rtl w:val="0"/>
          <w:lang w:val="de-DE"/>
        </w:rPr>
        <w:t xml:space="preserve"> For Iamblichus</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lang w:val="en-US"/>
        </w:rPr>
        <w:t xml:space="preserve">, as for Neoplatonic cosmology, all the elements in the universe, both material and nonmaterial, are bonded together as a unity by sympathy. </w:t>
      </w:r>
    </w:p>
    <w:p>
      <w:pPr>
        <w:pStyle w:val="Cuerpo A"/>
        <w:spacing w:line="360" w:lineRule="auto"/>
        <w:jc w:val="both"/>
        <w:rPr>
          <w:rStyle w:val="Ninguno"/>
          <w:rFonts w:ascii="EB Garamond" w:cs="EB Garamond" w:hAnsi="EB Garamond" w:eastAsia="EB Garamond"/>
          <w:sz w:val="28"/>
          <w:szCs w:val="28"/>
          <w:shd w:val="clear" w:color="auto" w:fill="ffffff"/>
        </w:rPr>
      </w:pPr>
    </w:p>
    <w:p>
      <w:pPr>
        <w:pStyle w:val="Cuerpo A"/>
        <w:spacing w:line="360" w:lineRule="auto"/>
        <w:jc w:val="both"/>
        <w:rPr>
          <w:rStyle w:val="Ninguno"/>
          <w:rFonts w:ascii="EB Garamond" w:cs="EB Garamond" w:hAnsi="EB Garamond" w:eastAsia="EB Garamond"/>
          <w:sz w:val="28"/>
          <w:szCs w:val="28"/>
          <w:shd w:val="clear" w:color="auto" w:fill="ffffff"/>
        </w:rPr>
      </w:pPr>
      <w:r>
        <w:rPr>
          <w:rStyle w:val="Ninguno"/>
          <w:rFonts w:ascii="EB Garamond" w:cs="EB Garamond" w:hAnsi="EB Garamond" w:eastAsia="EB Garamond"/>
          <w:sz w:val="28"/>
          <w:szCs w:val="28"/>
          <w:shd w:val="clear" w:color="auto" w:fill="ffffff"/>
          <w:rtl w:val="0"/>
          <w:lang w:val="en-US"/>
        </w:rPr>
        <w:t>Moreover, Iamblichus says that this unity is a divine power that fills all things and permeates all the elements.</w:t>
      </w:r>
      <w:r>
        <w:rPr>
          <w:rStyle w:val="Ninguno"/>
          <w:rFonts w:ascii="EB Garamond" w:cs="EB Garamond" w:hAnsi="EB Garamond" w:eastAsia="EB Garamond"/>
          <w:sz w:val="28"/>
          <w:szCs w:val="28"/>
          <w:shd w:val="clear" w:color="auto" w:fill="ffffff"/>
          <w:vertAlign w:val="superscript"/>
        </w:rPr>
        <w:footnoteReference w:id="44"/>
      </w:r>
      <w:r>
        <w:rPr>
          <w:rStyle w:val="Ninguno"/>
          <w:rFonts w:ascii="EB Garamond" w:cs="EB Garamond" w:hAnsi="EB Garamond" w:eastAsia="EB Garamond"/>
          <w:sz w:val="28"/>
          <w:szCs w:val="28"/>
          <w:shd w:val="clear" w:color="auto" w:fill="ffffff"/>
          <w:rtl w:val="0"/>
          <w:lang w:val="en-US"/>
        </w:rPr>
        <w:t xml:space="preserve"> Humankind and all elements are a vehicle, a vessel through which wisdom is inserted; thus, the divine revelation occurs, as if it were an external and independent power that participates in every thing or as an incarnation process of the divine power into matter and humankind in particular.</w:t>
      </w:r>
      <w:r>
        <w:rPr>
          <w:rStyle w:val="Ninguno"/>
          <w:rFonts w:ascii="EB Garamond" w:cs="EB Garamond" w:hAnsi="EB Garamond" w:eastAsia="EB Garamond"/>
          <w:sz w:val="28"/>
          <w:szCs w:val="28"/>
          <w:shd w:val="clear" w:color="auto" w:fill="ffffff"/>
          <w:vertAlign w:val="superscript"/>
        </w:rPr>
        <w:footnoteReference w:id="45"/>
      </w:r>
      <w:r>
        <w:rPr>
          <w:rStyle w:val="Ninguno"/>
          <w:rFonts w:ascii="EB Garamond" w:cs="EB Garamond" w:hAnsi="EB Garamond" w:eastAsia="EB Garamond"/>
          <w:sz w:val="28"/>
          <w:szCs w:val="28"/>
          <w:shd w:val="clear" w:color="auto" w:fill="ffffff"/>
          <w:rtl w:val="0"/>
          <w:lang w:val="en-US"/>
        </w:rPr>
        <w:t xml:space="preserve"> As Peter Struck points out, Iamblichus, in contrast to his Neoplatonist successors, does not believe that contemplation is enough to encounter the divine realm because he asserts that contemplation is limited to discursive modes of thought.</w:t>
      </w:r>
      <w:r>
        <w:rPr>
          <w:rStyle w:val="Ninguno"/>
          <w:rFonts w:ascii="EB Garamond" w:cs="EB Garamond" w:hAnsi="EB Garamond" w:eastAsia="EB Garamond"/>
          <w:sz w:val="28"/>
          <w:szCs w:val="28"/>
          <w:shd w:val="clear" w:color="auto" w:fill="ffffff"/>
          <w:vertAlign w:val="superscript"/>
        </w:rPr>
        <w:footnoteReference w:id="46"/>
      </w:r>
      <w:r>
        <w:rPr>
          <w:rStyle w:val="Ninguno"/>
          <w:rFonts w:ascii="EB Garamond" w:cs="EB Garamond" w:hAnsi="EB Garamond" w:eastAsia="EB Garamond"/>
          <w:sz w:val="28"/>
          <w:szCs w:val="28"/>
          <w:shd w:val="clear" w:color="auto" w:fill="ffffff"/>
          <w:rtl w:val="0"/>
          <w:lang w:val="en-US"/>
        </w:rPr>
        <w:t xml:space="preserve"> Iamblichus distinguishes an intellect </w:t>
      </w:r>
      <w:r>
        <w:rPr>
          <w:rStyle w:val="Ninguno"/>
          <w:rFonts w:ascii="EB Garamond" w:cs="EB Garamond" w:hAnsi="EB Garamond" w:eastAsia="EB Garamond"/>
          <w:i w:val="1"/>
          <w:iCs w:val="1"/>
          <w:sz w:val="28"/>
          <w:szCs w:val="28"/>
          <w:shd w:val="clear" w:color="auto" w:fill="ffffff"/>
          <w:rtl w:val="0"/>
          <w:lang w:val="en-US"/>
        </w:rPr>
        <w:t>above</w:t>
      </w:r>
      <w:r>
        <w:rPr>
          <w:rStyle w:val="Ninguno"/>
          <w:rFonts w:ascii="EB Garamond" w:cs="EB Garamond" w:hAnsi="EB Garamond" w:eastAsia="EB Garamond"/>
          <w:sz w:val="28"/>
          <w:szCs w:val="28"/>
          <w:shd w:val="clear" w:color="auto" w:fill="ffffff"/>
          <w:rtl w:val="0"/>
          <w:lang w:val="en-US"/>
        </w:rPr>
        <w:t xml:space="preserve"> the world, an intellect </w:t>
      </w:r>
      <w:r>
        <w:rPr>
          <w:rStyle w:val="Ninguno"/>
          <w:rFonts w:ascii="EB Garamond" w:cs="EB Garamond" w:hAnsi="EB Garamond" w:eastAsia="EB Garamond"/>
          <w:i w:val="1"/>
          <w:iCs w:val="1"/>
          <w:sz w:val="28"/>
          <w:szCs w:val="28"/>
          <w:shd w:val="clear" w:color="auto" w:fill="ffffff"/>
          <w:rtl w:val="0"/>
        </w:rPr>
        <w:t>in</w:t>
      </w:r>
      <w:r>
        <w:rPr>
          <w:rStyle w:val="Ninguno"/>
          <w:rFonts w:ascii="EB Garamond" w:cs="EB Garamond" w:hAnsi="EB Garamond" w:eastAsia="EB Garamond"/>
          <w:sz w:val="28"/>
          <w:szCs w:val="28"/>
          <w:shd w:val="clear" w:color="auto" w:fill="ffffff"/>
          <w:rtl w:val="0"/>
          <w:lang w:val="en-US"/>
        </w:rPr>
        <w:t xml:space="preserve"> the world and another one distributed into all the spheres that  </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lang w:val="en-US"/>
        </w:rPr>
        <w:t>do not survey by mere reason alone, but through the sacerdotal theurgy`.</w:t>
      </w:r>
      <w:r>
        <w:rPr>
          <w:rStyle w:val="Ninguno"/>
          <w:rFonts w:ascii="EB Garamond" w:cs="EB Garamond" w:hAnsi="EB Garamond" w:eastAsia="EB Garamond"/>
          <w:sz w:val="28"/>
          <w:szCs w:val="28"/>
          <w:shd w:val="clear" w:color="auto" w:fill="ffffff"/>
          <w:vertAlign w:val="superscript"/>
        </w:rPr>
        <w:footnoteReference w:id="47"/>
      </w:r>
      <w:r>
        <w:rPr>
          <w:rStyle w:val="Ninguno"/>
          <w:rFonts w:ascii="EB Garamond" w:cs="EB Garamond" w:hAnsi="EB Garamond" w:eastAsia="EB Garamond"/>
          <w:sz w:val="28"/>
          <w:szCs w:val="28"/>
          <w:shd w:val="clear" w:color="auto" w:fill="ffffff"/>
          <w:rtl w:val="0"/>
          <w:lang w:val="en-US"/>
        </w:rPr>
        <w:t xml:space="preserve"> For Iamblichus, thus, the encounter with the divine must come from some power greater than the human, from a higher order that arises through an embodied receptivity of the lower ones. That is to say that, for Iamblichus, the sacred is an embodied experience that is not possible to occur </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lang w:val="en-US"/>
        </w:rPr>
        <w:t>without some form of outside help, an independent dimension from humans. That is why he introduces the ritual praxis of theurgy and, therefore, reasserts the distinctness of the ontological gap between humankind and the gods.</w:t>
      </w:r>
      <w:r>
        <w:rPr>
          <w:rStyle w:val="Ninguno"/>
          <w:rFonts w:ascii="EB Garamond" w:cs="EB Garamond" w:hAnsi="EB Garamond" w:eastAsia="EB Garamond"/>
          <w:sz w:val="28"/>
          <w:szCs w:val="28"/>
          <w:shd w:val="clear" w:color="auto" w:fill="ffffff"/>
          <w:vertAlign w:val="superscript"/>
        </w:rPr>
        <w:footnoteReference w:id="48"/>
      </w:r>
    </w:p>
    <w:p>
      <w:pPr>
        <w:pStyle w:val="Cuerpo A"/>
        <w:spacing w:line="360" w:lineRule="auto"/>
        <w:jc w:val="both"/>
        <w:rPr>
          <w:rStyle w:val="Ninguno"/>
          <w:rFonts w:ascii="EB Garamond" w:cs="EB Garamond" w:hAnsi="EB Garamond" w:eastAsia="EB Garamond"/>
          <w:sz w:val="28"/>
          <w:szCs w:val="28"/>
          <w:shd w:val="clear" w:color="auto" w:fill="ffffff"/>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shd w:val="clear" w:color="auto" w:fill="ffffff"/>
          <w:rtl w:val="0"/>
          <w:lang w:val="en-US"/>
        </w:rPr>
        <w:t xml:space="preserve">Then, as Iamblichus already noticed, metaphor and allegory are not enough.  In contrast with the first and second, the third aspect of symbol, the topological or moral, also requires the participation of the subject in the knowing, as Cornelius says, </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lang w:val="en-US"/>
        </w:rPr>
        <w:t>a movement of attitude and conduct revealed</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rPr>
        <w:t>.</w:t>
      </w:r>
      <w:r>
        <w:rPr>
          <w:rStyle w:val="Ninguno"/>
          <w:rFonts w:ascii="EB Garamond" w:cs="EB Garamond" w:hAnsi="EB Garamond" w:eastAsia="EB Garamond"/>
          <w:sz w:val="28"/>
          <w:szCs w:val="28"/>
          <w:shd w:val="clear" w:color="auto" w:fill="ffffff"/>
          <w:vertAlign w:val="superscript"/>
        </w:rPr>
        <w:footnoteReference w:id="49"/>
      </w:r>
      <w:r>
        <w:rPr>
          <w:rStyle w:val="Ninguno"/>
          <w:rFonts w:ascii="EB Garamond" w:cs="EB Garamond" w:hAnsi="EB Garamond" w:eastAsia="EB Garamond"/>
          <w:sz w:val="28"/>
          <w:szCs w:val="28"/>
          <w:shd w:val="clear" w:color="auto" w:fill="ffffff"/>
          <w:rtl w:val="0"/>
          <w:lang w:val="en-US"/>
        </w:rPr>
        <w:t xml:space="preserve"> At the topological level, Cornelius says that symbolic reality cannot be reduced to a theoretical reality separated from the act of perception.</w:t>
      </w:r>
      <w:r>
        <w:rPr>
          <w:rStyle w:val="Ninguno"/>
          <w:rFonts w:ascii="EB Garamond" w:cs="EB Garamond" w:hAnsi="EB Garamond" w:eastAsia="EB Garamond"/>
          <w:sz w:val="28"/>
          <w:szCs w:val="28"/>
          <w:shd w:val="clear" w:color="auto" w:fill="ffffff"/>
          <w:vertAlign w:val="superscript"/>
        </w:rPr>
        <w:footnoteReference w:id="50"/>
      </w:r>
      <w:r>
        <w:rPr>
          <w:rStyle w:val="Ninguno"/>
          <w:rFonts w:ascii="EB Garamond" w:cs="EB Garamond" w:hAnsi="EB Garamond" w:eastAsia="EB Garamond"/>
          <w:sz w:val="28"/>
          <w:szCs w:val="28"/>
          <w:shd w:val="clear" w:color="auto" w:fill="ffffff"/>
          <w:rtl w:val="0"/>
          <w:lang w:val="en-US"/>
        </w:rPr>
        <w:t xml:space="preserve"> It is a symbolic attitude, a symbolic act in which the person is affected by the content that the manifestation of the sacred reveals.</w:t>
      </w:r>
      <w:r>
        <w:rPr>
          <w:rStyle w:val="Ninguno"/>
          <w:rFonts w:ascii="EB Garamond" w:cs="EB Garamond" w:hAnsi="EB Garamond" w:eastAsia="EB Garamond"/>
          <w:sz w:val="28"/>
          <w:szCs w:val="28"/>
          <w:shd w:val="clear" w:color="auto" w:fill="ffffff"/>
          <w:vertAlign w:val="superscript"/>
        </w:rPr>
        <w:footnoteReference w:id="51"/>
      </w:r>
      <w:r>
        <w:rPr>
          <w:rStyle w:val="Ninguno"/>
          <w:rFonts w:ascii="EB Garamond" w:cs="EB Garamond" w:hAnsi="EB Garamond" w:eastAsia="EB Garamond"/>
          <w:sz w:val="28"/>
          <w:szCs w:val="28"/>
          <w:shd w:val="clear" w:color="auto" w:fill="ffffff"/>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shd w:val="clear" w:color="auto" w:fill="ffffff"/>
          <w:rtl w:val="0"/>
          <w:lang w:val="en-US"/>
        </w:rPr>
        <w:t xml:space="preserve">For Cornelius, the topological level is a turning-point for the individual soul because, by revealing the depth and power of unconscious and transcendental realities, the unseen can be seen; and, in doing so, the individual soul turns toward truth. </w:t>
      </w:r>
      <w:r>
        <w:rPr>
          <w:rStyle w:val="Ninguno"/>
          <w:rFonts w:ascii="EB Garamond" w:cs="EB Garamond" w:hAnsi="EB Garamond" w:eastAsia="EB Garamond"/>
          <w:sz w:val="28"/>
          <w:szCs w:val="28"/>
          <w:shd w:val="clear" w:color="auto" w:fill="ffffff"/>
          <w:vertAlign w:val="superscript"/>
        </w:rPr>
        <w:footnoteReference w:id="52"/>
      </w:r>
      <w:r>
        <w:rPr>
          <w:rStyle w:val="Ninguno"/>
          <w:rFonts w:ascii="EB Garamond" w:cs="EB Garamond" w:hAnsi="EB Garamond" w:eastAsia="EB Garamond"/>
          <w:sz w:val="28"/>
          <w:szCs w:val="28"/>
          <w:shd w:val="clear" w:color="auto" w:fill="ffffff"/>
          <w:rtl w:val="0"/>
          <w:lang w:val="en-US"/>
        </w:rPr>
        <w:t xml:space="preserve">  By participating in that knowledge and being affected, the soul comprehends and enacts a spontaneous transformation in the individual. This perspective seems similar to Mircea Eliade</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lang w:val="en-US"/>
        </w:rPr>
        <w:t>s phenomenological idea of the sacred that he explains as the rite of passage from profane to sacred</w:t>
      </w:r>
      <w:r>
        <w:rPr>
          <w:rStyle w:val="Ninguno"/>
          <w:rFonts w:ascii="EB Garamond" w:cs="EB Garamond" w:hAnsi="EB Garamond" w:eastAsia="EB Garamond"/>
          <w:sz w:val="28"/>
          <w:szCs w:val="28"/>
          <w:shd w:val="clear" w:color="auto" w:fill="ffffff"/>
          <w:vertAlign w:val="superscript"/>
        </w:rPr>
        <w:footnoteReference w:id="53"/>
      </w:r>
      <w:r>
        <w:rPr>
          <w:rStyle w:val="Ninguno"/>
          <w:rFonts w:ascii="EB Garamond" w:cs="EB Garamond" w:hAnsi="EB Garamond" w:eastAsia="EB Garamond"/>
          <w:sz w:val="28"/>
          <w:szCs w:val="28"/>
          <w:shd w:val="clear" w:color="auto" w:fill="ffffff"/>
          <w:rtl w:val="0"/>
          <w:lang w:val="en-US"/>
        </w:rPr>
        <w:t>. Firstly, for him, profane and sacred are two different ontologies, two modes of being in the world, and, therefore, two different kinds of experience.</w:t>
      </w:r>
      <w:r>
        <w:rPr>
          <w:rStyle w:val="Ninguno"/>
          <w:rFonts w:ascii="EB Garamond" w:cs="EB Garamond" w:hAnsi="EB Garamond" w:eastAsia="EB Garamond"/>
          <w:sz w:val="28"/>
          <w:szCs w:val="28"/>
          <w:shd w:val="clear" w:color="auto" w:fill="ffffff"/>
          <w:vertAlign w:val="superscript"/>
        </w:rPr>
        <w:footnoteReference w:id="54"/>
      </w:r>
      <w:r>
        <w:rPr>
          <w:rStyle w:val="Ninguno"/>
          <w:rFonts w:ascii="EB Garamond" w:cs="EB Garamond" w:hAnsi="EB Garamond" w:eastAsia="EB Garamond"/>
          <w:sz w:val="28"/>
          <w:szCs w:val="28"/>
          <w:shd w:val="clear" w:color="auto" w:fill="ffffff"/>
          <w:rtl w:val="0"/>
        </w:rPr>
        <w:t xml:space="preserve"> </w:t>
      </w:r>
      <w:r>
        <w:rPr>
          <w:rStyle w:val="Ninguno"/>
          <w:rFonts w:ascii="EB Garamond" w:cs="EB Garamond" w:hAnsi="EB Garamond" w:eastAsia="EB Garamond"/>
          <w:sz w:val="28"/>
          <w:szCs w:val="28"/>
          <w:rtl w:val="0"/>
          <w:lang w:val="en-US"/>
        </w:rPr>
        <w:t>For Eliade, habitual experience, called the profane, is homogeneous and void of meaning; and it turns into sacred when a transcendental supernatural dimension, ontologically independent from the profane, manifests spontaneously and the experience is fulfilled with meaning.</w:t>
      </w:r>
      <w:r>
        <w:rPr>
          <w:rStyle w:val="Ninguno"/>
          <w:rFonts w:ascii="EB Garamond" w:cs="EB Garamond" w:hAnsi="EB Garamond" w:eastAsia="EB Garamond"/>
          <w:sz w:val="28"/>
          <w:szCs w:val="28"/>
          <w:shd w:val="clear" w:color="auto" w:fill="ffffff"/>
          <w:vertAlign w:val="superscript"/>
        </w:rPr>
        <w:footnoteReference w:id="55"/>
      </w:r>
      <w:r>
        <w:rPr>
          <w:rStyle w:val="Ninguno"/>
          <w:rFonts w:ascii="EB Garamond" w:cs="EB Garamond" w:hAnsi="EB Garamond" w:eastAsia="EB Garamond"/>
          <w:sz w:val="28"/>
          <w:szCs w:val="28"/>
          <w:shd w:val="clear" w:color="auto" w:fill="ffffff"/>
          <w:rtl w:val="0"/>
          <w:lang w:val="en-US"/>
        </w:rPr>
        <w:t xml:space="preserve"> Furthermore, the power of the sacred reveals itself and re-orients the person through symbols which are `vehicles of passage from one space to the other</w:t>
      </w:r>
      <w:r>
        <w:rPr>
          <w:rStyle w:val="Ninguno"/>
          <w:rFonts w:ascii="EB Garamond" w:cs="EB Garamond" w:hAnsi="EB Garamond" w:eastAsia="EB Garamond"/>
          <w:sz w:val="28"/>
          <w:szCs w:val="28"/>
          <w:shd w:val="clear" w:color="auto" w:fill="ffffff"/>
          <w:rtl w:val="0"/>
          <w:lang w:val="en-US"/>
        </w:rPr>
        <w:t xml:space="preserve">´ </w:t>
      </w:r>
      <w:r>
        <w:rPr>
          <w:rStyle w:val="Ninguno"/>
          <w:rFonts w:ascii="EB Garamond" w:cs="EB Garamond" w:hAnsi="EB Garamond" w:eastAsia="EB Garamond"/>
          <w:sz w:val="28"/>
          <w:szCs w:val="28"/>
          <w:shd w:val="clear" w:color="auto" w:fill="ffffff"/>
          <w:rtl w:val="0"/>
        </w:rPr>
        <w:t>.</w:t>
      </w:r>
      <w:r>
        <w:rPr>
          <w:rStyle w:val="Ninguno"/>
          <w:rFonts w:ascii="EB Garamond" w:cs="EB Garamond" w:hAnsi="EB Garamond" w:eastAsia="EB Garamond"/>
          <w:sz w:val="28"/>
          <w:szCs w:val="28"/>
          <w:shd w:val="clear" w:color="auto" w:fill="ffffff"/>
          <w:vertAlign w:val="superscript"/>
        </w:rPr>
        <w:footnoteReference w:id="56"/>
      </w:r>
      <w:r>
        <w:rPr>
          <w:rStyle w:val="Ninguno"/>
          <w:rFonts w:ascii="EB Garamond" w:cs="EB Garamond" w:hAnsi="EB Garamond" w:eastAsia="EB Garamond"/>
          <w:sz w:val="28"/>
          <w:szCs w:val="28"/>
          <w:shd w:val="clear" w:color="auto" w:fill="ffffff"/>
          <w:rtl w:val="0"/>
          <w:lang w:val="en-US"/>
        </w:rPr>
        <w:t xml:space="preserve"> Eliade says that </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lang w:val="en-US"/>
        </w:rPr>
        <w:t>something that does not belong to this world has manifested itself apodictically and in so doing has indicated an orientation or determined a course of conduct.</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vertAlign w:val="superscript"/>
        </w:rPr>
        <w:footnoteReference w:id="57"/>
      </w:r>
      <w:r>
        <w:rPr>
          <w:rStyle w:val="Ninguno"/>
          <w:rFonts w:ascii="EB Garamond" w:cs="EB Garamond" w:hAnsi="EB Garamond" w:eastAsia="EB Garamond"/>
          <w:sz w:val="28"/>
          <w:szCs w:val="28"/>
          <w:shd w:val="clear" w:color="auto" w:fill="ffffff"/>
          <w:rtl w:val="0"/>
        </w:rPr>
        <w:t xml:space="preserve"> </w:t>
      </w:r>
      <w:r>
        <w:rPr>
          <w:rStyle w:val="Ninguno"/>
          <w:rFonts w:ascii="EB Garamond" w:cs="EB Garamond" w:hAnsi="EB Garamond" w:eastAsia="EB Garamond"/>
          <w:sz w:val="28"/>
          <w:szCs w:val="28"/>
          <w:rtl w:val="0"/>
          <w:lang w:val="en-US"/>
        </w:rPr>
        <w:t xml:space="preserve">The characteristics of the turning point described by Cornelius as the topological aspect of the symbol also seem to correspond to the description of the initiatory experience of the shaman that Eliade describes in his book </w:t>
      </w:r>
      <w:r>
        <w:rPr>
          <w:rStyle w:val="Ninguno"/>
          <w:rFonts w:ascii="EB Garamond" w:cs="EB Garamond" w:hAnsi="EB Garamond" w:eastAsia="EB Garamond"/>
          <w:i w:val="1"/>
          <w:iCs w:val="1"/>
          <w:sz w:val="28"/>
          <w:szCs w:val="28"/>
          <w:rtl w:val="0"/>
          <w:lang w:val="en-US"/>
        </w:rPr>
        <w:t>Myths, Dreams and Mysteries</w:t>
      </w:r>
      <w:r>
        <w:rPr>
          <w:rStyle w:val="Ninguno"/>
          <w:rFonts w:ascii="EB Garamond" w:cs="EB Garamond" w:hAnsi="EB Garamond" w:eastAsia="EB Garamond"/>
          <w:sz w:val="28"/>
          <w:szCs w:val="28"/>
          <w:rtl w:val="0"/>
          <w:lang w:val="en-US"/>
        </w:rPr>
        <w:t xml:space="preserve"> in which a profound change in sensitivity and cognitivity takes place, and there is a qualitative transformation of the sensory experience through which the sacred is manifested.(Ref.)</w:t>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vertAlign w:val="superscript"/>
        </w:rPr>
        <w:footnoteReference w:id="58"/>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Bryan Rennie, following Eliade, says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normal, everyday experience is seen as illusory, unreal, profane [...] Yet that same experience, when apprehended in a specific way, when interpreted in a certain manner, becomes authentic, real, sacred`.</w:t>
      </w:r>
      <w:r>
        <w:rPr>
          <w:rStyle w:val="Ninguno"/>
          <w:rFonts w:ascii="EB Garamond" w:cs="EB Garamond" w:hAnsi="EB Garamond" w:eastAsia="EB Garamond"/>
          <w:sz w:val="28"/>
          <w:szCs w:val="28"/>
          <w:shd w:val="clear" w:color="auto" w:fill="ffffff"/>
          <w:vertAlign w:val="superscript"/>
        </w:rPr>
        <w:footnoteReference w:id="59"/>
      </w:r>
      <w:r>
        <w:rPr>
          <w:rStyle w:val="Ninguno A"/>
          <w:rtl w:val="0"/>
        </w:rPr>
        <w:t xml:space="preserve"> </w:t>
      </w:r>
      <w:r>
        <w:rPr>
          <w:rStyle w:val="Ninguno"/>
          <w:rFonts w:ascii="EB Garamond" w:cs="EB Garamond" w:hAnsi="EB Garamond" w:eastAsia="EB Garamond"/>
          <w:sz w:val="28"/>
          <w:szCs w:val="28"/>
          <w:rtl w:val="0"/>
          <w:lang w:val="en-US"/>
        </w:rPr>
        <w:t>He also points out that a particular manner of interpretation (topological) and a specific way of apprehension of the experience (participation) are sides of the same coin that are required in order to spontaneously shift the orientation to the sacred mystery or, as Cornelius says, turn the soul within. Myths of the soul's journey are a metaphor for this process and have been described both as an ascension or a journey to the centre.</w:t>
      </w:r>
      <w:r>
        <w:rPr>
          <w:rStyle w:val="Ninguno"/>
          <w:vertAlign w:val="superscript"/>
        </w:rPr>
        <w:footnoteReference w:id="60"/>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shd w:val="clear" w:color="auto" w:fill="ffffff"/>
        </w:rPr>
      </w:pPr>
      <w:r>
        <w:rPr>
          <w:rStyle w:val="Ninguno"/>
          <w:rFonts w:ascii="EB Garamond" w:cs="EB Garamond" w:hAnsi="EB Garamond" w:eastAsia="EB Garamond"/>
          <w:sz w:val="28"/>
          <w:szCs w:val="28"/>
          <w:rtl w:val="0"/>
          <w:lang w:val="en-US"/>
        </w:rPr>
        <w:t>So, it seems that the turning point, the rite of passage from profane to sacred and the shamanic initiation are describing and trying to grasp the same kind of experience:  the experience of the sacred. At this point, it is clear the fundamental role that imagination and participation have in the experience of the sacred. Moreover, the previous descriptions also point to another essential aspect of the mystical experience: it is a revelation, an enaction of some other reality independent of the ordinary. It is the manifestation of the sacred, something that does not belong to this world, that makes the reorientation possible and, at the same time, it reveals itself as the ultimate mysterious reality.</w:t>
      </w:r>
      <w:r>
        <w:rPr>
          <w:rStyle w:val="Ninguno"/>
          <w:vertAlign w:val="superscript"/>
        </w:rPr>
        <w:footnoteReference w:id="61"/>
      </w:r>
      <w:r>
        <w:rPr>
          <w:rStyle w:val="Ninguno"/>
          <w:rFonts w:ascii="EB Garamond" w:cs="EB Garamond" w:hAnsi="EB Garamond" w:eastAsia="EB Garamond"/>
          <w:sz w:val="28"/>
          <w:szCs w:val="28"/>
          <w:rtl w:val="0"/>
          <w:lang w:val="en-US"/>
        </w:rPr>
        <w:t xml:space="preserve"> So, according to Eliade,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the sacred reveals absolute reality and at the same time makes orientation possible`; and such reorientation of the soul is an `ontological passage from one mode of being to another.` </w:t>
      </w:r>
      <w:r>
        <w:rPr>
          <w:rStyle w:val="Ninguno"/>
          <w:vertAlign w:val="superscript"/>
        </w:rPr>
        <w:footnoteReference w:id="62"/>
      </w:r>
      <w:r>
        <w:rPr>
          <w:rStyle w:val="Ninguno A"/>
          <w:rtl w:val="0"/>
        </w:rPr>
        <w:t xml:space="preserve"> </w:t>
      </w:r>
    </w:p>
    <w:p>
      <w:pPr>
        <w:pStyle w:val="Cuerpo A"/>
        <w:spacing w:line="360" w:lineRule="auto"/>
        <w:jc w:val="both"/>
        <w:rPr>
          <w:rStyle w:val="Ninguno"/>
          <w:rFonts w:ascii="EB Garamond" w:cs="EB Garamond" w:hAnsi="EB Garamond" w:eastAsia="EB Garamond"/>
          <w:sz w:val="28"/>
          <w:szCs w:val="28"/>
          <w:shd w:val="clear" w:color="auto" w:fill="ffffff"/>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shd w:val="clear" w:color="auto" w:fill="ffffff"/>
          <w:rtl w:val="0"/>
          <w:lang w:val="en-US"/>
        </w:rPr>
        <w:t>Lastly, the fourth aspect or function in the hermeneutic model is the anagogic level which is the mystical nature of the symbol.</w:t>
      </w:r>
      <w:r>
        <w:rPr>
          <w:rStyle w:val="Ninguno"/>
          <w:rFonts w:ascii="EB Garamond" w:cs="EB Garamond" w:hAnsi="EB Garamond" w:eastAsia="EB Garamond"/>
          <w:sz w:val="28"/>
          <w:szCs w:val="28"/>
          <w:shd w:val="clear" w:color="auto" w:fill="ffffff"/>
          <w:vertAlign w:val="superscript"/>
        </w:rPr>
        <w:footnoteReference w:id="63"/>
      </w:r>
      <w:r>
        <w:rPr>
          <w:rStyle w:val="Ninguno"/>
          <w:rFonts w:ascii="EB Garamond" w:cs="EB Garamond" w:hAnsi="EB Garamond" w:eastAsia="EB Garamond"/>
          <w:sz w:val="28"/>
          <w:szCs w:val="28"/>
          <w:shd w:val="clear" w:color="auto" w:fill="ffffff"/>
          <w:rtl w:val="0"/>
          <w:lang w:val="en-US"/>
        </w:rPr>
        <w:t xml:space="preserve"> It is the direction towards which the turn of the trope turns and represents the goal of astrology and mystical experience.</w:t>
      </w:r>
      <w:r>
        <w:rPr>
          <w:rStyle w:val="Ninguno"/>
          <w:rFonts w:ascii="EB Garamond" w:cs="EB Garamond" w:hAnsi="EB Garamond" w:eastAsia="EB Garamond"/>
          <w:sz w:val="28"/>
          <w:szCs w:val="28"/>
          <w:shd w:val="clear" w:color="auto" w:fill="ffffff"/>
          <w:vertAlign w:val="superscript"/>
        </w:rPr>
        <w:footnoteReference w:id="64"/>
      </w:r>
      <w:r>
        <w:rPr>
          <w:rStyle w:val="Ninguno"/>
          <w:rFonts w:ascii="EB Garamond" w:cs="EB Garamond" w:hAnsi="EB Garamond" w:eastAsia="EB Garamond"/>
          <w:sz w:val="28"/>
          <w:szCs w:val="28"/>
          <w:shd w:val="clear" w:color="auto" w:fill="ffffff"/>
          <w:rtl w:val="0"/>
          <w:lang w:val="en-US"/>
        </w:rPr>
        <w:t xml:space="preserve"> The anagogic level seems closely related to an understanding of gnosis, direct spiritual insight, or mystical illumination.</w:t>
      </w:r>
      <w:r>
        <w:rPr>
          <w:rStyle w:val="Ninguno"/>
          <w:rFonts w:ascii="EB Garamond" w:cs="EB Garamond" w:hAnsi="EB Garamond" w:eastAsia="EB Garamond"/>
          <w:sz w:val="28"/>
          <w:szCs w:val="28"/>
          <w:shd w:val="clear" w:color="auto" w:fill="ffffff"/>
          <w:vertAlign w:val="superscript"/>
        </w:rPr>
        <w:footnoteReference w:id="65"/>
      </w:r>
      <w:r>
        <w:rPr>
          <w:rStyle w:val="Ninguno"/>
          <w:rFonts w:ascii="EB Garamond" w:cs="EB Garamond" w:hAnsi="EB Garamond" w:eastAsia="EB Garamond"/>
          <w:sz w:val="28"/>
          <w:szCs w:val="28"/>
          <w:shd w:val="clear" w:color="auto" w:fill="ffffff"/>
          <w:rtl w:val="0"/>
          <w:lang w:val="en-US"/>
        </w:rPr>
        <w:t xml:space="preserve"> Platonic philosophers distinguished between </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lang w:val="fr-FR"/>
        </w:rPr>
        <w:t>human</w:t>
      </w:r>
      <w:r>
        <w:rPr>
          <w:rStyle w:val="Ninguno"/>
          <w:rFonts w:ascii="EB Garamond" w:cs="EB Garamond" w:hAnsi="EB Garamond" w:eastAsia="EB Garamond"/>
          <w:sz w:val="28"/>
          <w:szCs w:val="28"/>
          <w:shd w:val="clear" w:color="auto" w:fill="ffffff"/>
          <w:rtl w:val="0"/>
          <w:lang w:val="en-US"/>
        </w:rPr>
        <w:t xml:space="preserve">” </w:t>
      </w:r>
      <w:r>
        <w:rPr>
          <w:rStyle w:val="Ninguno"/>
          <w:rFonts w:ascii="EB Garamond" w:cs="EB Garamond" w:hAnsi="EB Garamond" w:eastAsia="EB Garamond"/>
          <w:sz w:val="28"/>
          <w:szCs w:val="28"/>
          <w:shd w:val="clear" w:color="auto" w:fill="ffffff"/>
          <w:rtl w:val="0"/>
          <w:lang w:val="en-US"/>
        </w:rPr>
        <w:t xml:space="preserve">reason, opinion, discursive thought (episteme), and revelatory insight from the divine source, which, as Angela Voss points out,  </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lang w:val="en-US"/>
        </w:rPr>
        <w:t>was a primary encounter with metaphysical reality as in prophecy or gnosis</w:t>
      </w:r>
      <w:r>
        <w:rPr>
          <w:rStyle w:val="Ninguno"/>
          <w:rFonts w:ascii="EB Garamond" w:cs="EB Garamond" w:hAnsi="EB Garamond" w:eastAsia="EB Garamond"/>
          <w:sz w:val="28"/>
          <w:szCs w:val="28"/>
          <w:shd w:val="clear" w:color="auto" w:fill="ffffff"/>
          <w:rtl w:val="0"/>
          <w:lang w:val="en-US"/>
        </w:rPr>
        <w:t>´</w:t>
      </w:r>
      <w:r>
        <w:rPr>
          <w:rStyle w:val="Ninguno"/>
          <w:rFonts w:ascii="EB Garamond" w:cs="EB Garamond" w:hAnsi="EB Garamond" w:eastAsia="EB Garamond"/>
          <w:sz w:val="28"/>
          <w:szCs w:val="28"/>
          <w:shd w:val="clear" w:color="auto" w:fill="ffffff"/>
          <w:rtl w:val="0"/>
        </w:rPr>
        <w:t>.</w:t>
      </w:r>
      <w:r>
        <w:rPr>
          <w:rStyle w:val="Ninguno"/>
          <w:rFonts w:ascii="EB Garamond" w:cs="EB Garamond" w:hAnsi="EB Garamond" w:eastAsia="EB Garamond"/>
          <w:sz w:val="28"/>
          <w:szCs w:val="28"/>
          <w:shd w:val="clear" w:color="auto" w:fill="ffffff"/>
          <w:vertAlign w:val="superscript"/>
        </w:rPr>
        <w:footnoteReference w:id="66"/>
      </w:r>
      <w:r>
        <w:rPr>
          <w:rStyle w:val="Ninguno"/>
          <w:rFonts w:ascii="EB Garamond" w:cs="EB Garamond" w:hAnsi="EB Garamond" w:eastAsia="EB Garamond"/>
          <w:sz w:val="28"/>
          <w:szCs w:val="28"/>
          <w:shd w:val="clear" w:color="auto" w:fill="ffffff"/>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For the aim of this research,  I am taking into account the problematic raised by Nicholas Campion about astrological knowledge when he says that `there is a slippage between ontology, the assumption that astrologers are really examining the real underlying nature of the universe, and the more modern notion of analogy, that the world is being described not as it is but in terms of what it is like.`</w:t>
      </w:r>
      <w:r>
        <w:rPr>
          <w:rStyle w:val="Ninguno"/>
          <w:rFonts w:ascii="EB Garamond" w:cs="EB Garamond" w:hAnsi="EB Garamond" w:eastAsia="EB Garamond"/>
          <w:sz w:val="28"/>
          <w:szCs w:val="28"/>
          <w:vertAlign w:val="superscript"/>
        </w:rPr>
        <w:footnoteReference w:id="67"/>
      </w:r>
      <w:r>
        <w:rPr>
          <w:rStyle w:val="Ninguno"/>
          <w:rFonts w:ascii="EB Garamond" w:cs="EB Garamond" w:hAnsi="EB Garamond" w:eastAsia="EB Garamond"/>
          <w:sz w:val="28"/>
          <w:szCs w:val="28"/>
          <w:rtl w:val="0"/>
          <w:lang w:val="en-US"/>
        </w:rPr>
        <w:t xml:space="preserve"> This slippage becomes even more problematic when it is also considered that modern psychological astrologers seem to operate with a concept of analogy that was essentially Platonic in origin. Plato's analogies were not mere metaphors: they stood for eternal truths or forms. The ultimate truth which each analogy represented was that there was an absolute correspondence between our world and another higher reality of which our world was only a copy or reflection. This understanding of correspondence gave any analogy a sacramental quality. For Plato, any analogy was a "sacred" one, and it could be used to communicate with a transcendental sacred realm which it stood for.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shd w:val="clear" w:color="auto" w:fill="ffffff"/>
        </w:rPr>
      </w:pPr>
      <w:r>
        <w:rPr>
          <w:rStyle w:val="Ninguno"/>
          <w:rFonts w:ascii="EB Garamond" w:cs="EB Garamond" w:hAnsi="EB Garamond" w:eastAsia="EB Garamond"/>
          <w:sz w:val="28"/>
          <w:szCs w:val="28"/>
          <w:rtl w:val="0"/>
          <w:lang w:val="en-US"/>
        </w:rPr>
        <w:t>So, this research explores whether imagination has an ontological aspect, a power in itself, capable of orienting the individual soul and triggering a movement of attitude to manifest a mystical experience spontaneously; and, therefore, if applying imagination to astrological practice can reveal a profound self-transformation shift and trigger a mystical experience in the person who practises it.  Or if, on the contrary, astrology is merely seen as a analogy and a tool for self-knowledge, personal healing and problem-solving, in which the goal of astrological symbolism is oriented to personal desires, as astrologer Safron Rossi points out, and not to enable the person to communicate and be unified with some form of transcendental or transpersonal intelligence.</w:t>
      </w:r>
      <w:r>
        <w:rPr>
          <w:rStyle w:val="Ninguno"/>
          <w:rFonts w:ascii="EB Garamond" w:cs="EB Garamond" w:hAnsi="EB Garamond" w:eastAsia="EB Garamond"/>
          <w:sz w:val="28"/>
          <w:szCs w:val="28"/>
          <w:vertAlign w:val="superscript"/>
        </w:rPr>
        <w:footnoteReference w:id="68"/>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For that, I will discuss more in-depth different perspectives on imagination, in particular, those described in Neoplatonism and in modern psychology by Carl Jung. Also, I will compare the faculty of imagination with the function of symbol because my research is based on an understanding of astrology as a symbolic language. Nicholas Champion argues that the idea of astrology as a symbolic language is usually taken for granted and rarely are discussed the consequences of its implications.</w:t>
      </w:r>
      <w:r>
        <w:rPr>
          <w:rStyle w:val="Ninguno"/>
          <w:rFonts w:ascii="EB Garamond" w:cs="EB Garamond" w:hAnsi="EB Garamond" w:eastAsia="EB Garamond"/>
          <w:sz w:val="28"/>
          <w:szCs w:val="28"/>
          <w:vertAlign w:val="superscript"/>
        </w:rPr>
        <w:footnoteReference w:id="69"/>
      </w:r>
      <w:r>
        <w:rPr>
          <w:rStyle w:val="Ninguno"/>
          <w:rFonts w:ascii="EB Garamond" w:cs="EB Garamond" w:hAnsi="EB Garamond" w:eastAsia="EB Garamond"/>
          <w:sz w:val="28"/>
          <w:szCs w:val="28"/>
          <w:rtl w:val="0"/>
          <w:lang w:val="en-US"/>
        </w:rPr>
        <w:t xml:space="preserve"> For this reason, I will explore their role in mystical experience, with examples of the use of imagination and symbol by some contemporaneous astrologers, in particular those who have approached the philosophical and epistemological implications of astrology. This approach to astrology can be understood under the higher form of astrology in Patrick Curry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hierarchical model.</w:t>
      </w:r>
      <w:r>
        <w:rPr>
          <w:rStyle w:val="Ninguno"/>
          <w:rFonts w:ascii="EB Garamond" w:cs="EB Garamond" w:hAnsi="EB Garamond" w:eastAsia="EB Garamond"/>
          <w:sz w:val="28"/>
          <w:szCs w:val="28"/>
          <w:vertAlign w:val="superscript"/>
        </w:rPr>
        <w:footnoteReference w:id="70"/>
      </w:r>
      <w:r>
        <w:rPr>
          <w:rStyle w:val="Ninguno"/>
          <w:rFonts w:ascii="EB Garamond" w:cs="EB Garamond" w:hAnsi="EB Garamond" w:eastAsia="EB Garamond"/>
          <w:sz w:val="28"/>
          <w:szCs w:val="28"/>
          <w:rtl w:val="0"/>
          <w:lang w:val="en-US"/>
        </w:rPr>
        <w:t xml:space="preserve"> Curry presents three forms of astrology that correspond to social classes based on the situation in the England of early modernity, with three forms of astrology that roughly corresponded to social classes. The lower form is concerned with fortune-telling, almanacs and newspapers and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sun-sign columns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I would also include in this form the astrological post in social media because it is also an actual vehicle of communication and information like newspapers and journals. The middle form of astrology deals with the interpretation of horoscopes and complex prognostic work, and, finally, the upper form of astrology is philosophical and theological.</w:t>
      </w:r>
      <w:r>
        <w:rPr>
          <w:rStyle w:val="Ninguno"/>
          <w:rFonts w:ascii="EB Garamond" w:cs="EB Garamond" w:hAnsi="EB Garamond" w:eastAsia="EB Garamond"/>
          <w:sz w:val="28"/>
          <w:szCs w:val="28"/>
          <w:vertAlign w:val="superscript"/>
        </w:rPr>
        <w:footnoteReference w:id="71"/>
      </w:r>
      <w:r>
        <w:rPr>
          <w:rStyle w:val="Ninguno"/>
          <w:rFonts w:ascii="EB Garamond" w:cs="EB Garamond" w:hAnsi="EB Garamond" w:eastAsia="EB Garamond"/>
          <w:sz w:val="28"/>
          <w:szCs w:val="28"/>
          <w:rtl w:val="0"/>
          <w:lang w:val="en-US"/>
        </w:rPr>
        <w:t xml:space="preserve"> Therefore, following Curry, all those who have approached the philosophical and epistemological implications of astrology will be considered as astrologers, whether or not they practice the second and middle form of astrology.</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b w:val="1"/>
          <w:bCs w:val="1"/>
        </w:rPr>
      </w:pPr>
      <w:r>
        <w:rPr>
          <w:rStyle w:val="Ninguno"/>
          <w:rFonts w:ascii="EB Garamond" w:cs="EB Garamond" w:hAnsi="EB Garamond" w:eastAsia="EB Garamond"/>
          <w:sz w:val="28"/>
          <w:szCs w:val="28"/>
          <w:rtl w:val="0"/>
          <w:lang w:val="en-US"/>
        </w:rPr>
        <w:t>This research is also inspired by Liz Greene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research on mystical experiences among a group of astrologers in London, one of the few of its kind.</w:t>
      </w:r>
      <w:r>
        <w:rPr>
          <w:rStyle w:val="Ninguno"/>
          <w:rFonts w:ascii="EB Garamond" w:cs="EB Garamond" w:hAnsi="EB Garamond" w:eastAsia="EB Garamond"/>
          <w:sz w:val="28"/>
          <w:szCs w:val="28"/>
          <w:vertAlign w:val="superscript"/>
        </w:rPr>
        <w:footnoteReference w:id="72"/>
      </w:r>
      <w:r>
        <w:rPr>
          <w:rStyle w:val="Ninguno"/>
          <w:rFonts w:ascii="EB Garamond" w:cs="EB Garamond" w:hAnsi="EB Garamond" w:eastAsia="EB Garamond"/>
          <w:sz w:val="28"/>
          <w:szCs w:val="28"/>
          <w:rtl w:val="0"/>
          <w:lang w:val="en-US"/>
        </w:rPr>
        <w:t xml:space="preserve">  She argues that there is an extensive interest devoted to the study of mystical experiences in a number of diverse disciplines, including religion, anthropology, transpersonal and depth psychology, mystical and esoteric tradition, mythology, classical studies, and even neurosciences, but not within astrology. Therefore, the aim of this research is also to expand the study of mystical experiences within the field of astrology at this time.</w:t>
      </w:r>
    </w:p>
    <w:p>
      <w:pPr>
        <w:pStyle w:val="Encabezamiento 2"/>
        <w:spacing w:line="360" w:lineRule="auto"/>
        <w:jc w:val="both"/>
        <w:rPr>
          <w:rStyle w:val="Ninguno"/>
          <w:b w:val="1"/>
          <w:bCs w:val="1"/>
        </w:rPr>
      </w:pPr>
      <w:bookmarkStart w:name="_sizku38zpue" w:id="4"/>
      <w:bookmarkEnd w:id="4"/>
    </w:p>
    <w:p>
      <w:pPr>
        <w:pStyle w:val="Encabezamiento 2"/>
        <w:spacing w:line="360" w:lineRule="auto"/>
        <w:jc w:val="both"/>
        <w:rPr>
          <w:rStyle w:val="Ninguno"/>
          <w:b w:val="1"/>
          <w:bCs w:val="1"/>
        </w:rPr>
      </w:pPr>
      <w:bookmarkStart w:name="_wcyvjxo65msb" w:id="5"/>
      <w:bookmarkEnd w:id="5"/>
      <w:r>
        <w:rPr>
          <w:rStyle w:val="Ninguno"/>
          <w:b w:val="1"/>
          <w:bCs w:val="1"/>
          <w:rtl w:val="0"/>
        </w:rPr>
        <w:t>I</w:t>
      </w:r>
      <w:r>
        <w:rPr>
          <w:rStyle w:val="Ninguno"/>
          <w:b w:val="1"/>
          <w:bCs w:val="1"/>
          <w:rtl w:val="0"/>
          <w:lang w:val="en-US"/>
        </w:rPr>
        <w:t>MAGINATION &amp; SYMBOL</w:t>
      </w:r>
    </w:p>
    <w:p>
      <w:pPr>
        <w:pStyle w:val="Encabezam. 3"/>
        <w:rPr>
          <w:rStyle w:val="Ninguno"/>
          <w:rFonts w:ascii="EB Garamond" w:cs="EB Garamond" w:hAnsi="EB Garamond" w:eastAsia="EB Garamond"/>
        </w:rPr>
      </w:pPr>
      <w:bookmarkStart w:name="_qo1gvad4nlb3" w:id="6"/>
      <w:bookmarkEnd w:id="6"/>
      <w:r>
        <w:rPr>
          <w:rStyle w:val="Ninguno"/>
          <w:rFonts w:ascii="EB Garamond" w:cs="EB Garamond" w:hAnsi="EB Garamond" w:eastAsia="EB Garamond"/>
          <w:rtl w:val="0"/>
        </w:rPr>
        <w:t>I</w:t>
      </w:r>
      <w:r>
        <w:rPr>
          <w:rStyle w:val="Ninguno"/>
          <w:rFonts w:ascii="EB Garamond" w:cs="EB Garamond" w:hAnsi="EB Garamond" w:eastAsia="EB Garamond"/>
          <w:rtl w:val="0"/>
          <w:lang w:val="en-US"/>
        </w:rPr>
        <w:t>MAGINATION AND SYNCHRONICITY</w:t>
      </w:r>
    </w:p>
    <w:p>
      <w:pPr>
        <w:pStyle w:val="Cuerpo A"/>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 twenty-century philosopher and Sufi scholar Henry Corbin distinguished between the faculty of imagination and the world of imagination or what he has coined -and popularized- as </w:t>
      </w:r>
      <w:r>
        <w:rPr>
          <w:rStyle w:val="Ninguno"/>
          <w:rFonts w:ascii="EB Garamond" w:cs="EB Garamond" w:hAnsi="EB Garamond" w:eastAsia="EB Garamond"/>
          <w:i w:val="1"/>
          <w:iCs w:val="1"/>
          <w:sz w:val="28"/>
          <w:szCs w:val="28"/>
          <w:rtl w:val="0"/>
        </w:rPr>
        <w:t xml:space="preserve">mundus imaginalis </w:t>
      </w:r>
      <w:r>
        <w:rPr>
          <w:rStyle w:val="Ninguno"/>
          <w:rFonts w:ascii="EB Garamond" w:cs="EB Garamond" w:hAnsi="EB Garamond" w:eastAsia="EB Garamond"/>
          <w:sz w:val="28"/>
          <w:szCs w:val="28"/>
          <w:rtl w:val="0"/>
          <w:lang w:val="en-US"/>
        </w:rPr>
        <w:t>(the imaginal world), an intermediary world situated between the perceptible world and the intelligible or divine world, a mundus where spirits become corporealized and bodies become spiritualized.</w:t>
      </w:r>
      <w:r>
        <w:rPr>
          <w:rStyle w:val="Ninguno"/>
          <w:rFonts w:ascii="EB Garamond" w:cs="EB Garamond" w:hAnsi="EB Garamond" w:eastAsia="EB Garamond"/>
          <w:sz w:val="28"/>
          <w:szCs w:val="28"/>
          <w:vertAlign w:val="superscript"/>
        </w:rPr>
        <w:footnoteReference w:id="73"/>
      </w:r>
      <w:r>
        <w:rPr>
          <w:rStyle w:val="Ninguno"/>
          <w:rFonts w:ascii="EB Garamond" w:cs="EB Garamond" w:hAnsi="EB Garamond" w:eastAsia="EB Garamond"/>
          <w:sz w:val="28"/>
          <w:szCs w:val="28"/>
          <w:rtl w:val="0"/>
          <w:lang w:val="en-US"/>
        </w:rPr>
        <w:t xml:space="preserve"> In the text Corbin describes the three worlds of Islamic cosmology:</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ind w:left="720" w:firstLine="0"/>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There is the physical, sensible world encompassing both our terrestrial world (governed by the human souls) and the sidereal universe (governed by the Souls of the Spheres). The sensible world is the world of the phenomenon. There is also the supersensible world of the Soul or Angel Souls in which the above mentioned mystical Cities are located, and which starts at the "convex surface of the ninth Sphere". And there is the world of pure archangelic Intelligences. Each of these three worlds has its organ of perception: thesenses, imagination, and the intellect, corresponding with the triad: body, soul and mind. </w:t>
      </w:r>
      <w:r>
        <w:rPr>
          <w:rStyle w:val="Ninguno"/>
          <w:rFonts w:ascii="EB Garamond" w:cs="EB Garamond" w:hAnsi="EB Garamond" w:eastAsia="EB Garamond"/>
          <w:sz w:val="28"/>
          <w:szCs w:val="28"/>
          <w:vertAlign w:val="superscript"/>
        </w:rPr>
        <w:footnoteReference w:id="74"/>
      </w:r>
    </w:p>
    <w:p>
      <w:pPr>
        <w:pStyle w:val="Cuerpo A"/>
        <w:spacing w:line="360" w:lineRule="auto"/>
        <w:ind w:left="720" w:firstLine="0"/>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 </w:t>
      </w:r>
      <w:r>
        <w:rPr>
          <w:rStyle w:val="Ninguno"/>
          <w:rFonts w:ascii="EB Garamond" w:cs="EB Garamond" w:hAnsi="EB Garamond" w:eastAsia="EB Garamond"/>
          <w:i w:val="1"/>
          <w:iCs w:val="1"/>
          <w:sz w:val="28"/>
          <w:szCs w:val="28"/>
          <w:rtl w:val="0"/>
        </w:rPr>
        <w:t>mundus imaginalis,</w:t>
      </w:r>
      <w:r>
        <w:rPr>
          <w:rStyle w:val="Ninguno"/>
          <w:rFonts w:ascii="EB Garamond" w:cs="EB Garamond" w:hAnsi="EB Garamond" w:eastAsia="EB Garamond"/>
          <w:sz w:val="28"/>
          <w:szCs w:val="28"/>
          <w:rtl w:val="0"/>
          <w:lang w:val="en-US"/>
        </w:rPr>
        <w:t xml:space="preserve"> or the world of Image,  is a world that is both intermediate and intermediary, `a world that is ontologically as real as the world of the senses and that of the intellect`, a precise order of reality that requires its own mode of perception: Imagination.</w:t>
      </w:r>
      <w:r>
        <w:rPr>
          <w:rStyle w:val="Ninguno"/>
          <w:rFonts w:ascii="EB Garamond" w:cs="EB Garamond" w:hAnsi="EB Garamond" w:eastAsia="EB Garamond"/>
          <w:sz w:val="28"/>
          <w:szCs w:val="28"/>
          <w:vertAlign w:val="superscript"/>
        </w:rPr>
        <w:footnoteReference w:id="75"/>
      </w:r>
      <w:r>
        <w:rPr>
          <w:rStyle w:val="Ninguno"/>
          <w:rFonts w:ascii="EB Garamond" w:cs="EB Garamond" w:hAnsi="EB Garamond" w:eastAsia="EB Garamond"/>
          <w:sz w:val="28"/>
          <w:szCs w:val="28"/>
          <w:rtl w:val="0"/>
          <w:lang w:val="en-US"/>
        </w:rPr>
        <w:t xml:space="preserve">  However, it is not the imagination of our fantasies and desires projected into the future but the organ of the soul.  According to Corbin, the faculty of imagination is a way of knowing which allows access into the realm of imagination or the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supersensible world of the Soul</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which, far from being unreal, it `ontologically, ranks higher than the world of the senses and lower than the purely intelligible world; it is more immaterial than the former and less immaterial than the latter.`</w:t>
      </w:r>
      <w:r>
        <w:rPr>
          <w:rStyle w:val="Ninguno"/>
          <w:rFonts w:ascii="EB Garamond" w:cs="EB Garamond" w:hAnsi="EB Garamond" w:eastAsia="EB Garamond"/>
          <w:sz w:val="28"/>
          <w:szCs w:val="28"/>
          <w:vertAlign w:val="superscript"/>
        </w:rPr>
        <w:footnoteReference w:id="76"/>
      </w:r>
      <w:r>
        <w:rPr>
          <w:rStyle w:val="Ninguno"/>
          <w:rFonts w:ascii="EB Garamond" w:cs="EB Garamond" w:hAnsi="EB Garamond" w:eastAsia="EB Garamond"/>
          <w:sz w:val="28"/>
          <w:szCs w:val="28"/>
          <w:rtl w:val="0"/>
          <w:lang w:val="en-US"/>
        </w:rPr>
        <w:t xml:space="preserve"> By saying this, he elevates the status of the world of imagination to an independent ontological reality while the realm of imagery, by contrast, reflects our individual fantasies.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da-DK"/>
        </w:rPr>
        <w:t>Corbin</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 xml:space="preserve">s </w:t>
      </w:r>
      <w:r>
        <w:rPr>
          <w:rStyle w:val="Ninguno"/>
          <w:rFonts w:ascii="EB Garamond" w:cs="EB Garamond" w:hAnsi="EB Garamond" w:eastAsia="EB Garamond"/>
          <w:i w:val="1"/>
          <w:iCs w:val="1"/>
          <w:sz w:val="28"/>
          <w:szCs w:val="28"/>
          <w:rtl w:val="0"/>
        </w:rPr>
        <w:t xml:space="preserve">mundus imaginalis </w:t>
      </w:r>
      <w:r>
        <w:rPr>
          <w:rStyle w:val="Ninguno"/>
          <w:rFonts w:ascii="EB Garamond" w:cs="EB Garamond" w:hAnsi="EB Garamond" w:eastAsia="EB Garamond"/>
          <w:sz w:val="28"/>
          <w:szCs w:val="28"/>
          <w:rtl w:val="0"/>
          <w:lang w:val="en-US"/>
        </w:rPr>
        <w:t>seems to find similarities in the intermediate world of the soul in the Neoplatonic cosmos. The Neoplatonic cosmos was arranged hierarchically: at the top rests the transcendent unity of the One from which radiates out from itself all that exists in the cosmos, in a process most commonly known as emanation from superior and manifests the lower or inferior levels of reality into multiplicity.</w:t>
      </w:r>
      <w:r>
        <w:rPr>
          <w:rStyle w:val="Ninguno"/>
          <w:rFonts w:ascii="EB Garamond" w:cs="EB Garamond" w:hAnsi="EB Garamond" w:eastAsia="EB Garamond"/>
          <w:sz w:val="28"/>
          <w:szCs w:val="28"/>
          <w:vertAlign w:val="superscript"/>
        </w:rPr>
        <w:footnoteReference w:id="77"/>
      </w:r>
      <w:r>
        <w:rPr>
          <w:rStyle w:val="Ninguno"/>
          <w:rFonts w:ascii="EB Garamond" w:cs="EB Garamond" w:hAnsi="EB Garamond" w:eastAsia="EB Garamond"/>
          <w:sz w:val="28"/>
          <w:szCs w:val="28"/>
          <w:rtl w:val="0"/>
          <w:lang w:val="en-US"/>
        </w:rPr>
        <w:t xml:space="preserve"> It is the source of unity for everything else, and all that exists comes from this one source. After the One, the first major level is the divine Mind or Nous. This level contains intellectual reality and is home to Plato</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Forms or Ideas.</w:t>
      </w:r>
      <w:r>
        <w:rPr>
          <w:rStyle w:val="Ninguno"/>
          <w:rFonts w:ascii="EB Garamond" w:cs="EB Garamond" w:hAnsi="EB Garamond" w:eastAsia="EB Garamond"/>
          <w:sz w:val="28"/>
          <w:szCs w:val="28"/>
          <w:vertAlign w:val="superscript"/>
        </w:rPr>
        <w:footnoteReference w:id="78"/>
      </w:r>
      <w:r>
        <w:rPr>
          <w:rStyle w:val="Ninguno"/>
          <w:rFonts w:ascii="EB Garamond" w:cs="EB Garamond" w:hAnsi="EB Garamond" w:eastAsia="EB Garamond"/>
          <w:sz w:val="28"/>
          <w:szCs w:val="28"/>
          <w:rtl w:val="0"/>
          <w:lang w:val="en-US"/>
        </w:rPr>
        <w:t xml:space="preserve"> The Nous manifests, out of itself, the level of reality of Soul, of which the individual soul partakes. Soul, Corbin</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s world of images, also plays a mediating role between intellectual and material reality, which is the lower level. As astrologer Angela Voss points out, in the Neoplatonic cosmos of emanations from spirit to matter `the former is given a perceptible form through an image, and the latter loses the density of embodiment and is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seen through</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to its immaterial essence.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vertAlign w:val="superscript"/>
        </w:rPr>
        <w:footnoteReference w:id="79"/>
      </w:r>
      <w:r>
        <w:rPr>
          <w:rStyle w:val="Ninguno"/>
          <w:rFonts w:ascii="EB Garamond" w:cs="EB Garamond" w:hAnsi="EB Garamond" w:eastAsia="EB Garamond"/>
          <w:sz w:val="28"/>
          <w:szCs w:val="28"/>
          <w:rtl w:val="0"/>
          <w:lang w:val="en-US"/>
        </w:rPr>
        <w:t xml:space="preserve"> In his historical study on symbolism, Peter Struck argues that with the Neoplatonists, the idea that symbols have the power to do things reaches a new and determining role that seems to follow the sacramental dimension of symbol introduced by Pythagoras.</w:t>
      </w:r>
      <w:r>
        <w:rPr>
          <w:rStyle w:val="Ninguno"/>
          <w:rFonts w:ascii="EB Garamond" w:cs="EB Garamond" w:hAnsi="EB Garamond" w:eastAsia="EB Garamond"/>
          <w:sz w:val="28"/>
          <w:szCs w:val="28"/>
          <w:vertAlign w:val="superscript"/>
        </w:rPr>
        <w:footnoteReference w:id="80"/>
      </w:r>
      <w:r>
        <w:rPr>
          <w:rStyle w:val="Ninguno"/>
          <w:rFonts w:ascii="EB Garamond" w:cs="EB Garamond" w:hAnsi="EB Garamond" w:eastAsia="EB Garamond"/>
          <w:sz w:val="28"/>
          <w:szCs w:val="28"/>
          <w:rtl w:val="0"/>
          <w:lang w:val="en-US"/>
        </w:rPr>
        <w:t xml:space="preserve"> Symbols do not just communicate with a transcendental dimension but rather have an active, creative power of their own.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In addition, Angela Voss argues that Corbin</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s work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allows imaginal perception to be understood as engendering a kind of knowledge which arises from the confluence of inner recognition with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pt-PT"/>
        </w:rPr>
        <w:t>external</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reality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81"/>
      </w:r>
      <w:r>
        <w:rPr>
          <w:rStyle w:val="Ninguno"/>
          <w:rFonts w:ascii="EB Garamond" w:cs="EB Garamond" w:hAnsi="EB Garamond" w:eastAsia="EB Garamond"/>
          <w:sz w:val="28"/>
          <w:szCs w:val="28"/>
          <w:rtl w:val="0"/>
          <w:lang w:val="en-US"/>
        </w:rPr>
        <w:t xml:space="preserve"> In her argument, she also underpins Carl Jung's concept of synchronicity which he defined as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coincidence of a psychic state in the observer with a simultaneous, objective, external event that corresponds to the psychic state or content.</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vertAlign w:val="superscript"/>
        </w:rPr>
        <w:footnoteReference w:id="82"/>
      </w:r>
      <w:r>
        <w:rPr>
          <w:rStyle w:val="Ninguno"/>
          <w:rFonts w:ascii="EB Garamond" w:cs="EB Garamond" w:hAnsi="EB Garamond" w:eastAsia="EB Garamond"/>
          <w:sz w:val="28"/>
          <w:szCs w:val="28"/>
          <w:rtl w:val="0"/>
          <w:lang w:val="en-US"/>
        </w:rPr>
        <w:t xml:space="preserve"> So, based on Jung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argument,  synchronicity seems to point to the correspondence and union of an inner image and an outer event, psyche and matter, individual experience and the world, an encounter that creates the spark of meaning and dissolves the subject-object modern dichotomy.</w:t>
      </w:r>
      <w:r>
        <w:rPr>
          <w:rStyle w:val="Ninguno"/>
          <w:rFonts w:ascii="EB Garamond" w:cs="EB Garamond" w:hAnsi="EB Garamond" w:eastAsia="EB Garamond"/>
          <w:sz w:val="28"/>
          <w:szCs w:val="28"/>
          <w:vertAlign w:val="superscript"/>
        </w:rPr>
        <w:footnoteReference w:id="83"/>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Jung explains that this kind of coincidence he calls synchronicity is similar to an early idea of causality, which is not like the modern notion of cause and effect and it neither occurs by chance.</w:t>
      </w:r>
      <w:r>
        <w:rPr>
          <w:rStyle w:val="Ninguno"/>
          <w:rFonts w:ascii="EB Garamond" w:cs="EB Garamond" w:hAnsi="EB Garamond" w:eastAsia="EB Garamond"/>
          <w:sz w:val="28"/>
          <w:szCs w:val="28"/>
          <w:vertAlign w:val="superscript"/>
        </w:rPr>
        <w:footnoteReference w:id="84"/>
      </w:r>
      <w:r>
        <w:rPr>
          <w:rStyle w:val="Ninguno"/>
          <w:rFonts w:ascii="EB Garamond" w:cs="EB Garamond" w:hAnsi="EB Garamond" w:eastAsia="EB Garamond"/>
          <w:sz w:val="28"/>
          <w:szCs w:val="28"/>
          <w:rtl w:val="0"/>
          <w:lang w:val="en-US"/>
        </w:rPr>
        <w:t xml:space="preserve"> He wrote in a letter to the astrologer Andr</w:t>
      </w:r>
      <w:r>
        <w:rPr>
          <w:rStyle w:val="Ninguno"/>
          <w:rFonts w:ascii="EB Garamond" w:cs="EB Garamond" w:hAnsi="EB Garamond" w:eastAsia="EB Garamond"/>
          <w:sz w:val="28"/>
          <w:szCs w:val="28"/>
          <w:rtl w:val="0"/>
          <w:lang w:val="en-US"/>
        </w:rPr>
        <w:t xml:space="preserve">é </w:t>
      </w:r>
      <w:r>
        <w:rPr>
          <w:rStyle w:val="Ninguno"/>
          <w:rFonts w:ascii="EB Garamond" w:cs="EB Garamond" w:hAnsi="EB Garamond" w:eastAsia="EB Garamond"/>
          <w:sz w:val="28"/>
          <w:szCs w:val="28"/>
          <w:rtl w:val="0"/>
          <w:lang w:val="en-US"/>
        </w:rPr>
        <w:t>Barbault: `Qualitative time. This is a notion I used formerly but I have replaced it with the idea of synchronicity, which is analogous to sympathy or correspondentia, or to Leibniz</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pre-established harmony`.</w:t>
      </w:r>
      <w:r>
        <w:rPr>
          <w:rStyle w:val="Ninguno"/>
          <w:rFonts w:ascii="EB Garamond" w:cs="EB Garamond" w:hAnsi="EB Garamond" w:eastAsia="EB Garamond"/>
          <w:sz w:val="28"/>
          <w:szCs w:val="28"/>
          <w:vertAlign w:val="superscript"/>
        </w:rPr>
        <w:footnoteReference w:id="85"/>
      </w:r>
      <w:r>
        <w:rPr>
          <w:rStyle w:val="Ninguno"/>
          <w:rFonts w:ascii="EB Garamond" w:cs="EB Garamond" w:hAnsi="EB Garamond" w:eastAsia="EB Garamond"/>
          <w:sz w:val="28"/>
          <w:szCs w:val="28"/>
          <w:rtl w:val="0"/>
          <w:lang w:val="en-US"/>
        </w:rPr>
        <w:t xml:space="preserve"> In this statement, Jung merges into synchronicity the Greek idea of Sympathy.  </w:t>
      </w:r>
      <w:r>
        <w:rPr>
          <w:rStyle w:val="Ninguno"/>
          <w:rFonts w:ascii="EB Garamond" w:cs="EB Garamond" w:hAnsi="EB Garamond" w:eastAsia="EB Garamond"/>
          <w:i w:val="1"/>
          <w:iCs w:val="1"/>
          <w:sz w:val="28"/>
          <w:szCs w:val="28"/>
          <w:rtl w:val="0"/>
          <w:lang w:val="en-US"/>
        </w:rPr>
        <w:t>Sympathy</w:t>
      </w:r>
      <w:r>
        <w:rPr>
          <w:rStyle w:val="Ninguno"/>
          <w:rFonts w:ascii="EB Garamond" w:cs="EB Garamond" w:hAnsi="EB Garamond" w:eastAsia="EB Garamond"/>
          <w:sz w:val="28"/>
          <w:szCs w:val="28"/>
          <w:rtl w:val="0"/>
          <w:lang w:val="en-US"/>
        </w:rPr>
        <w:t xml:space="preserve"> is the notion in which all things in the universe, both material and nonmaterial, are bound together in a system of interlocking relationships resulting in mutual interdependence along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fr-FR"/>
        </w:rPr>
        <w:t>chains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of correspondences operating at different levels of reality in an organic whole.</w:t>
      </w:r>
      <w:r>
        <w:rPr>
          <w:rStyle w:val="Ninguno"/>
          <w:rFonts w:ascii="EB Garamond" w:cs="EB Garamond" w:hAnsi="EB Garamond" w:eastAsia="EB Garamond"/>
          <w:sz w:val="28"/>
          <w:szCs w:val="28"/>
          <w:vertAlign w:val="superscript"/>
        </w:rPr>
        <w:footnoteReference w:id="86"/>
      </w:r>
      <w:r>
        <w:rPr>
          <w:rStyle w:val="Ninguno"/>
          <w:rFonts w:ascii="EB Garamond" w:cs="EB Garamond" w:hAnsi="EB Garamond" w:eastAsia="EB Garamond"/>
          <w:sz w:val="28"/>
          <w:szCs w:val="28"/>
          <w:rtl w:val="0"/>
          <w:lang w:val="en-US"/>
        </w:rPr>
        <w:t xml:space="preserve"> In this regard, Nicholas Campion pointed out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Jung recast Plato's ideas in a twentieth-century context</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87"/>
      </w:r>
      <w:r>
        <w:rPr>
          <w:rStyle w:val="Ninguno"/>
          <w:rFonts w:ascii="EB Garamond" w:cs="EB Garamond" w:hAnsi="EB Garamond" w:eastAsia="EB Garamond"/>
          <w:sz w:val="28"/>
          <w:szCs w:val="28"/>
          <w:rtl w:val="0"/>
          <w:lang w:val="en-US"/>
        </w:rPr>
        <w:t xml:space="preserve"> Liz Greene also argues that Jung brought into the modern psychological community ancient ideas from Plato, Gnosticism, Neoplatonism, Hermetic teachings and mediaeval Alchemy.</w:t>
      </w:r>
      <w:r>
        <w:rPr>
          <w:rStyle w:val="Ninguno"/>
          <w:rFonts w:ascii="EB Garamond" w:cs="EB Garamond" w:hAnsi="EB Garamond" w:eastAsia="EB Garamond"/>
          <w:sz w:val="28"/>
          <w:szCs w:val="28"/>
          <w:vertAlign w:val="superscript"/>
        </w:rPr>
        <w:footnoteReference w:id="88"/>
      </w:r>
      <w:r>
        <w:rPr>
          <w:rStyle w:val="Ninguno"/>
          <w:rFonts w:ascii="EB Garamond" w:cs="EB Garamond" w:hAnsi="EB Garamond" w:eastAsia="EB Garamond"/>
          <w:sz w:val="28"/>
          <w:szCs w:val="28"/>
          <w:rtl w:val="0"/>
          <w:lang w:val="da-DK"/>
        </w:rPr>
        <w:t xml:space="preserve"> Thus, Jung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cosmology was built on classical and hermetic teachings such as the Platonic intelligible and the ensouled world, from which Jung developed the belief that the true nature of the universe was psychic.</w:t>
      </w:r>
      <w:r>
        <w:rPr>
          <w:rStyle w:val="Ninguno"/>
          <w:rFonts w:ascii="EB Garamond" w:cs="EB Garamond" w:hAnsi="EB Garamond" w:eastAsia="EB Garamond"/>
          <w:sz w:val="28"/>
          <w:szCs w:val="28"/>
          <w:vertAlign w:val="superscript"/>
        </w:rPr>
        <w:footnoteReference w:id="89"/>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Jung states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synchronicity postulates a meaning which is a priori in relation to human consciousness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 which is in contradiction with his previous argument that considers synchronicity as a coincidence connected by </w:t>
      </w:r>
      <w:r>
        <w:rPr>
          <w:rStyle w:val="Ninguno"/>
          <w:rFonts w:ascii="EB Garamond" w:cs="EB Garamond" w:hAnsi="EB Garamond" w:eastAsia="EB Garamond"/>
          <w:i w:val="1"/>
          <w:iCs w:val="1"/>
          <w:sz w:val="28"/>
          <w:szCs w:val="28"/>
          <w:rtl w:val="0"/>
          <w:lang w:val="it-IT"/>
        </w:rPr>
        <w:t>simultaneity</w:t>
      </w:r>
      <w:r>
        <w:rPr>
          <w:rStyle w:val="Ninguno"/>
          <w:rFonts w:ascii="EB Garamond" w:cs="EB Garamond" w:hAnsi="EB Garamond" w:eastAsia="EB Garamond"/>
          <w:sz w:val="28"/>
          <w:szCs w:val="28"/>
          <w:rtl w:val="0"/>
          <w:lang w:val="en-US"/>
        </w:rPr>
        <w:t xml:space="preserve"> in which both sides, psyche and matter, inner image and outer event, have the same meaning.</w:t>
      </w:r>
      <w:r>
        <w:rPr>
          <w:rStyle w:val="Ninguno"/>
          <w:rFonts w:ascii="EB Garamond" w:cs="EB Garamond" w:hAnsi="EB Garamond" w:eastAsia="EB Garamond"/>
          <w:sz w:val="28"/>
          <w:szCs w:val="28"/>
          <w:vertAlign w:val="superscript"/>
        </w:rPr>
        <w:footnoteReference w:id="90"/>
      </w:r>
      <w:r>
        <w:rPr>
          <w:rStyle w:val="Ninguno"/>
          <w:rFonts w:ascii="EB Garamond" w:cs="EB Garamond" w:hAnsi="EB Garamond" w:eastAsia="EB Garamond"/>
          <w:sz w:val="28"/>
          <w:szCs w:val="28"/>
          <w:rtl w:val="0"/>
          <w:lang w:val="en-US"/>
        </w:rPr>
        <w:t xml:space="preserve"> The former argument is an idealistic perspective in which the cause of reality that gives shape to the external material world seems to lie in a more fundamental layer of reality that is invisible, intelligible, and beyond the physical phenomena. An idealistic approach asserts that these mental objects are part of a level of reality distinct from the physical world and posits an alternative explanation for how we can know  our world and ourselves without relying on empirical evidence gathered by our sensory organs. According to this view, consciousness exists before and is the pre-condition of material existence. Consciousness creates and determines the material and not vice versa. Idealism believes consciousness and mind to be the origin of the material world and aims to explain the existing world according to these principles. In this regard, Jung argued that there is `a priori psychic orderedness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whose introspectively recognizable form are the archetypes.</w:t>
      </w:r>
      <w:r>
        <w:rPr>
          <w:rStyle w:val="Ninguno"/>
          <w:rFonts w:ascii="EB Garamond" w:cs="EB Garamond" w:hAnsi="EB Garamond" w:eastAsia="EB Garamond"/>
          <w:sz w:val="28"/>
          <w:szCs w:val="28"/>
          <w:vertAlign w:val="superscript"/>
        </w:rPr>
        <w:footnoteReference w:id="91"/>
      </w:r>
      <w:r>
        <w:rPr>
          <w:rStyle w:val="Ninguno"/>
          <w:rFonts w:ascii="EB Garamond" w:cs="EB Garamond" w:hAnsi="EB Garamond" w:eastAsia="EB Garamond"/>
          <w:sz w:val="28"/>
          <w:szCs w:val="28"/>
          <w:rtl w:val="0"/>
          <w:lang w:val="en-US"/>
        </w:rPr>
        <w:t xml:space="preserve"> Archetypes, he says,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represents psychic probability, portraying ordinary instinctual events in the form of types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92"/>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By contrast, the reciprocal approach to synchronicity is acausal, connected by simultaneity and meaning.</w:t>
      </w:r>
      <w:r>
        <w:rPr>
          <w:rStyle w:val="Ninguno"/>
          <w:rFonts w:ascii="EB Garamond" w:cs="EB Garamond" w:hAnsi="EB Garamond" w:eastAsia="EB Garamond"/>
          <w:sz w:val="28"/>
          <w:szCs w:val="28"/>
          <w:vertAlign w:val="superscript"/>
        </w:rPr>
        <w:footnoteReference w:id="93"/>
      </w:r>
      <w:r>
        <w:rPr>
          <w:rStyle w:val="Ninguno"/>
          <w:rFonts w:ascii="EB Garamond" w:cs="EB Garamond" w:hAnsi="EB Garamond" w:eastAsia="EB Garamond"/>
          <w:sz w:val="28"/>
          <w:szCs w:val="28"/>
          <w:rtl w:val="0"/>
          <w:lang w:val="en-US"/>
        </w:rPr>
        <w:t xml:space="preserve"> That is why he says that synchronicity is an `acausal meaningful coincidence`.</w:t>
      </w:r>
      <w:r>
        <w:rPr>
          <w:rStyle w:val="Ninguno"/>
          <w:rFonts w:ascii="EB Garamond" w:cs="EB Garamond" w:hAnsi="EB Garamond" w:eastAsia="EB Garamond"/>
          <w:sz w:val="28"/>
          <w:szCs w:val="28"/>
          <w:vertAlign w:val="superscript"/>
        </w:rPr>
        <w:footnoteReference w:id="94"/>
      </w:r>
      <w:r>
        <w:rPr>
          <w:rStyle w:val="Ninguno"/>
          <w:rFonts w:ascii="EB Garamond" w:cs="EB Garamond" w:hAnsi="EB Garamond" w:eastAsia="EB Garamond"/>
          <w:sz w:val="28"/>
          <w:szCs w:val="28"/>
          <w:rtl w:val="0"/>
          <w:lang w:val="en-US"/>
        </w:rPr>
        <w:t xml:space="preserve"> It also seems to rely on a more participatory relationship between psyche  (inner image) and matter (outer event). Jung says: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ind w:left="720" w:firstLine="0"/>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Psyche cannot be totally different from matter, for how otherwise could it move matter? And matter cannot be alien to psyche, for how else could matter produce psyche? Psyche and matter exist in the same world, and each partakes of the other, otherwise, any reciprocal action could be impossible.</w:t>
      </w:r>
      <w:r>
        <w:rPr>
          <w:rStyle w:val="Ninguno"/>
          <w:rFonts w:ascii="EB Garamond" w:cs="EB Garamond" w:hAnsi="EB Garamond" w:eastAsia="EB Garamond"/>
          <w:sz w:val="28"/>
          <w:szCs w:val="28"/>
          <w:vertAlign w:val="superscript"/>
        </w:rPr>
        <w:footnoteReference w:id="95"/>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However, both perspectives were intrinsically rejected by many of the central assumptions of the dominant modern worldview among the scientific community of the beginning of the twentieth century that was fundamentally materialistic.</w:t>
      </w:r>
      <w:r>
        <w:rPr>
          <w:rStyle w:val="Ninguno"/>
          <w:rFonts w:ascii="EB Garamond" w:cs="EB Garamond" w:hAnsi="EB Garamond" w:eastAsia="EB Garamond"/>
          <w:sz w:val="28"/>
          <w:szCs w:val="28"/>
          <w:vertAlign w:val="superscript"/>
        </w:rPr>
        <w:footnoteReference w:id="96"/>
      </w:r>
      <w:r>
        <w:rPr>
          <w:rStyle w:val="Ninguno"/>
          <w:rFonts w:ascii="EB Garamond" w:cs="EB Garamond" w:hAnsi="EB Garamond" w:eastAsia="EB Garamond"/>
          <w:sz w:val="28"/>
          <w:szCs w:val="28"/>
          <w:rtl w:val="0"/>
          <w:lang w:val="en-US"/>
        </w:rPr>
        <w:t xml:space="preserve"> Modern materialistic and mechanistic vision of the world perceives nature and the material world as devoid of interiority and soul, disconnected from each other without any power to act or be affected at a distance, a denial of any divine presence in the world.</w:t>
      </w:r>
      <w:r>
        <w:rPr>
          <w:rStyle w:val="Ninguno"/>
          <w:rFonts w:ascii="EB Garamond" w:cs="EB Garamond" w:hAnsi="EB Garamond" w:eastAsia="EB Garamond"/>
          <w:sz w:val="28"/>
          <w:szCs w:val="28"/>
          <w:vertAlign w:val="superscript"/>
        </w:rPr>
        <w:footnoteReference w:id="97"/>
      </w:r>
      <w:r>
        <w:rPr>
          <w:rStyle w:val="Ninguno"/>
          <w:rFonts w:ascii="EB Garamond" w:cs="EB Garamond" w:hAnsi="EB Garamond" w:eastAsia="EB Garamond"/>
          <w:sz w:val="28"/>
          <w:szCs w:val="28"/>
          <w:rtl w:val="0"/>
          <w:lang w:val="en-US"/>
        </w:rPr>
        <w:t xml:space="preserve"> The idea that every event has its cause in the past is one of the fundamental principles of the modern scientific perspective.</w:t>
      </w:r>
      <w:r>
        <w:rPr>
          <w:rStyle w:val="Ninguno"/>
          <w:rFonts w:ascii="EB Garamond" w:cs="EB Garamond" w:hAnsi="EB Garamond" w:eastAsia="EB Garamond"/>
          <w:sz w:val="28"/>
          <w:szCs w:val="28"/>
          <w:vertAlign w:val="superscript"/>
        </w:rPr>
        <w:footnoteReference w:id="98"/>
      </w:r>
      <w:r>
        <w:rPr>
          <w:rStyle w:val="Ninguno"/>
          <w:rFonts w:ascii="EB Garamond" w:cs="EB Garamond" w:hAnsi="EB Garamond" w:eastAsia="EB Garamond"/>
          <w:sz w:val="28"/>
          <w:szCs w:val="28"/>
          <w:rtl w:val="0"/>
          <w:lang w:val="en-US"/>
        </w:rPr>
        <w:t xml:space="preserve"> The modern mechanistic principle of causation implies correlations between cause and effect, that every event has its cause, that is to say, that the past determines the present.</w:t>
      </w:r>
      <w:r>
        <w:rPr>
          <w:rStyle w:val="Ninguno"/>
          <w:rFonts w:ascii="EB Garamond" w:cs="EB Garamond" w:hAnsi="EB Garamond" w:eastAsia="EB Garamond"/>
          <w:sz w:val="28"/>
          <w:szCs w:val="28"/>
          <w:vertAlign w:val="superscript"/>
        </w:rPr>
        <w:footnoteReference w:id="99"/>
      </w:r>
      <w:r>
        <w:rPr>
          <w:rStyle w:val="Ninguno"/>
          <w:rFonts w:ascii="EB Garamond" w:cs="EB Garamond" w:hAnsi="EB Garamond" w:eastAsia="EB Garamond"/>
          <w:sz w:val="28"/>
          <w:szCs w:val="28"/>
          <w:rtl w:val="0"/>
          <w:lang w:val="en-US"/>
        </w:rPr>
        <w:t xml:space="preserve"> Interestingly, while Jung was writing down his ideas at the beginning of twenty-century, quantum theories also started to emerge and to question those modern assumptions of materialistic reductionism to its foundation.</w:t>
      </w:r>
      <w:r>
        <w:rPr>
          <w:rStyle w:val="Ninguno"/>
          <w:rFonts w:ascii="EB Garamond" w:cs="EB Garamond" w:hAnsi="EB Garamond" w:eastAsia="EB Garamond"/>
          <w:sz w:val="28"/>
          <w:szCs w:val="28"/>
          <w:vertAlign w:val="superscript"/>
        </w:rPr>
        <w:footnoteReference w:id="100"/>
      </w:r>
      <w:r>
        <w:rPr>
          <w:rStyle w:val="Ninguno"/>
          <w:rFonts w:ascii="EB Garamond" w:cs="EB Garamond" w:hAnsi="EB Garamond" w:eastAsia="EB Garamond"/>
          <w:sz w:val="28"/>
          <w:szCs w:val="28"/>
          <w:rtl w:val="0"/>
          <w:lang w:val="en-US"/>
        </w:rPr>
        <w:t xml:space="preserve"> It is known that Carl Jung had a connection with the scientist Wolfgang Pauli (1900-58), one of the pioneers in quantum physics, from whom he received assistance to develop the idea of synchronicity.</w:t>
      </w:r>
      <w:r>
        <w:rPr>
          <w:rStyle w:val="Ninguno"/>
          <w:rFonts w:ascii="EB Garamond" w:cs="EB Garamond" w:hAnsi="EB Garamond" w:eastAsia="EB Garamond"/>
          <w:sz w:val="28"/>
          <w:szCs w:val="28"/>
          <w:vertAlign w:val="superscript"/>
        </w:rPr>
        <w:footnoteReference w:id="101"/>
      </w:r>
      <w:r>
        <w:rPr>
          <w:rStyle w:val="Ninguno"/>
          <w:rFonts w:ascii="EB Garamond" w:cs="EB Garamond" w:hAnsi="EB Garamond" w:eastAsia="EB Garamond"/>
          <w:sz w:val="28"/>
          <w:szCs w:val="28"/>
          <w:rtl w:val="0"/>
          <w:lang w:val="en-US"/>
        </w:rPr>
        <w:t xml:space="preserve"> Thus, it seems that those new ideas and visions of the world were permating diverse disciplines at the same time. While synchronicity relies on the simultaneity of external events and the internal process of the psyche, on the contrary, modern scientific and causal thinking are, according to David Griffin, a materialistic approach based on the sensory perception of a chain of contiguous events.</w:t>
      </w:r>
      <w:r>
        <w:rPr>
          <w:rStyle w:val="Ninguno"/>
          <w:rFonts w:ascii="EB Garamond" w:cs="EB Garamond" w:hAnsi="EB Garamond" w:eastAsia="EB Garamond"/>
          <w:sz w:val="28"/>
          <w:szCs w:val="28"/>
          <w:vertAlign w:val="superscript"/>
        </w:rPr>
        <w:footnoteReference w:id="102"/>
      </w:r>
      <w:r>
        <w:rPr>
          <w:rStyle w:val="Ninguno"/>
          <w:rFonts w:ascii="EB Garamond" w:cs="EB Garamond" w:hAnsi="EB Garamond" w:eastAsia="EB Garamond"/>
          <w:sz w:val="28"/>
          <w:szCs w:val="28"/>
          <w:rtl w:val="0"/>
          <w:lang w:val="en-US"/>
        </w:rPr>
        <w:t xml:space="preserve"> Furthermore, Jung argues that the meaning that comes from synchronicity or acausal coincidences is a `knowledge not mediated by the sense organs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which `supports the hypothesis of a self-subsistent meaning, or even expresses its existence`; and then he states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such a form of existence can only be transcendental</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03"/>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So, Jung's idea of synchronicity changed and evolved towards a broader conception rooted in Platonic influence. He seems to move back and forward from an idealistic cosmology of psyche and matter that posits the ultimate reality of the psychic world, to a reciprocal notion of the relation between psyche and matter. On the one hand, synchronicity seems to be a kind of knowledge, but also a transcendental dimension that emerges spontaneously without the mediation of sense-perception, but mediated by another way of perception that Jung has called </w:t>
      </w:r>
      <w:r>
        <w:rPr>
          <w:rStyle w:val="Ninguno"/>
          <w:rFonts w:ascii="EB Garamond" w:cs="EB Garamond" w:hAnsi="EB Garamond" w:eastAsia="EB Garamond"/>
          <w:i w:val="1"/>
          <w:iCs w:val="1"/>
          <w:sz w:val="28"/>
          <w:szCs w:val="28"/>
          <w:rtl w:val="0"/>
          <w:lang w:val="en-US"/>
        </w:rPr>
        <w:t>active imagination,</w:t>
      </w:r>
      <w:r>
        <w:rPr>
          <w:rStyle w:val="Ninguno"/>
          <w:rFonts w:ascii="EB Garamond" w:cs="EB Garamond" w:hAnsi="EB Garamond" w:eastAsia="EB Garamond"/>
          <w:sz w:val="28"/>
          <w:szCs w:val="28"/>
          <w:rtl w:val="0"/>
          <w:lang w:val="en-US"/>
        </w:rPr>
        <w:t xml:space="preserve"> which allows perceiving meaning and, therefore, a meaningful coincidence between the internal and the external.</w:t>
      </w:r>
      <w:r>
        <w:rPr>
          <w:rStyle w:val="Ninguno"/>
          <w:rFonts w:ascii="EB Garamond" w:cs="EB Garamond" w:hAnsi="EB Garamond" w:eastAsia="EB Garamond"/>
          <w:sz w:val="28"/>
          <w:szCs w:val="28"/>
          <w:vertAlign w:val="superscript"/>
        </w:rPr>
        <w:footnoteReference w:id="104"/>
      </w:r>
      <w:r>
        <w:rPr>
          <w:rStyle w:val="Ninguno"/>
          <w:rFonts w:ascii="EB Garamond" w:cs="EB Garamond" w:hAnsi="EB Garamond" w:eastAsia="EB Garamond"/>
          <w:sz w:val="28"/>
          <w:szCs w:val="28"/>
          <w:rtl w:val="0"/>
          <w:lang w:val="en-US"/>
        </w:rPr>
        <w:t xml:space="preserve"> In contrast with Corbin, Jung does not seem to distinguish between the faculty of imagination and the world of imagination; on the contrary, active imagination seems to point out to the capacity of the psyche, in particular. Even if Jung considered its mediation function with a transcendental dimension, active imagination is not presented as a world but as a method and way of knowledge. Richard Tarnas pointed out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nature of Jung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field and concepts seemed to require an exclusively psychological interpretation of his findings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05"/>
      </w:r>
      <w:r>
        <w:rPr>
          <w:rStyle w:val="Ninguno"/>
          <w:rFonts w:ascii="EB Garamond" w:cs="EB Garamond" w:hAnsi="EB Garamond" w:eastAsia="EB Garamond"/>
          <w:sz w:val="28"/>
          <w:szCs w:val="28"/>
          <w:rtl w:val="0"/>
          <w:lang w:val="en-US"/>
        </w:rPr>
        <w:t xml:space="preserve"> It seems that Jung was not concerned with writing about an ontologically independent dimension of reality but with the human psychological experience of it.</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In his book </w:t>
      </w:r>
      <w:r>
        <w:rPr>
          <w:rStyle w:val="Ninguno"/>
          <w:rFonts w:ascii="EB Garamond" w:cs="EB Garamond" w:hAnsi="EB Garamond" w:eastAsia="EB Garamond"/>
          <w:i w:val="1"/>
          <w:iCs w:val="1"/>
          <w:sz w:val="28"/>
          <w:szCs w:val="28"/>
          <w:rtl w:val="0"/>
        </w:rPr>
        <w:t>Mysterium Coniunctionis</w:t>
      </w:r>
      <w:r>
        <w:rPr>
          <w:rStyle w:val="Ninguno"/>
          <w:rFonts w:ascii="EB Garamond" w:cs="EB Garamond" w:hAnsi="EB Garamond" w:eastAsia="EB Garamond"/>
          <w:sz w:val="28"/>
          <w:szCs w:val="28"/>
          <w:rtl w:val="0"/>
          <w:lang w:val="en-US"/>
        </w:rPr>
        <w:t>, Jung defines active imagination as a `psychotherapeutic method</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of making the unconscious conscious; it is like a gateway or threshold that allows that which is unknown.</w:t>
      </w:r>
      <w:r>
        <w:rPr>
          <w:rStyle w:val="Ninguno"/>
          <w:rFonts w:ascii="EB Garamond" w:cs="EB Garamond" w:hAnsi="EB Garamond" w:eastAsia="EB Garamond"/>
          <w:sz w:val="28"/>
          <w:szCs w:val="28"/>
          <w:vertAlign w:val="superscript"/>
        </w:rPr>
        <w:footnoteReference w:id="106"/>
      </w:r>
      <w:r>
        <w:rPr>
          <w:rStyle w:val="Ninguno"/>
          <w:rFonts w:ascii="EB Garamond" w:cs="EB Garamond" w:hAnsi="EB Garamond" w:eastAsia="EB Garamond"/>
          <w:sz w:val="28"/>
          <w:szCs w:val="28"/>
          <w:rtl w:val="0"/>
          <w:lang w:val="en-US"/>
        </w:rPr>
        <w:t xml:space="preserve"> He also compares active imagination with alchemical procedures saying that the individuation process of the alchemist occurs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by means of chemical substances and procedures, or what we today call active imagination`.</w:t>
      </w:r>
      <w:r>
        <w:rPr>
          <w:rStyle w:val="Ninguno"/>
          <w:rFonts w:ascii="EB Garamond" w:cs="EB Garamond" w:hAnsi="EB Garamond" w:eastAsia="EB Garamond"/>
          <w:sz w:val="28"/>
          <w:szCs w:val="28"/>
          <w:vertAlign w:val="superscript"/>
        </w:rPr>
        <w:footnoteReference w:id="107"/>
      </w:r>
      <w:r>
        <w:rPr>
          <w:rStyle w:val="Ninguno"/>
          <w:rFonts w:ascii="EB Garamond" w:cs="EB Garamond" w:hAnsi="EB Garamond" w:eastAsia="EB Garamond"/>
          <w:sz w:val="28"/>
          <w:szCs w:val="28"/>
          <w:rtl w:val="0"/>
          <w:lang w:val="en-US"/>
        </w:rPr>
        <w:t xml:space="preserve"> Jung states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alchemical operation seems to us the equivalent of the psychological process of active imagination`.</w:t>
      </w:r>
      <w:r>
        <w:rPr>
          <w:rStyle w:val="Ninguno"/>
          <w:rFonts w:ascii="EB Garamond" w:cs="EB Garamond" w:hAnsi="EB Garamond" w:eastAsia="EB Garamond"/>
          <w:sz w:val="28"/>
          <w:szCs w:val="28"/>
          <w:vertAlign w:val="superscript"/>
        </w:rPr>
        <w:footnoteReference w:id="108"/>
      </w:r>
      <w:r>
        <w:rPr>
          <w:rStyle w:val="Ninguno"/>
          <w:rFonts w:ascii="EB Garamond" w:cs="EB Garamond" w:hAnsi="EB Garamond" w:eastAsia="EB Garamond"/>
          <w:sz w:val="28"/>
          <w:szCs w:val="28"/>
          <w:rtl w:val="0"/>
          <w:lang w:val="en-US"/>
        </w:rPr>
        <w:t xml:space="preserve"> However, it is necessary to be careful in not interpreting this method just as a technique that must be learned and applied mechanically. More than just a method or something that must be learnt, active imagination is presented as a way of knowing something that is invisible, something hidden from the light of personal consciousness that requires "another kind of eyes" to be seen and known.</w:t>
      </w:r>
      <w:r>
        <w:rPr>
          <w:rStyle w:val="Ninguno"/>
          <w:rFonts w:ascii="EB Garamond" w:cs="EB Garamond" w:hAnsi="EB Garamond" w:eastAsia="EB Garamond"/>
          <w:sz w:val="28"/>
          <w:szCs w:val="28"/>
          <w:vertAlign w:val="superscript"/>
        </w:rPr>
        <w:footnoteReference w:id="109"/>
      </w:r>
      <w:r>
        <w:rPr>
          <w:rStyle w:val="Ninguno"/>
          <w:rFonts w:ascii="EB Garamond" w:cs="EB Garamond" w:hAnsi="EB Garamond" w:eastAsia="EB Garamond"/>
          <w:sz w:val="28"/>
          <w:szCs w:val="28"/>
          <w:rtl w:val="0"/>
          <w:lang w:val="en-US"/>
        </w:rPr>
        <w:t xml:space="preserve"> Similarly, Eliade describes the function of symbols as a means, a threshold through which the person accesses an ontologically different realm, and he uses the symbol of the door to represent it.</w:t>
      </w:r>
      <w:r>
        <w:rPr>
          <w:rStyle w:val="Ninguno"/>
          <w:rFonts w:ascii="EB Garamond" w:cs="EB Garamond" w:hAnsi="EB Garamond" w:eastAsia="EB Garamond"/>
          <w:sz w:val="28"/>
          <w:szCs w:val="28"/>
          <w:vertAlign w:val="superscript"/>
        </w:rPr>
        <w:footnoteReference w:id="110"/>
      </w:r>
      <w:r>
        <w:rPr>
          <w:rStyle w:val="Ninguno"/>
          <w:rFonts w:ascii="EB Garamond" w:cs="EB Garamond" w:hAnsi="EB Garamond" w:eastAsia="EB Garamond"/>
          <w:sz w:val="28"/>
          <w:szCs w:val="28"/>
          <w:rtl w:val="0"/>
          <w:lang w:val="en-US"/>
        </w:rPr>
        <w:t xml:space="preserve"> Jung uses the image of a waterfall to explain active imagination since it `visible mediates between above and below`, and then he adds, `the waterfall itself is then the incommensurable third`.</w:t>
      </w:r>
      <w:r>
        <w:rPr>
          <w:rStyle w:val="Ninguno"/>
          <w:rFonts w:ascii="EB Garamond" w:cs="EB Garamond" w:hAnsi="EB Garamond" w:eastAsia="EB Garamond"/>
          <w:sz w:val="28"/>
          <w:szCs w:val="28"/>
          <w:vertAlign w:val="superscript"/>
        </w:rPr>
        <w:footnoteReference w:id="111"/>
      </w:r>
      <w:r>
        <w:rPr>
          <w:rStyle w:val="Ninguno"/>
          <w:rFonts w:ascii="EB Garamond" w:cs="EB Garamond" w:hAnsi="EB Garamond" w:eastAsia="EB Garamond"/>
          <w:sz w:val="28"/>
          <w:szCs w:val="28"/>
          <w:rtl w:val="0"/>
          <w:lang w:val="en-US"/>
        </w:rPr>
        <w:t xml:space="preserve"> With this statement, Jung is also giving an ontological status to imagination. Like the waterfall, active imagination seems to be in itself the incommensurable third thing `in which the opposites can unite`.</w:t>
      </w:r>
      <w:r>
        <w:rPr>
          <w:rStyle w:val="Ninguno"/>
          <w:rFonts w:ascii="EB Garamond" w:cs="EB Garamond" w:hAnsi="EB Garamond" w:eastAsia="EB Garamond"/>
          <w:sz w:val="28"/>
          <w:szCs w:val="28"/>
          <w:vertAlign w:val="superscript"/>
        </w:rPr>
        <w:footnoteReference w:id="112"/>
      </w:r>
      <w:r>
        <w:rPr>
          <w:rStyle w:val="Ninguno"/>
          <w:rFonts w:ascii="EB Garamond" w:cs="EB Garamond" w:hAnsi="EB Garamond" w:eastAsia="EB Garamond"/>
          <w:sz w:val="28"/>
          <w:szCs w:val="28"/>
          <w:rtl w:val="0"/>
          <w:lang w:val="en-US"/>
        </w:rPr>
        <w:t xml:space="preserve"> In this regard, Antoine Faivre states that imagination has the `capacity to provide passages between different levels of reality</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and the main faculty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that permits penetrating the world of correspondences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13"/>
      </w:r>
      <w:r>
        <w:rPr>
          <w:rStyle w:val="Ninguno"/>
          <w:rFonts w:ascii="EB Garamond" w:cs="EB Garamond" w:hAnsi="EB Garamond" w:eastAsia="EB Garamond"/>
          <w:sz w:val="28"/>
          <w:szCs w:val="28"/>
          <w:rtl w:val="0"/>
          <w:lang w:val="en-US"/>
        </w:rPr>
        <w:t xml:space="preserve"> Imagination and mediation, he argues, are one of the four primary characteristics of the study of esotericism and says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these two notions are mutually complementary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14"/>
      </w:r>
      <w:r>
        <w:rPr>
          <w:rStyle w:val="Ninguno"/>
          <w:rFonts w:ascii="EB Garamond" w:cs="EB Garamond" w:hAnsi="EB Garamond" w:eastAsia="EB Garamond"/>
          <w:sz w:val="28"/>
          <w:szCs w:val="28"/>
          <w:rtl w:val="0"/>
          <w:lang w:val="en-US"/>
        </w:rPr>
        <w:t xml:space="preserve"> Taking into account these similarities, if the faculty of imagination allows access to the realm that keeps everything connected to everything, and the faculty of imagination is the organ of the soul, that is to say, that the soul and love, like imagination, seems to be the great glue of the cosmos.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Also, Jung calls </w:t>
      </w:r>
      <w:r>
        <w:rPr>
          <w:rStyle w:val="Ninguno"/>
          <w:rFonts w:ascii="EB Garamond" w:cs="EB Garamond" w:hAnsi="EB Garamond" w:eastAsia="EB Garamond"/>
          <w:i w:val="1"/>
          <w:iCs w:val="1"/>
          <w:sz w:val="28"/>
          <w:szCs w:val="28"/>
          <w:rtl w:val="0"/>
          <w:lang w:val="en-US"/>
        </w:rPr>
        <w:t>transcendent function</w:t>
      </w:r>
      <w:r>
        <w:rPr>
          <w:rStyle w:val="Ninguno"/>
          <w:rFonts w:ascii="EB Garamond" w:cs="EB Garamond" w:hAnsi="EB Garamond" w:eastAsia="EB Garamond"/>
          <w:sz w:val="28"/>
          <w:szCs w:val="28"/>
          <w:rtl w:val="0"/>
          <w:lang w:val="en-US"/>
        </w:rPr>
        <w:t xml:space="preserve"> to `the continual process of getting to know the counterposition in the unconscious`.</w:t>
      </w:r>
      <w:r>
        <w:rPr>
          <w:rStyle w:val="Ninguno"/>
          <w:rFonts w:ascii="EB Garamond" w:cs="EB Garamond" w:hAnsi="EB Garamond" w:eastAsia="EB Garamond"/>
          <w:sz w:val="28"/>
          <w:szCs w:val="28"/>
          <w:vertAlign w:val="superscript"/>
        </w:rPr>
        <w:footnoteReference w:id="115"/>
      </w:r>
      <w:r>
        <w:rPr>
          <w:rStyle w:val="Ninguno"/>
          <w:rFonts w:ascii="EB Garamond" w:cs="EB Garamond" w:hAnsi="EB Garamond" w:eastAsia="EB Garamond"/>
          <w:sz w:val="28"/>
          <w:szCs w:val="28"/>
          <w:rtl w:val="0"/>
          <w:lang w:val="en-US"/>
        </w:rPr>
        <w:t xml:space="preserve"> So, there seems to be some overlap between the so-called transcendent function and active imagination, since both seem to point to the capacity of seeing the unseen. In her edition of </w:t>
      </w:r>
      <w:r>
        <w:rPr>
          <w:rStyle w:val="Ninguno"/>
          <w:rFonts w:ascii="EB Garamond" w:cs="EB Garamond" w:hAnsi="EB Garamond" w:eastAsia="EB Garamond"/>
          <w:i w:val="1"/>
          <w:iCs w:val="1"/>
          <w:sz w:val="28"/>
          <w:szCs w:val="28"/>
          <w:rtl w:val="0"/>
          <w:lang w:val="en-US"/>
        </w:rPr>
        <w:t>Jung on Active Imagination</w:t>
      </w:r>
      <w:r>
        <w:rPr>
          <w:rStyle w:val="Ninguno"/>
          <w:rFonts w:ascii="EB Garamond" w:cs="EB Garamond" w:hAnsi="EB Garamond" w:eastAsia="EB Garamond"/>
          <w:sz w:val="28"/>
          <w:szCs w:val="28"/>
          <w:rtl w:val="0"/>
          <w:lang w:val="en-US"/>
        </w:rPr>
        <w:t xml:space="preserve">, Joan Chodorow argues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the term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transcendent function</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encompasses both a method and an inborn function of the psyche. In contrast, the term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active imagination</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refers to the method alone. But, obviously, the method (active imagination) is based on the image-producing function of the psyche, that is, the imagination</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16"/>
      </w:r>
      <w:r>
        <w:rPr>
          <w:rStyle w:val="Ninguno"/>
          <w:rFonts w:ascii="EB Garamond" w:cs="EB Garamond" w:hAnsi="EB Garamond" w:eastAsia="EB Garamond"/>
          <w:sz w:val="28"/>
          <w:szCs w:val="28"/>
          <w:rtl w:val="0"/>
          <w:lang w:val="en-US"/>
        </w:rPr>
        <w:t xml:space="preserve"> Moreover, Chodorow also argues that the transcendent function was an early step to what later became active imagination.</w:t>
      </w:r>
      <w:r>
        <w:rPr>
          <w:rStyle w:val="Ninguno"/>
          <w:rFonts w:ascii="EB Garamond" w:cs="EB Garamond" w:hAnsi="EB Garamond" w:eastAsia="EB Garamond"/>
          <w:sz w:val="28"/>
          <w:szCs w:val="28"/>
          <w:vertAlign w:val="superscript"/>
        </w:rPr>
        <w:footnoteReference w:id="117"/>
      </w:r>
      <w:r>
        <w:rPr>
          <w:rStyle w:val="Ninguno"/>
          <w:rFonts w:ascii="EB Garamond" w:cs="EB Garamond" w:hAnsi="EB Garamond" w:eastAsia="EB Garamond"/>
          <w:sz w:val="28"/>
          <w:szCs w:val="28"/>
          <w:rtl w:val="0"/>
          <w:lang w:val="en-US"/>
        </w:rPr>
        <w:t xml:space="preserve"> In addition, he argues that Jung had used other names to refer to it like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picture method</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 xml:space="preserv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active fantasy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 xml:space="preserv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active phantasying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 xml:space="preserv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trancing,</w:t>
      </w:r>
      <w:r>
        <w:rPr>
          <w:rStyle w:val="Ninguno"/>
          <w:rFonts w:ascii="EB Garamond" w:cs="EB Garamond" w:hAnsi="EB Garamond" w:eastAsia="EB Garamond"/>
          <w:sz w:val="28"/>
          <w:szCs w:val="28"/>
          <w:rtl w:val="0"/>
          <w:lang w:val="en-US"/>
        </w:rPr>
        <w:t>’ ‘</w:t>
      </w:r>
      <w:r>
        <w:rPr>
          <w:rStyle w:val="Ninguno"/>
          <w:rFonts w:ascii="EB Garamond" w:cs="EB Garamond" w:hAnsi="EB Garamond" w:eastAsia="EB Garamond"/>
          <w:sz w:val="28"/>
          <w:szCs w:val="28"/>
          <w:rtl w:val="0"/>
          <w:lang w:val="en-US"/>
        </w:rPr>
        <w:t>visioning,</w:t>
      </w:r>
      <w:r>
        <w:rPr>
          <w:rStyle w:val="Ninguno"/>
          <w:rFonts w:ascii="EB Garamond" w:cs="EB Garamond" w:hAnsi="EB Garamond" w:eastAsia="EB Garamond"/>
          <w:sz w:val="28"/>
          <w:szCs w:val="28"/>
          <w:rtl w:val="0"/>
          <w:lang w:val="en-US"/>
        </w:rPr>
        <w:t>’ ‘</w:t>
      </w:r>
      <w:r>
        <w:rPr>
          <w:rStyle w:val="Ninguno"/>
          <w:rFonts w:ascii="EB Garamond" w:cs="EB Garamond" w:hAnsi="EB Garamond" w:eastAsia="EB Garamond"/>
          <w:sz w:val="28"/>
          <w:szCs w:val="28"/>
          <w:rtl w:val="0"/>
          <w:lang w:val="en-US"/>
        </w:rPr>
        <w:t>exercises,</w:t>
      </w:r>
      <w:r>
        <w:rPr>
          <w:rStyle w:val="Ninguno"/>
          <w:rFonts w:ascii="EB Garamond" w:cs="EB Garamond" w:hAnsi="EB Garamond" w:eastAsia="EB Garamond"/>
          <w:sz w:val="28"/>
          <w:szCs w:val="28"/>
          <w:rtl w:val="0"/>
          <w:lang w:val="en-US"/>
        </w:rPr>
        <w:t>’ ‘</w:t>
      </w:r>
      <w:r>
        <w:rPr>
          <w:rStyle w:val="Ninguno"/>
          <w:rFonts w:ascii="EB Garamond" w:cs="EB Garamond" w:hAnsi="EB Garamond" w:eastAsia="EB Garamond"/>
          <w:sz w:val="28"/>
          <w:szCs w:val="28"/>
          <w:rtl w:val="0"/>
          <w:lang w:val="en-US"/>
        </w:rPr>
        <w:t>dialectical method,</w:t>
      </w:r>
      <w:r>
        <w:rPr>
          <w:rStyle w:val="Ninguno"/>
          <w:rFonts w:ascii="EB Garamond" w:cs="EB Garamond" w:hAnsi="EB Garamond" w:eastAsia="EB Garamond"/>
          <w:sz w:val="28"/>
          <w:szCs w:val="28"/>
          <w:rtl w:val="0"/>
          <w:lang w:val="en-US"/>
        </w:rPr>
        <w:t>’ ‘</w:t>
      </w:r>
      <w:r>
        <w:rPr>
          <w:rStyle w:val="Ninguno"/>
          <w:rFonts w:ascii="EB Garamond" w:cs="EB Garamond" w:hAnsi="EB Garamond" w:eastAsia="EB Garamond"/>
          <w:sz w:val="28"/>
          <w:szCs w:val="28"/>
          <w:rtl w:val="0"/>
          <w:lang w:val="en-US"/>
        </w:rPr>
        <w:t>technique of differentiation,</w:t>
      </w:r>
      <w:r>
        <w:rPr>
          <w:rStyle w:val="Ninguno"/>
          <w:rFonts w:ascii="EB Garamond" w:cs="EB Garamond" w:hAnsi="EB Garamond" w:eastAsia="EB Garamond"/>
          <w:sz w:val="28"/>
          <w:szCs w:val="28"/>
          <w:rtl w:val="0"/>
          <w:lang w:val="en-US"/>
        </w:rPr>
        <w:t>’ ‘</w:t>
      </w:r>
      <w:r>
        <w:rPr>
          <w:rStyle w:val="Ninguno"/>
          <w:rFonts w:ascii="EB Garamond" w:cs="EB Garamond" w:hAnsi="EB Garamond" w:eastAsia="EB Garamond"/>
          <w:sz w:val="28"/>
          <w:szCs w:val="28"/>
          <w:rtl w:val="0"/>
          <w:lang w:val="en-US"/>
        </w:rPr>
        <w:t>technique of introversion,</w:t>
      </w:r>
      <w:r>
        <w:rPr>
          <w:rStyle w:val="Ninguno"/>
          <w:rFonts w:ascii="EB Garamond" w:cs="EB Garamond" w:hAnsi="EB Garamond" w:eastAsia="EB Garamond"/>
          <w:sz w:val="28"/>
          <w:szCs w:val="28"/>
          <w:rtl w:val="0"/>
          <w:lang w:val="en-US"/>
        </w:rPr>
        <w:t>’ ‘</w:t>
      </w:r>
      <w:r>
        <w:rPr>
          <w:rStyle w:val="Ninguno"/>
          <w:rFonts w:ascii="EB Garamond" w:cs="EB Garamond" w:hAnsi="EB Garamond" w:eastAsia="EB Garamond"/>
          <w:sz w:val="28"/>
          <w:szCs w:val="28"/>
          <w:rtl w:val="0"/>
          <w:lang w:val="fr-FR"/>
        </w:rPr>
        <w:t>introspection,</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and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technique of the descent.</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vertAlign w:val="superscript"/>
        </w:rPr>
        <w:footnoteReference w:id="118"/>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Based on the descriptions above, active imagination and the transcendent function seems to correspond to the allegorical level of symbol described under the hermeneutical model already introduced. However, Jung describes that the starting point to enter imagination is an emotional state; that is to say, that active imagination requires the participation of the person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must make himself as conscious as possible of the mood [the person] is in</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19"/>
      </w:r>
      <w:r>
        <w:rPr>
          <w:rStyle w:val="Ninguno"/>
          <w:rFonts w:ascii="EB Garamond" w:cs="EB Garamond" w:hAnsi="EB Garamond" w:eastAsia="EB Garamond"/>
          <w:sz w:val="28"/>
          <w:szCs w:val="28"/>
          <w:rtl w:val="0"/>
          <w:lang w:val="en-US"/>
        </w:rPr>
        <w:t xml:space="preserve"> That is why active imagination plays a crucial role in the Jungian therapeutic process he called </w:t>
      </w:r>
      <w:r>
        <w:rPr>
          <w:rStyle w:val="Ninguno"/>
          <w:rFonts w:ascii="EB Garamond" w:cs="EB Garamond" w:hAnsi="EB Garamond" w:eastAsia="EB Garamond"/>
          <w:i w:val="1"/>
          <w:iCs w:val="1"/>
          <w:sz w:val="28"/>
          <w:szCs w:val="28"/>
          <w:rtl w:val="0"/>
          <w:lang w:val="en-US"/>
        </w:rPr>
        <w:t>individuation</w:t>
      </w:r>
      <w:r>
        <w:rPr>
          <w:rStyle w:val="Ninguno"/>
          <w:rFonts w:ascii="EB Garamond" w:cs="EB Garamond" w:hAnsi="EB Garamond" w:eastAsia="EB Garamond"/>
          <w:sz w:val="28"/>
          <w:szCs w:val="28"/>
          <w:rtl w:val="0"/>
          <w:lang w:val="en-US"/>
        </w:rPr>
        <w:t>, in which, by means of the images that arise from the unconscious in dreams and visions, the person can be aware and have a direct experience of the unknown archetypal motifs that underlies its conscious life.</w:t>
      </w:r>
      <w:r>
        <w:rPr>
          <w:rStyle w:val="Ninguno"/>
          <w:rFonts w:ascii="EB Garamond" w:cs="EB Garamond" w:hAnsi="EB Garamond" w:eastAsia="EB Garamond"/>
          <w:sz w:val="28"/>
          <w:szCs w:val="28"/>
          <w:vertAlign w:val="superscript"/>
        </w:rPr>
        <w:footnoteReference w:id="120"/>
      </w:r>
      <w:r>
        <w:rPr>
          <w:rStyle w:val="Ninguno"/>
          <w:rFonts w:ascii="EB Garamond" w:cs="EB Garamond" w:hAnsi="EB Garamond" w:eastAsia="EB Garamond"/>
          <w:sz w:val="28"/>
          <w:szCs w:val="28"/>
          <w:rtl w:val="0"/>
          <w:lang w:val="en-US"/>
        </w:rPr>
        <w:t xml:space="preserve"> It is commonly associated that the notion of Jungian archetypes is also inspired by platonic thought. However, according to Eugene Williamson, Plato has never employed the Greek word archetypos, but it is a term that appears later in the platonic tradition.</w:t>
      </w:r>
      <w:r>
        <w:rPr>
          <w:rStyle w:val="Ninguno"/>
          <w:rFonts w:ascii="EB Garamond" w:cs="EB Garamond" w:hAnsi="EB Garamond" w:eastAsia="EB Garamond"/>
          <w:sz w:val="28"/>
          <w:szCs w:val="28"/>
          <w:vertAlign w:val="superscript"/>
        </w:rPr>
        <w:footnoteReference w:id="121"/>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Because Jung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s ideas evolved towards his life work, it seems that there is an overlap between synchronicity, active imagination and transcendent function. On the one hand, active imagination and transcendent function seem to be presented as a way of knowing with a mediating function that unites opposite positions within the psyche that need to be integrated in order to form a whole. On the other hand, synchronicity, inspired by the Neoplatonic cosmology, seems to be the a priori world of correspondences that emerge to human consciousness through active imagination. Imagination, therefore, is the way of knowledge capable of being aware of synchronicities, but synchronicity seems that is not a human faculty like active imagination but a whole vision of the world like the classical idea of Sympathy.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ACTIVE IMAGINATION, PARTICIPATION AND THEURGY</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In addition to the comparison between imagination, synchronicity and symbol, Liz Greene argues that Jung was inspired by the Neoplatonic theurgic practises to develop his concept of active imagination. In particular, Greene describes that Jung was influenced by the Neoplatonism of Proclo and Plotinus, whose approach to theurgy rested on the practice of contemplation.</w:t>
      </w:r>
      <w:r>
        <w:rPr>
          <w:rStyle w:val="Ninguno"/>
          <w:rFonts w:ascii="EB Garamond" w:cs="EB Garamond" w:hAnsi="EB Garamond" w:eastAsia="EB Garamond"/>
          <w:sz w:val="28"/>
          <w:szCs w:val="28"/>
          <w:vertAlign w:val="superscript"/>
        </w:rPr>
        <w:footnoteReference w:id="122"/>
      </w:r>
      <w:r>
        <w:rPr>
          <w:rStyle w:val="Ninguno"/>
          <w:rFonts w:ascii="EB Garamond" w:cs="EB Garamond" w:hAnsi="EB Garamond" w:eastAsia="EB Garamond"/>
          <w:sz w:val="28"/>
          <w:szCs w:val="28"/>
          <w:rtl w:val="0"/>
          <w:lang w:val="en-US"/>
        </w:rPr>
        <w:t xml:space="preserve"> Crystal Addley says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theurgic ritual uses symbols as tools for contemplation and realisation, as well as to remind the theurgist that all things are reflections of, and illuminated by, the divine as they manifest in each successive level of reality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23"/>
      </w:r>
      <w:r>
        <w:rPr>
          <w:rStyle w:val="Ninguno"/>
          <w:rFonts w:ascii="EB Garamond" w:cs="EB Garamond" w:hAnsi="EB Garamond" w:eastAsia="EB Garamond"/>
          <w:sz w:val="28"/>
          <w:szCs w:val="28"/>
          <w:rtl w:val="0"/>
          <w:lang w:val="en-US"/>
        </w:rPr>
        <w:t xml:space="preserve"> The goal of theurgy was to go beyond the limited capacities of the cognitive powers of human reason to conjoin the gods toward the One. However, the Neoplatonist Iamblichus took another position compared to his predecessors, giving more importance to ritual and experience because he did not believe that contemplation was enough to know the divine; but, indeed, divine knowledge was apprehended by receiving the power of the gods itself.</w:t>
      </w:r>
      <w:r>
        <w:rPr>
          <w:rStyle w:val="Ninguno"/>
          <w:rFonts w:ascii="EB Garamond" w:cs="EB Garamond" w:hAnsi="EB Garamond" w:eastAsia="EB Garamond"/>
          <w:sz w:val="28"/>
          <w:szCs w:val="28"/>
          <w:vertAlign w:val="superscript"/>
        </w:rPr>
        <w:footnoteReference w:id="124"/>
      </w:r>
      <w:r>
        <w:rPr>
          <w:rStyle w:val="Ninguno"/>
          <w:rFonts w:ascii="EB Garamond" w:cs="EB Garamond" w:hAnsi="EB Garamond" w:eastAsia="EB Garamond"/>
          <w:sz w:val="28"/>
          <w:szCs w:val="28"/>
          <w:rtl w:val="0"/>
          <w:lang w:val="en-US"/>
        </w:rPr>
        <w:t xml:space="preserve"> For Iamblichus, the Gods do not receive prayers or invocations themself, but rather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but rather contain in themselves the energies of pious invocations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25"/>
      </w:r>
      <w:r>
        <w:rPr>
          <w:rStyle w:val="Ninguno"/>
          <w:rFonts w:ascii="EB Garamond" w:cs="EB Garamond" w:hAnsi="EB Garamond" w:eastAsia="EB Garamond"/>
          <w:sz w:val="28"/>
          <w:szCs w:val="28"/>
          <w:rtl w:val="0"/>
          <w:lang w:val="en-US"/>
        </w:rPr>
        <w:t xml:space="preserve"> This leads him to a more embodied position of divinity, as Struck says, `whereas Plotinus thought contemplation could bring us right up to the very doorstep of the One, Iamblichus insists that the One has to reach down to us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26"/>
      </w:r>
      <w:r>
        <w:rPr>
          <w:rStyle w:val="Ninguno"/>
          <w:rFonts w:ascii="EB Garamond" w:cs="EB Garamond" w:hAnsi="EB Garamond" w:eastAsia="EB Garamond"/>
          <w:sz w:val="28"/>
          <w:szCs w:val="28"/>
          <w:rtl w:val="0"/>
          <w:lang w:val="en-US"/>
        </w:rPr>
        <w:t xml:space="preserve"> So, Iamblichus seems to be more focused on immanence than transcendence. For him, there is something more than human that the person allows to enter, receive and participate in that knowledge.</w:t>
      </w:r>
      <w:r>
        <w:rPr>
          <w:rStyle w:val="Ninguno"/>
          <w:rFonts w:ascii="EB Garamond" w:cs="EB Garamond" w:hAnsi="EB Garamond" w:eastAsia="EB Garamond"/>
          <w:sz w:val="28"/>
          <w:szCs w:val="28"/>
          <w:vertAlign w:val="superscript"/>
        </w:rPr>
        <w:footnoteReference w:id="127"/>
      </w:r>
      <w:r>
        <w:rPr>
          <w:rStyle w:val="Ninguno"/>
          <w:rFonts w:ascii="EB Garamond" w:cs="EB Garamond" w:hAnsi="EB Garamond" w:eastAsia="EB Garamond"/>
          <w:sz w:val="28"/>
          <w:szCs w:val="28"/>
          <w:rtl w:val="0"/>
          <w:lang w:val="en-US"/>
        </w:rPr>
        <w:t xml:space="preserve"> The method for Iamblichus to access the imaginal realm of the soul and symbol was theurgy, in which symbols are perceived as mediating receptacles. Also, Gregory Shaw argues that he emphasizes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intellectual understanding does not connect theurgists with divine beings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since he argues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symbols, by themselves, perform their own work, without our thinking; and the ineffable power of the gods to whom these symbols elevate us, recognizes by itself its own images. It is not awakened to this by our thinking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28"/>
      </w:r>
      <w:r>
        <w:rPr>
          <w:rStyle w:val="Ninguno"/>
          <w:rFonts w:ascii="EB Garamond" w:cs="EB Garamond" w:hAnsi="EB Garamond" w:eastAsia="EB Garamond"/>
          <w:sz w:val="28"/>
          <w:szCs w:val="28"/>
          <w:rtl w:val="0"/>
          <w:lang w:val="en-US"/>
        </w:rPr>
        <w:t xml:space="preserve"> Crystal Addley also expresses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divine symbol were also thought to be contained within the soul and related to the chains of being which permeate every grade of reality within the cosmos.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vertAlign w:val="superscript"/>
        </w:rPr>
        <w:footnoteReference w:id="129"/>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Following Plato, Iamblichus defined the soul as a mediating activity between the immortality of the gods and the mortality of generated beings.</w:t>
      </w:r>
      <w:r>
        <w:rPr>
          <w:rStyle w:val="Ninguno"/>
          <w:rFonts w:ascii="EB Garamond" w:cs="EB Garamond" w:hAnsi="EB Garamond" w:eastAsia="EB Garamond"/>
          <w:sz w:val="28"/>
          <w:szCs w:val="28"/>
          <w:vertAlign w:val="superscript"/>
        </w:rPr>
        <w:footnoteReference w:id="130"/>
      </w:r>
      <w:r>
        <w:rPr>
          <w:rStyle w:val="Ninguno"/>
          <w:rFonts w:ascii="EB Garamond" w:cs="EB Garamond" w:hAnsi="EB Garamond" w:eastAsia="EB Garamond"/>
          <w:sz w:val="28"/>
          <w:szCs w:val="28"/>
          <w:rtl w:val="0"/>
          <w:lang w:val="en-US"/>
        </w:rPr>
        <w:t xml:space="preserve"> Iamblichus wrote: </w:t>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Pr>
        <w:tab/>
        <w:tab/>
        <w:tab/>
        <w:tab/>
        <w:tab/>
        <w:tab/>
      </w:r>
    </w:p>
    <w:p>
      <w:pPr>
        <w:pStyle w:val="Cuerpo A"/>
        <w:spacing w:line="360" w:lineRule="auto"/>
        <w:ind w:left="720" w:firstLine="0"/>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The soul is a mean, not only between the divided and the undivided, the remaining and the proceeding, but also between the ungenerated and the generated. Wherefore, that which is immortal in the soul is filled completely with mortality and no longer remains only immortal.</w:t>
      </w:r>
      <w:r>
        <w:rPr>
          <w:rStyle w:val="Ninguno"/>
          <w:rFonts w:ascii="EB Garamond" w:cs="EB Garamond" w:hAnsi="EB Garamond" w:eastAsia="EB Garamond"/>
          <w:sz w:val="28"/>
          <w:szCs w:val="28"/>
          <w:vertAlign w:val="superscript"/>
        </w:rPr>
        <w:footnoteReference w:id="131"/>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Therefore, if the symbol is a means that belongs to the intermediate realm of the soul, it could be considered as well as a metaxy. Moreover, this subtle intermediate realm is where the soul</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transformation occurs.</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It has been argued that Plato's dualistic ontology between the world of transcendental ideas and the world of sense underlies western thought: materialism and idealism, soul and body, transcendent and immanent, sacred and profane, psyche and cosmos, knower and known, subject and object, to give some examples. </w:t>
      </w:r>
      <w:r>
        <w:rPr>
          <w:rStyle w:val="Ninguno"/>
          <w:rFonts w:ascii="EB Garamond" w:cs="EB Garamond" w:hAnsi="EB Garamond" w:eastAsia="EB Garamond"/>
          <w:sz w:val="28"/>
          <w:szCs w:val="28"/>
          <w:rtl w:val="0"/>
          <w:lang w:val="es-ES_tradnl"/>
        </w:rPr>
        <w:t>I</w:t>
      </w:r>
      <w:r>
        <w:rPr>
          <w:rStyle w:val="Ninguno"/>
          <w:rFonts w:ascii="EB Garamond" w:cs="EB Garamond" w:hAnsi="EB Garamond" w:eastAsia="EB Garamond"/>
          <w:sz w:val="28"/>
          <w:szCs w:val="28"/>
          <w:rtl w:val="0"/>
          <w:lang w:val="en-US"/>
        </w:rPr>
        <w:t>n contrast to his Platonic and Neoplatonic predecessors, Iamblichus believed that the soul fully descends into the body. So, while for the former, the unification between soul and body amounted to a retreat from a fallen world, the latter considers the fully embodied experience as a way of divinization. In this regard, Abbey points out that Iamblichus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theurgy works both horizontally and vertically by invoking the Gods through their symbols.</w:t>
      </w:r>
      <w:r>
        <w:rPr>
          <w:rStyle w:val="Ninguno"/>
          <w:rFonts w:ascii="EB Garamond" w:cs="EB Garamond" w:hAnsi="EB Garamond" w:eastAsia="EB Garamond"/>
          <w:sz w:val="28"/>
          <w:szCs w:val="28"/>
          <w:vertAlign w:val="superscript"/>
        </w:rPr>
        <w:footnoteReference w:id="132"/>
      </w:r>
      <w:r>
        <w:rPr>
          <w:rStyle w:val="Ninguno"/>
          <w:rFonts w:ascii="EB Garamond" w:cs="EB Garamond" w:hAnsi="EB Garamond" w:eastAsia="EB Garamond"/>
          <w:sz w:val="28"/>
          <w:szCs w:val="28"/>
          <w:rtl w:val="0"/>
          <w:lang w:val="en-US"/>
        </w:rPr>
        <w:t xml:space="preserve"> This activity seems to suggest a direction: in invoking are the gods who move toward human beings like an inverted direction compared to that from humans towards transcendence, as an extrovert movement toward the divine. On the other hand, invocation seems to be a receptive way of joining and participating in the divine, a descent of the divine into the matter.</w:t>
      </w:r>
      <w:r>
        <w:rPr>
          <w:rStyle w:val="Ninguno"/>
          <w:rFonts w:ascii="EB Garamond" w:cs="EB Garamond" w:hAnsi="EB Garamond" w:eastAsia="EB Garamond"/>
          <w:sz w:val="28"/>
          <w:szCs w:val="28"/>
          <w:vertAlign w:val="superscript"/>
        </w:rPr>
        <w:footnoteReference w:id="133"/>
      </w:r>
      <w:r>
        <w:rPr>
          <w:rStyle w:val="Ninguno"/>
          <w:rFonts w:ascii="EB Garamond" w:cs="EB Garamond" w:hAnsi="EB Garamond" w:eastAsia="EB Garamond"/>
          <w:sz w:val="28"/>
          <w:szCs w:val="28"/>
          <w:rtl w:val="0"/>
        </w:rPr>
        <w:t xml:space="preserve"> </w:t>
        <w:tab/>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Therefore, the soul's ascension consists of joining these two separate parts by surrendering and becoming able to receive the symbol since it imitates the divine form. It seems that the ascension of the soul is also a descending, an embodiment of the divine. That is to say that the gods appear to the soul as symbols. So, the union of the soul and the gods is possible by receiving the chain of symbols that emanates from divine forms. Thus, symbols have the potential to awaken or trigger the inherent connection of the soul with the divine forms and, therefore, by means of cosmic sympathy, divinisation takes place.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However, even if there are similarities and affinities, it is not entirely accurate to compare Jungian active imagination with theurgy, particularly Iamblichus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praxis of theurgy. Firstly, Jung's approach to psyche was mainly psychological, and he used to be neutral and cautious in giving an ontological independence to it from humans. He says in terms of the psychoid aura of the person that `it presents a world of relatively autonomous images` what confers, on the one hand, automacy to the world of images; but, on the other hand, he does not seem to refer to a dimension beyond the images to which they connect and act as a mediator between human and the divine. </w:t>
      </w:r>
      <w:r>
        <w:rPr>
          <w:rStyle w:val="Ninguno"/>
          <w:rFonts w:ascii="EB Garamond" w:cs="EB Garamond" w:hAnsi="EB Garamond" w:eastAsia="EB Garamond"/>
          <w:sz w:val="28"/>
          <w:szCs w:val="28"/>
          <w:vertAlign w:val="superscript"/>
        </w:rPr>
        <w:footnoteReference w:id="134"/>
      </w:r>
      <w:r>
        <w:rPr>
          <w:rStyle w:val="Ninguno"/>
          <w:rFonts w:ascii="EB Garamond" w:cs="EB Garamond" w:hAnsi="EB Garamond" w:eastAsia="EB Garamond"/>
          <w:sz w:val="28"/>
          <w:szCs w:val="28"/>
          <w:rtl w:val="0"/>
          <w:lang w:val="en-US"/>
        </w:rPr>
        <w:t xml:space="preserve"> Jung explicitly expresses: `Naturally enough he [the psychoid] feels this overwhelming power as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divine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I have nothing against this word, but with the best will in the world I cannot see that it proves the existence of a transcendent God`.</w:t>
      </w:r>
      <w:r>
        <w:rPr>
          <w:rStyle w:val="Ninguno"/>
          <w:rFonts w:ascii="EB Garamond" w:cs="EB Garamond" w:hAnsi="EB Garamond" w:eastAsia="EB Garamond"/>
          <w:sz w:val="28"/>
          <w:szCs w:val="28"/>
          <w:vertAlign w:val="superscript"/>
        </w:rPr>
        <w:footnoteReference w:id="135"/>
      </w:r>
      <w:r>
        <w:rPr>
          <w:rStyle w:val="Ninguno"/>
          <w:rFonts w:ascii="EB Garamond" w:cs="EB Garamond" w:hAnsi="EB Garamond" w:eastAsia="EB Garamond"/>
          <w:sz w:val="28"/>
          <w:szCs w:val="28"/>
          <w:rtl w:val="0"/>
          <w:lang w:val="en-US"/>
        </w:rPr>
        <w:t xml:space="preserve"> Moreover, Jung realised that unconscious images were collective rather than just personal and that they contained what he called archetypes which `is the introspectively recognizable form of a priori psychic orderedness`.</w:t>
      </w:r>
      <w:r>
        <w:rPr>
          <w:rStyle w:val="Ninguno"/>
          <w:rFonts w:ascii="EB Garamond" w:cs="EB Garamond" w:hAnsi="EB Garamond" w:eastAsia="EB Garamond"/>
          <w:sz w:val="28"/>
          <w:szCs w:val="28"/>
          <w:vertAlign w:val="superscript"/>
        </w:rPr>
        <w:footnoteReference w:id="136"/>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In his </w:t>
      </w:r>
      <w:r>
        <w:rPr>
          <w:rStyle w:val="Ninguno"/>
          <w:rFonts w:ascii="EB Garamond" w:cs="EB Garamond" w:hAnsi="EB Garamond" w:eastAsia="EB Garamond"/>
          <w:i w:val="1"/>
          <w:iCs w:val="1"/>
          <w:sz w:val="28"/>
          <w:szCs w:val="28"/>
          <w:rtl w:val="0"/>
        </w:rPr>
        <w:t>Republic</w:t>
      </w:r>
      <w:r>
        <w:rPr>
          <w:rStyle w:val="Ninguno"/>
          <w:rFonts w:ascii="EB Garamond" w:cs="EB Garamond" w:hAnsi="EB Garamond" w:eastAsia="EB Garamond"/>
          <w:sz w:val="28"/>
          <w:szCs w:val="28"/>
          <w:rtl w:val="0"/>
          <w:lang w:val="en-US"/>
        </w:rPr>
        <w:t>, Plato divides the soul into three parts: reason, spirit and appetite.</w:t>
      </w:r>
      <w:r>
        <w:rPr>
          <w:rStyle w:val="Ninguno"/>
          <w:rFonts w:ascii="EB Garamond" w:cs="EB Garamond" w:hAnsi="EB Garamond" w:eastAsia="EB Garamond"/>
          <w:sz w:val="28"/>
          <w:szCs w:val="28"/>
          <w:vertAlign w:val="superscript"/>
        </w:rPr>
        <w:footnoteReference w:id="137"/>
      </w:r>
      <w:r>
        <w:rPr>
          <w:rStyle w:val="Ninguno"/>
          <w:rFonts w:ascii="EB Garamond" w:cs="EB Garamond" w:hAnsi="EB Garamond" w:eastAsia="EB Garamond"/>
          <w:sz w:val="28"/>
          <w:szCs w:val="28"/>
          <w:rtl w:val="0"/>
          <w:lang w:val="en-US"/>
        </w:rPr>
        <w:t xml:space="preserve"> The higher part of the soul, the rational, mind or intellect discerns what is true and distinguishes between good and evil. The spirited soul was the active part and the will. The last and lower was the appetitive soul, the seat of emotion and desire, which is driven by physical desires, including sex, hunger and thirst. These three parts of the individual soul structure find their correlation in the threefold structure of the cosmos: nous, soul and body. For Plato, the soul was at the centre of creation and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diffused throughout the body, making it also to be the exterior environment of it`.</w:t>
      </w:r>
      <w:r>
        <w:rPr>
          <w:rStyle w:val="Ninguno"/>
          <w:rFonts w:ascii="EB Garamond" w:cs="EB Garamond" w:hAnsi="EB Garamond" w:eastAsia="EB Garamond"/>
          <w:sz w:val="28"/>
          <w:szCs w:val="28"/>
          <w:vertAlign w:val="superscript"/>
        </w:rPr>
        <w:footnoteReference w:id="138"/>
      </w:r>
      <w:r>
        <w:rPr>
          <w:rStyle w:val="Ninguno"/>
          <w:rFonts w:ascii="EB Garamond" w:cs="EB Garamond" w:hAnsi="EB Garamond" w:eastAsia="EB Garamond"/>
          <w:sz w:val="28"/>
          <w:szCs w:val="28"/>
          <w:rtl w:val="0"/>
          <w:lang w:val="en-US"/>
        </w:rPr>
        <w:t xml:space="preserve"> In addition, Plato explains a twofold structure of the soul, one that remains connected to the body (a visible reality) and the other that is independent to the body (an invisible reality), Jung's notion of the psyche is also divided into two aspects: consciousness and the unconscious. Furthermore, the modern psychological model of psyche seems to be similar to the twofold approach to the soul because one part of the soul/psyche is fully embodied and conscious, and another part that is not and is unconscious, full of images and invisible archetypes motifs that underlies consciousness. However, as Nicholas Campion points out, even if the word psyche is translated as soul, there is a confusion in modern terms because `psyche` is the root of the word psychology, which, in its origins, became the study of the mind; and the mind in the modern secular world, says Campion, is viewed as a set of complexes or as a mere by-product of chemical reactions and electrical impulses of the brain.</w:t>
      </w:r>
      <w:r>
        <w:rPr>
          <w:rStyle w:val="Ninguno"/>
          <w:rFonts w:ascii="EB Garamond" w:cs="EB Garamond" w:hAnsi="EB Garamond" w:eastAsia="EB Garamond"/>
          <w:sz w:val="28"/>
          <w:szCs w:val="28"/>
          <w:vertAlign w:val="superscript"/>
        </w:rPr>
        <w:footnoteReference w:id="139"/>
      </w:r>
      <w:r>
        <w:rPr>
          <w:rStyle w:val="Ninguno"/>
          <w:rFonts w:ascii="EB Garamond" w:cs="EB Garamond" w:hAnsi="EB Garamond" w:eastAsia="EB Garamond"/>
          <w:sz w:val="28"/>
          <w:szCs w:val="28"/>
          <w:rtl w:val="0"/>
          <w:lang w:val="en-US"/>
        </w:rPr>
        <w:t xml:space="preserve"> By contrast, in the classical world,  Mind (with capital M) was divine </w:t>
      </w:r>
      <w:r>
        <w:rPr>
          <w:rStyle w:val="Ninguno"/>
          <w:rFonts w:ascii="EB Garamond" w:cs="EB Garamond" w:hAnsi="EB Garamond" w:eastAsia="EB Garamond"/>
          <w:i w:val="1"/>
          <w:iCs w:val="1"/>
          <w:sz w:val="28"/>
          <w:szCs w:val="28"/>
          <w:rtl w:val="0"/>
          <w:lang w:val="fr-FR"/>
        </w:rPr>
        <w:t>nous</w:t>
      </w:r>
      <w:r>
        <w:rPr>
          <w:rStyle w:val="Ninguno"/>
          <w:rFonts w:ascii="EB Garamond" w:cs="EB Garamond" w:hAnsi="EB Garamond" w:eastAsia="EB Garamond"/>
          <w:sz w:val="28"/>
          <w:szCs w:val="28"/>
          <w:rtl w:val="0"/>
          <w:lang w:val="en-US"/>
        </w:rPr>
        <w:t>, and the human mind was considered a means of contacting the divine as well as the divine consciousness in each individual.</w:t>
      </w:r>
      <w:r>
        <w:rPr>
          <w:rStyle w:val="Ninguno"/>
          <w:rFonts w:ascii="EB Garamond" w:cs="EB Garamond" w:hAnsi="EB Garamond" w:eastAsia="EB Garamond"/>
          <w:sz w:val="28"/>
          <w:szCs w:val="28"/>
          <w:vertAlign w:val="superscript"/>
        </w:rPr>
        <w:footnoteReference w:id="140"/>
      </w:r>
      <w:r>
        <w:rPr>
          <w:rStyle w:val="Ninguno"/>
          <w:rFonts w:ascii="EB Garamond" w:cs="EB Garamond" w:hAnsi="EB Garamond" w:eastAsia="EB Garamond"/>
          <w:sz w:val="28"/>
          <w:szCs w:val="28"/>
          <w:rtl w:val="0"/>
          <w:lang w:val="en-US"/>
        </w:rPr>
        <w:t xml:space="preserve"> However, the modern notion of psyche started to move back to the classical idea of soul with Jungian thought and transpersonal psychology.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Moreover, while for Jung, archetypal images appear as personifications and narrative patterns, Plato</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Forms are abstract and metaphysical ideas from which images emerge in a multiplicity of expressions. Jungian archetypes are psychological and human, while Plato</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Forms seem more philosophical, universal and cosmic.</w:t>
      </w:r>
      <w:r>
        <w:rPr>
          <w:rStyle w:val="Ninguno"/>
          <w:rFonts w:ascii="EB Garamond" w:cs="EB Garamond" w:hAnsi="EB Garamond" w:eastAsia="EB Garamond"/>
          <w:sz w:val="28"/>
          <w:szCs w:val="28"/>
          <w:vertAlign w:val="superscript"/>
        </w:rPr>
        <w:footnoteReference w:id="141"/>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As Campion points out, Platonists, Aristotelians and Stoics all agreed that the entire cosmos was bound together by psyche. This idea suggests that the cosmos possessed an interior aspect as much as an external one. So, even if Jung was inspired by platonic and esoteric traditions, for him, the psyche and imagination, as a  faculty of the soul, was a human agency and occured within, while for Plato was mainly transcendent. As Tarnas point out,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for the modern mind, the only source of meaning in the universe is human consciousness.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vertAlign w:val="superscript"/>
        </w:rPr>
        <w:footnoteReference w:id="142"/>
      </w:r>
      <w:r>
        <w:rPr>
          <w:rStyle w:val="Ninguno"/>
          <w:rFonts w:ascii="EB Garamond" w:cs="EB Garamond" w:hAnsi="EB Garamond" w:eastAsia="EB Garamond"/>
          <w:sz w:val="28"/>
          <w:szCs w:val="28"/>
          <w:rtl w:val="0"/>
          <w:lang w:val="en-US"/>
        </w:rPr>
        <w:t xml:space="preserve"> Neoplatonic theurgy, by contrast, relies on the idea of soul having a twofold life, one being in conjunction with body, but the other being independent -but connected- from all body.</w:t>
      </w:r>
      <w:r>
        <w:rPr>
          <w:rStyle w:val="Ninguno"/>
          <w:rFonts w:ascii="EB Garamond" w:cs="EB Garamond" w:hAnsi="EB Garamond" w:eastAsia="EB Garamond"/>
          <w:sz w:val="28"/>
          <w:szCs w:val="28"/>
          <w:vertAlign w:val="superscript"/>
        </w:rPr>
        <w:footnoteReference w:id="143"/>
      </w:r>
      <w:r>
        <w:rPr>
          <w:rStyle w:val="Ninguno"/>
          <w:rFonts w:ascii="EB Garamond" w:cs="EB Garamond" w:hAnsi="EB Garamond" w:eastAsia="EB Garamond"/>
          <w:sz w:val="28"/>
          <w:szCs w:val="28"/>
          <w:rtl w:val="0"/>
          <w:lang w:val="en-US"/>
        </w:rPr>
        <w:t xml:space="preserve"> Secondly, Neoplatonic theurgy and, in particular, Iamblichus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approach to it,  seems to be focused on immanence and the receptive aspect of symbol in which human is a means of the god, divine activity participates in the world through human beings. By contrast, Jungian imagination, within a modern perspective,  seems to be more focused on the transcendent function of imagination, and symbols seem to be experienced as means to go beyond daily consciousness but from an implicit experiential structure of being a subject rather than a vehicle.</w:t>
      </w:r>
      <w:r>
        <w:rPr>
          <w:rStyle w:val="Ninguno"/>
          <w:rFonts w:ascii="EB Garamond" w:cs="EB Garamond" w:hAnsi="EB Garamond" w:eastAsia="EB Garamond"/>
          <w:sz w:val="28"/>
          <w:szCs w:val="28"/>
          <w:vertAlign w:val="superscript"/>
        </w:rPr>
        <w:footnoteReference w:id="144"/>
      </w:r>
      <w:r>
        <w:rPr>
          <w:rStyle w:val="Ninguno"/>
          <w:rFonts w:ascii="EB Garamond" w:cs="EB Garamond" w:hAnsi="EB Garamond" w:eastAsia="EB Garamond"/>
          <w:sz w:val="28"/>
          <w:szCs w:val="28"/>
          <w:rtl w:val="0"/>
          <w:lang w:val="en-US"/>
        </w:rPr>
        <w:t xml:space="preserve"> Moreover, Jung seems not to have explicitly addressed a dimension beyond the unconscious images, that is, the imaginal world, like the Neoplatonic nous or intellect.  Even if there is a discernment of a subtle dimension underpinning the idea of archetypal collective patterns that underlies the person's psychological life, the imaginal world of unconscious images seems to correspond to the soul and not to the Neoplatonic dimension of intellect. When Jung uses the symbol of the door as an intermediary bridge between a visible image or aspect of oneself and an invisible one, he refers to an encounter between the conscious and the unconscious of the human psyche. However, he does not seem to give them a different or independent ontology, although he does speak that unconscious images are "below" conscious perception.</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To understand the faculty of imagination and the function of symbol it is needed to understand the cosmology that embraces these notions. As Richard Tarnas says, our world view `deeply configures our psychic and somatic experience, the patterns of our sensing, knowing, and interacting with the world</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45"/>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 comparison between a classical approach to imagination and symbol, and a modern approach to them is essential because to understand the faculty of imagination and the function of symbol it is needed to understand the cosmology that embraces these notions; and, therefore, to distinguish whether or not imagination and the function of symbol can trigger a mystical experience. As Liz Greene expresses in regard to the praxis of theurgy in Neoplatonism,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symbol and sympathy are complementary notions`.</w:t>
      </w:r>
      <w:r>
        <w:rPr>
          <w:rStyle w:val="Ninguno"/>
          <w:rFonts w:ascii="EB Garamond" w:cs="EB Garamond" w:hAnsi="EB Garamond" w:eastAsia="EB Garamond"/>
          <w:sz w:val="28"/>
          <w:szCs w:val="28"/>
          <w:vertAlign w:val="superscript"/>
        </w:rPr>
        <w:footnoteReference w:id="146"/>
      </w:r>
      <w:r>
        <w:rPr>
          <w:rStyle w:val="Ninguno"/>
          <w:rFonts w:ascii="EB Garamond" w:cs="EB Garamond" w:hAnsi="EB Garamond" w:eastAsia="EB Garamond"/>
          <w:sz w:val="28"/>
          <w:szCs w:val="28"/>
          <w:rtl w:val="0"/>
          <w:lang w:val="en-US"/>
        </w:rPr>
        <w:t xml:space="preserve"> Moreover, this </w:t>
      </w:r>
      <w:r>
        <w:rPr>
          <w:rStyle w:val="Ninguno"/>
          <w:rFonts w:ascii="EB Garamond" w:cs="EB Garamond" w:hAnsi="EB Garamond" w:eastAsia="EB Garamond"/>
          <w:sz w:val="28"/>
          <w:szCs w:val="28"/>
          <w:shd w:val="clear" w:color="auto" w:fill="ffffff"/>
          <w:rtl w:val="0"/>
          <w:lang w:val="en-US"/>
        </w:rPr>
        <w:t>discernment</w:t>
      </w:r>
      <w:r>
        <w:rPr>
          <w:rStyle w:val="Ninguno"/>
          <w:sz w:val="24"/>
          <w:szCs w:val="24"/>
          <w:shd w:val="clear" w:color="auto" w:fill="ffffff"/>
          <w:rtl w:val="0"/>
        </w:rPr>
        <w:t xml:space="preserve"> </w:t>
      </w:r>
      <w:r>
        <w:rPr>
          <w:rStyle w:val="Ninguno"/>
          <w:rFonts w:ascii="EB Garamond" w:cs="EB Garamond" w:hAnsi="EB Garamond" w:eastAsia="EB Garamond"/>
          <w:sz w:val="28"/>
          <w:szCs w:val="28"/>
          <w:rtl w:val="0"/>
          <w:lang w:val="en-US"/>
        </w:rPr>
        <w:t xml:space="preserve">is also important for my research because modern psychological astrology seems to rely on Jungian thought and, therefore, it has planotic roots.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Neoplatonic cosmology consists of levels of being which extend from the material body, through soul, to the intelligible level (nous) and finally to the One; and the task of the human soul is to ascend and return from its exile in the material world to a mystical union with the One, which is the source of all forms of reality. It is a return because everything emanated from the One in the first place. By contrast, modern cosmology is not arranged hierarchically; and it is argued to be a disenchanted vision of the world in which the soul, spirits and the divine are removed from nature, and the divine was expelled from the world.</w:t>
      </w:r>
      <w:r>
        <w:rPr>
          <w:rStyle w:val="Ninguno"/>
          <w:rFonts w:ascii="EB Garamond" w:cs="EB Garamond" w:hAnsi="EB Garamond" w:eastAsia="EB Garamond"/>
          <w:sz w:val="28"/>
          <w:szCs w:val="28"/>
          <w:vertAlign w:val="superscript"/>
        </w:rPr>
        <w:footnoteReference w:id="147"/>
      </w:r>
      <w:r>
        <w:rPr>
          <w:rStyle w:val="Ninguno"/>
          <w:rFonts w:ascii="EB Garamond" w:cs="EB Garamond" w:hAnsi="EB Garamond" w:eastAsia="EB Garamond"/>
          <w:sz w:val="28"/>
          <w:szCs w:val="28"/>
          <w:rtl w:val="0"/>
          <w:lang w:val="en-US"/>
        </w:rPr>
        <w:t xml:space="preserve"> This understanding clearly relies on a fundamental split between subject (the knower) and object (the known), or between self and world,  supporting the dualistic ontology that underlies western thought. However, as shown in the introduction, some contemporaneous astrologers seem to embrace and recover the role of the imagination in mediating all human experience and knowledge. In this regard, Richard Tarnas says that this emerging vision includes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an increased awareness of the depth, power, and complexity of the unconscious; and a more sophisticated analysis of the nature of symbolic, metaphoric, and archetypal meaning in human life.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vertAlign w:val="superscript"/>
        </w:rPr>
        <w:footnoteReference w:id="148"/>
      </w:r>
      <w:r>
        <w:rPr>
          <w:rStyle w:val="Ninguno"/>
          <w:rFonts w:ascii="EB Garamond" w:cs="EB Garamond" w:hAnsi="EB Garamond" w:eastAsia="EB Garamond"/>
          <w:sz w:val="28"/>
          <w:szCs w:val="28"/>
          <w:rtl w:val="0"/>
          <w:lang w:val="en-US"/>
        </w:rPr>
        <w:t xml:space="preserve"> Thus, in this new emerging vision of imagination, by dissolving ordinary conceptual and literal categories of visible reality, seems to manifest spontaneously a transcendental reality that was hidden by the separation between knower and known, and which triggers a movement of attitude towards an unification of human psyche in a larger whole.</w:t>
      </w:r>
      <w:r>
        <w:rPr>
          <w:rStyle w:val="Ninguno"/>
          <w:rFonts w:ascii="EB Garamond" w:cs="EB Garamond" w:hAnsi="EB Garamond" w:eastAsia="EB Garamond"/>
          <w:sz w:val="28"/>
          <w:szCs w:val="28"/>
          <w:vertAlign w:val="superscript"/>
        </w:rPr>
        <w:footnoteReference w:id="149"/>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So, relying on the  descriptions mentioned above, imagination seems to be a paradox. As Patrick Harpur says, `all imaginative work re-introduces us to double vision`, which is essential to the nature of a paradox.</w:t>
      </w:r>
      <w:r>
        <w:rPr>
          <w:rStyle w:val="Ninguno"/>
          <w:rFonts w:ascii="EB Garamond" w:cs="EB Garamond" w:hAnsi="EB Garamond" w:eastAsia="EB Garamond"/>
          <w:sz w:val="28"/>
          <w:szCs w:val="28"/>
          <w:vertAlign w:val="superscript"/>
        </w:rPr>
        <w:footnoteReference w:id="150"/>
      </w:r>
      <w:r>
        <w:rPr>
          <w:rStyle w:val="Ninguno"/>
          <w:rFonts w:ascii="EB Garamond" w:cs="EB Garamond" w:hAnsi="EB Garamond" w:eastAsia="EB Garamond"/>
          <w:sz w:val="28"/>
          <w:szCs w:val="28"/>
          <w:rtl w:val="0"/>
          <w:lang w:val="en-US"/>
        </w:rPr>
        <w:t xml:space="preserve"> That is to say that the double vision of imagination requires being aware that something is also something else other than literal. In this regard, imagination can be understood as the allegorical level of the fourfold hermeneutic model.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On the one hand, imagination seems to be a human faculty, a way of knowing something hidden from visible reality; but it is also described as a mode of being that requires a symbolic or metaphorical way of knowing. From this perspective, imagination is not a way of knowledge but a knowledge that emerges through a symbolic or metaphorical way of knowledge. In this regard, the imaginal and symbolic way of knowledge seems to overlap. However, this paradox seems to happen because imagination is described as a human faculty, but also as an independent dimension as real as anything in the physical world and humankind.</w:t>
      </w:r>
      <w:r>
        <w:rPr>
          <w:rStyle w:val="Ninguno"/>
          <w:rFonts w:ascii="EB Garamond" w:cs="EB Garamond" w:hAnsi="EB Garamond" w:eastAsia="EB Garamond"/>
          <w:sz w:val="28"/>
          <w:szCs w:val="28"/>
          <w:vertAlign w:val="superscript"/>
        </w:rPr>
        <w:footnoteReference w:id="151"/>
      </w:r>
      <w:r>
        <w:rPr>
          <w:rStyle w:val="Ninguno"/>
          <w:rFonts w:ascii="EB Garamond" w:cs="EB Garamond" w:hAnsi="EB Garamond" w:eastAsia="EB Garamond"/>
          <w:sz w:val="28"/>
          <w:szCs w:val="28"/>
          <w:rtl w:val="0"/>
          <w:lang w:val="en-US"/>
        </w:rPr>
        <w:t xml:space="preserve">  The distinction made by Henry Corbin between the faculty of imagination and the world of imagination seems to be the clearest in this regard. In addition, Corbin</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s mundus imaginalis seems to find similarities with the Platonic world of soul and the Jungian collective unconscious. But also, in other cases, imagination seems to share aspects with Jung's synchronicity which rely on Greek sympathy and the idea of an interconnected and harmonically ordered world. In this regard, William Blake expresses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nature is imagination itself.</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vertAlign w:val="superscript"/>
        </w:rPr>
        <w:footnoteReference w:id="152"/>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So, when astrologer Angela Voss expresses that imagination emerges by means of symbol and metaphor, she seems to pinpoint the world of imagination and not the human faculty of knowledge which, in this case, is the symbol and metaphor and not imagination. Conversely, theurgic practises seem to use imagination to create symbols. In this case, imagination pinpoints the faculty of knowledge. So, in the former case, imagination seems to be that other dimension that emerges by means of symbol; while in the latter case, imagination appears to be the means by which symbol emerges.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b w:val="1"/>
          <w:bCs w:val="1"/>
        </w:rPr>
      </w:pPr>
      <w:r>
        <w:rPr>
          <w:rStyle w:val="Ninguno"/>
          <w:rFonts w:ascii="EB Garamond" w:cs="EB Garamond" w:hAnsi="EB Garamond" w:eastAsia="EB Garamond"/>
          <w:sz w:val="28"/>
          <w:szCs w:val="28"/>
          <w:rtl w:val="0"/>
          <w:lang w:val="en-US"/>
        </w:rPr>
        <w:t xml:space="preserve">Based on the descripciones above, imagination and symbol seem to overlap and work interchangeably, and both notions are far from clear. Undoubtedly, imagination as a way of knowledge shares some aspects of its meaning with the symbol, in particular the Greek term </w:t>
      </w:r>
      <w:r>
        <w:rPr>
          <w:rStyle w:val="Ninguno"/>
          <w:rFonts w:ascii="EB Garamond" w:cs="EB Garamond" w:hAnsi="EB Garamond" w:eastAsia="EB Garamond"/>
          <w:i w:val="1"/>
          <w:iCs w:val="1"/>
          <w:sz w:val="28"/>
          <w:szCs w:val="28"/>
          <w:rtl w:val="0"/>
        </w:rPr>
        <w:t>symbolon</w:t>
      </w:r>
      <w:r>
        <w:rPr>
          <w:rStyle w:val="Ninguno"/>
          <w:rFonts w:ascii="EB Garamond" w:cs="EB Garamond" w:hAnsi="EB Garamond" w:eastAsia="EB Garamond"/>
          <w:sz w:val="28"/>
          <w:szCs w:val="28"/>
          <w:rtl w:val="0"/>
          <w:lang w:val="en-US"/>
        </w:rPr>
        <w:t xml:space="preserve"> which, at the same, it also shares aspects with other words inherited from the ancient tradition, such as image, icon, allegory. Imagination is the organ to perceive an invisible non-material reality and participate in the world of the soul.  It allows access into an unknown realm, a realm that is described as animated, imaginal and psychic. Imagination requires a double vision capable of conjoining opposites realms and perspectives which is also the role of symbol.  In this sense, imagination seems to correspond to the allegorical level of the fourfold hermeneutic model in which any object becomes something else than literal. However, according to Eliade, that alternative meaning occurs by the manifestation of the sacred; that is to say, when an independent dimension from the concrete meaning takes place. This understanding suggests an ontological dimension of imagination which leads imagination towards the topological and mystical levels of the hermeneutic model. </w:t>
      </w:r>
    </w:p>
    <w:p>
      <w:pPr>
        <w:pStyle w:val="Encabezamiento 2"/>
        <w:spacing w:before="240" w:after="240" w:line="360" w:lineRule="auto"/>
        <w:jc w:val="both"/>
        <w:rPr>
          <w:rStyle w:val="Ninguno"/>
          <w:b w:val="1"/>
          <w:bCs w:val="1"/>
        </w:rPr>
      </w:pPr>
      <w:bookmarkStart w:name="_x61jl759ynen" w:id="7"/>
      <w:bookmarkEnd w:id="7"/>
    </w:p>
    <w:p>
      <w:pPr>
        <w:pStyle w:val="Encabezamiento 2"/>
        <w:spacing w:before="240" w:after="240" w:line="360" w:lineRule="auto"/>
        <w:jc w:val="both"/>
        <w:rPr>
          <w:rStyle w:val="Ninguno"/>
          <w:b w:val="1"/>
          <w:bCs w:val="1"/>
        </w:rPr>
      </w:pPr>
      <w:bookmarkStart w:name="_rq5k7vecou6" w:id="8"/>
      <w:bookmarkEnd w:id="8"/>
      <w:r>
        <w:rPr>
          <w:rStyle w:val="Ninguno"/>
          <w:b w:val="1"/>
          <w:bCs w:val="1"/>
          <w:rtl w:val="0"/>
        </w:rPr>
        <w:t>T</w:t>
      </w:r>
      <w:r>
        <w:rPr>
          <w:rStyle w:val="Ninguno"/>
          <w:b w:val="1"/>
          <w:bCs w:val="1"/>
          <w:rtl w:val="0"/>
          <w:lang w:val="de-DE"/>
        </w:rPr>
        <w:t>HE SACRED</w:t>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Although there are different approaches, descriptions, formal studies and theoretical models about mystical experiences, they were commonly described as states that belong exclusively to religious practises.</w:t>
      </w:r>
      <w:r>
        <w:rPr>
          <w:rStyle w:val="Ninguno"/>
          <w:rFonts w:ascii="EB Garamond" w:cs="EB Garamond" w:hAnsi="EB Garamond" w:eastAsia="EB Garamond"/>
          <w:sz w:val="28"/>
          <w:szCs w:val="28"/>
          <w:vertAlign w:val="superscript"/>
        </w:rPr>
        <w:footnoteReference w:id="153"/>
      </w:r>
      <w:r>
        <w:rPr>
          <w:rStyle w:val="Ninguno"/>
          <w:rFonts w:ascii="EB Garamond" w:cs="EB Garamond" w:hAnsi="EB Garamond" w:eastAsia="EB Garamond"/>
          <w:sz w:val="28"/>
          <w:szCs w:val="28"/>
          <w:rtl w:val="0"/>
          <w:lang w:val="en-US"/>
        </w:rPr>
        <w:t xml:space="preserve">  However, mystical experiences are increasingly described as spiritual but not necessarily religious, especially in the context of studies in sociology, clinical psychology and psychiatry, theology, religious studies, and humanistic, analytical and transpersonal psychologies, particularly since the 1970s.</w:t>
      </w:r>
      <w:r>
        <w:rPr>
          <w:rStyle w:val="Ninguno"/>
          <w:rFonts w:ascii="EB Garamond" w:cs="EB Garamond" w:hAnsi="EB Garamond" w:eastAsia="EB Garamond"/>
          <w:sz w:val="28"/>
          <w:szCs w:val="28"/>
          <w:vertAlign w:val="superscript"/>
        </w:rPr>
        <w:footnoteReference w:id="154"/>
      </w:r>
      <w:r>
        <w:rPr>
          <w:rStyle w:val="Ninguno"/>
          <w:rFonts w:ascii="EB Garamond" w:cs="EB Garamond" w:hAnsi="EB Garamond" w:eastAsia="EB Garamond"/>
          <w:sz w:val="28"/>
          <w:szCs w:val="28"/>
          <w:rtl w:val="0"/>
          <w:lang w:val="en-US"/>
        </w:rPr>
        <w:t xml:space="preserve"> Mystical experiences were also associated with madness, prophecy, ecstasy and psychosis.</w:t>
      </w:r>
      <w:r>
        <w:rPr>
          <w:rStyle w:val="Ninguno"/>
          <w:rFonts w:ascii="EB Garamond" w:cs="EB Garamond" w:hAnsi="EB Garamond" w:eastAsia="EB Garamond"/>
          <w:sz w:val="28"/>
          <w:szCs w:val="28"/>
          <w:vertAlign w:val="superscript"/>
        </w:rPr>
        <w:footnoteReference w:id="155"/>
      </w:r>
      <w:r>
        <w:rPr>
          <w:rStyle w:val="Ninguno"/>
          <w:rFonts w:ascii="EB Garamond" w:cs="EB Garamond" w:hAnsi="EB Garamond" w:eastAsia="EB Garamond"/>
          <w:sz w:val="28"/>
          <w:szCs w:val="28"/>
          <w:rtl w:val="0"/>
          <w:lang w:val="en-US"/>
        </w:rPr>
        <w:t xml:space="preserve"> I will rely particularly on a psychological approach to mystical experience.</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Modern psychology and neuroscience studies on mystical experiences have argued that mystical experiences are an inherent necessity of human experience.</w:t>
      </w:r>
      <w:r>
        <w:rPr>
          <w:rStyle w:val="Ninguno"/>
          <w:vertAlign w:val="superscript"/>
        </w:rPr>
        <w:footnoteReference w:id="156"/>
      </w:r>
      <w:r>
        <w:rPr>
          <w:rStyle w:val="Ninguno"/>
          <w:rFonts w:ascii="EB Garamond" w:cs="EB Garamond" w:hAnsi="EB Garamond" w:eastAsia="EB Garamond"/>
          <w:sz w:val="28"/>
          <w:szCs w:val="28"/>
          <w:rtl w:val="0"/>
          <w:lang w:val="en-US"/>
        </w:rPr>
        <w:t xml:space="preserve"> They reached that conclusion by focusing on the characteristics of the subject's inner experience, both psychological and biological. The very known humanistic psychologist Abraham Maslow (1908-1970) developed the concept of peak experience to describe some of the most significant features of a mystical experience, and to distinguish the psychological study of spiritual events from the limitation of any particular religious experience.</w:t>
      </w:r>
      <w:r>
        <w:rPr>
          <w:rStyle w:val="Ninguno"/>
          <w:vertAlign w:val="superscript"/>
        </w:rPr>
        <w:footnoteReference w:id="157"/>
      </w:r>
      <w:r>
        <w:rPr>
          <w:rStyle w:val="Ninguno A"/>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The primary goal of humanistic psychology is the integration of the self, similar to the Jungian approach, but while humanistic psychology has called self-actualization to this process, Jungians called individuation.</w:t>
      </w:r>
      <w:r>
        <w:rPr>
          <w:rStyle w:val="Ninguno"/>
          <w:rFonts w:ascii="EB Garamond" w:cs="EB Garamond" w:hAnsi="EB Garamond" w:eastAsia="EB Garamond"/>
          <w:sz w:val="28"/>
          <w:szCs w:val="28"/>
          <w:vertAlign w:val="superscript"/>
        </w:rPr>
        <w:footnoteReference w:id="158"/>
      </w:r>
      <w:r>
        <w:rPr>
          <w:rStyle w:val="Ninguno"/>
          <w:rFonts w:ascii="EB Garamond" w:cs="EB Garamond" w:hAnsi="EB Garamond" w:eastAsia="EB Garamond"/>
          <w:sz w:val="28"/>
          <w:szCs w:val="28"/>
          <w:rtl w:val="0"/>
          <w:lang w:val="en-US"/>
        </w:rPr>
        <w:t xml:space="preserve"> Maslow is also well known for his theory about the hierarchy of needs that suggests that people have certain needs and, as these needs are fulfilled, they are able to go on to pursue other needs.</w:t>
      </w:r>
      <w:r>
        <w:rPr>
          <w:rStyle w:val="Ninguno"/>
          <w:rFonts w:ascii="EB Garamond" w:cs="EB Garamond" w:hAnsi="EB Garamond" w:eastAsia="EB Garamond"/>
          <w:sz w:val="28"/>
          <w:szCs w:val="28"/>
          <w:vertAlign w:val="superscript"/>
        </w:rPr>
        <w:footnoteReference w:id="159"/>
      </w:r>
      <w:r>
        <w:rPr>
          <w:rStyle w:val="Ninguno"/>
          <w:rFonts w:ascii="EB Garamond" w:cs="EB Garamond" w:hAnsi="EB Garamond" w:eastAsia="EB Garamond"/>
          <w:sz w:val="28"/>
          <w:szCs w:val="28"/>
          <w:rtl w:val="0"/>
          <w:lang w:val="en-US"/>
        </w:rPr>
        <w:t xml:space="preserve"> Interestingly, he has developed that hierarchy as an ascendant step, which reminds me of the platonic ascendant return of the soul discussed in the previous chapter,  particularly the hermetic soul</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s ascension through the planetary structure.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Like Carl Jung at his time, Maslow was also opposed to the classical academic psychology of the moment, which was mainly behavioristic and Freudian, and which had no place for the higher dimensions of personality such as creativity or the search for meaning and truth, which was commonly associated with religion. According to him, religious questions are an essential part of human psychology, and they are not limited only to religious life.</w:t>
      </w:r>
      <w:r>
        <w:rPr>
          <w:rStyle w:val="Ninguno"/>
          <w:rFonts w:ascii="EB Garamond" w:cs="EB Garamond" w:hAnsi="EB Garamond" w:eastAsia="EB Garamond"/>
          <w:sz w:val="28"/>
          <w:szCs w:val="28"/>
          <w:vertAlign w:val="superscript"/>
        </w:rPr>
        <w:footnoteReference w:id="160"/>
      </w:r>
      <w:r>
        <w:rPr>
          <w:rStyle w:val="Ninguno"/>
          <w:rFonts w:ascii="EB Garamond" w:cs="EB Garamond" w:hAnsi="EB Garamond" w:eastAsia="EB Garamond"/>
          <w:sz w:val="28"/>
          <w:szCs w:val="28"/>
          <w:rtl w:val="0"/>
          <w:lang w:val="en-US"/>
        </w:rPr>
        <w:t xml:space="preserve"> Instead, they are an inherent necessity of human experience.</w:t>
      </w:r>
      <w:r>
        <w:rPr>
          <w:rStyle w:val="Ninguno"/>
          <w:rFonts w:ascii="EB Garamond" w:cs="EB Garamond" w:hAnsi="EB Garamond" w:eastAsia="EB Garamond"/>
          <w:sz w:val="28"/>
          <w:szCs w:val="28"/>
          <w:vertAlign w:val="superscript"/>
        </w:rPr>
        <w:footnoteReference w:id="161"/>
      </w:r>
      <w:r>
        <w:rPr>
          <w:rStyle w:val="Ninguno"/>
          <w:rFonts w:ascii="EB Garamond" w:cs="EB Garamond" w:hAnsi="EB Garamond" w:eastAsia="EB Garamond"/>
          <w:sz w:val="28"/>
          <w:szCs w:val="28"/>
          <w:rtl w:val="0"/>
          <w:lang w:val="en-US"/>
        </w:rPr>
        <w:t xml:space="preserve"> Maslow thought that these needs are universal because he believed that there is an inner nature common to all human beings and the source of basic human drives and needs.</w:t>
      </w:r>
      <w:r>
        <w:rPr>
          <w:rStyle w:val="Ninguno"/>
          <w:rFonts w:ascii="EB Garamond" w:cs="EB Garamond" w:hAnsi="EB Garamond" w:eastAsia="EB Garamond"/>
          <w:sz w:val="28"/>
          <w:szCs w:val="28"/>
          <w:vertAlign w:val="superscript"/>
        </w:rPr>
        <w:footnoteReference w:id="162"/>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Another major concept of Maslow</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work is that of peak-experience. This is a Maslow's description of peak experience:</w:t>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Pr>
        <w:tab/>
        <w:tab/>
        <w:tab/>
        <w:tab/>
        <w:tab/>
      </w:r>
    </w:p>
    <w:p>
      <w:pPr>
        <w:pStyle w:val="Cuerpo A"/>
        <w:spacing w:line="360" w:lineRule="auto"/>
        <w:ind w:left="720" w:firstLine="0"/>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An episode, or a spurt in which the powers of the person come together in a particularly efficient and intensely enjoyable way, and in which he is more integrated and less split, more open for experience, more idiosyncratic, more perfectly expressive or spontaneous, or fully functioning, more creative, more humorous, more ego-transcending, more independent of his lower needs, etc. He becomes in these episodes more truly himself, more perfectly actualizing his potentialities, closer to the core of his Being, more fully human.</w:t>
      </w:r>
      <w:r>
        <w:rPr>
          <w:rStyle w:val="Ninguno"/>
          <w:rFonts w:ascii="EB Garamond" w:cs="EB Garamond" w:hAnsi="EB Garamond" w:eastAsia="EB Garamond"/>
          <w:sz w:val="28"/>
          <w:szCs w:val="28"/>
          <w:vertAlign w:val="superscript"/>
        </w:rPr>
        <w:footnoteReference w:id="163"/>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Similarly, astrologer Dane Rudhyar expresses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humanistic astrology is an astrology which assists individuals in the solution of their personal and interpersonal problems, and especially in actualizing more fully their birth-potential</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and that the purpose of such astrology `is to help the person to actualize his innate potential, to bring what is only possible to an at least relatively complete state of fulfilment`.</w:t>
      </w:r>
      <w:r>
        <w:rPr>
          <w:rStyle w:val="Ninguno"/>
          <w:rFonts w:ascii="EB Garamond" w:cs="EB Garamond" w:hAnsi="EB Garamond" w:eastAsia="EB Garamond"/>
          <w:sz w:val="28"/>
          <w:szCs w:val="28"/>
          <w:vertAlign w:val="superscript"/>
        </w:rPr>
        <w:footnoteReference w:id="164"/>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rPr>
        <w:tab/>
        <w:tab/>
        <w:t xml:space="preserve"> </w:t>
        <w:tab/>
        <w:t xml:space="preserve"> </w:t>
        <w:tab/>
        <w:t xml:space="preserve"> </w:t>
        <w:tab/>
        <w:tab/>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In his book </w:t>
      </w:r>
      <w:r>
        <w:rPr>
          <w:rStyle w:val="Ninguno"/>
          <w:rFonts w:ascii="EB Garamond" w:cs="EB Garamond" w:hAnsi="EB Garamond" w:eastAsia="EB Garamond"/>
          <w:i w:val="1"/>
          <w:iCs w:val="1"/>
          <w:sz w:val="28"/>
          <w:szCs w:val="28"/>
          <w:rtl w:val="0"/>
          <w:lang w:val="en-US"/>
        </w:rPr>
        <w:t>Religious, Values and Peak-Experiences</w:t>
      </w:r>
      <w:r>
        <w:rPr>
          <w:rStyle w:val="Ninguno"/>
          <w:rFonts w:ascii="EB Garamond" w:cs="EB Garamond" w:hAnsi="EB Garamond" w:eastAsia="EB Garamond"/>
          <w:sz w:val="28"/>
          <w:szCs w:val="28"/>
          <w:rtl w:val="0"/>
          <w:lang w:val="en-US"/>
        </w:rPr>
        <w:t>, Maslow describes some of the most significant features of peak experience, in which he includes the perception of the universe as a unity to which the person feels to belong in it, a feeling of coherence among all things of existence, lost of hierarchy and tendency to perceive all things as an equally important.</w:t>
      </w:r>
      <w:r>
        <w:rPr>
          <w:rStyle w:val="Ninguno"/>
          <w:rFonts w:ascii="EB Garamond" w:cs="EB Garamond" w:hAnsi="EB Garamond" w:eastAsia="EB Garamond"/>
          <w:sz w:val="28"/>
          <w:szCs w:val="28"/>
          <w:vertAlign w:val="superscript"/>
        </w:rPr>
        <w:footnoteReference w:id="165"/>
      </w:r>
      <w:r>
        <w:rPr>
          <w:rStyle w:val="Ninguno"/>
          <w:rFonts w:ascii="EB Garamond" w:cs="EB Garamond" w:hAnsi="EB Garamond" w:eastAsia="EB Garamond"/>
          <w:sz w:val="28"/>
          <w:szCs w:val="28"/>
          <w:rtl w:val="0"/>
          <w:lang w:val="en-US"/>
        </w:rPr>
        <w:t xml:space="preserve"> The sense of unity to which the person feels to partake seems to be similar to the Greek notion of sympathy that perceives the interconnection between all things, both material and non-material, in a coherent wholeness; and, also, the function of symbol as a means to actively participate in such unity described in the Neoplatonic theurgical practises. Moreover, Nicholas Campion points out that the chain of sympathies becomes the basis of astrological knowledge systematised the Hellenistic world until modern times in the 17h century,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in which terrestrial and celestial events were connected purely because they occurred at the same time`.</w:t>
      </w:r>
      <w:r>
        <w:rPr>
          <w:rStyle w:val="Ninguno"/>
          <w:rFonts w:ascii="EB Garamond" w:cs="EB Garamond" w:hAnsi="EB Garamond" w:eastAsia="EB Garamond"/>
          <w:sz w:val="28"/>
          <w:szCs w:val="28"/>
          <w:vertAlign w:val="superscript"/>
        </w:rPr>
        <w:footnoteReference w:id="166"/>
      </w:r>
      <w:r>
        <w:rPr>
          <w:rStyle w:val="Ninguno"/>
          <w:rFonts w:ascii="EB Garamond" w:cs="EB Garamond" w:hAnsi="EB Garamond" w:eastAsia="EB Garamond"/>
          <w:sz w:val="28"/>
          <w:szCs w:val="28"/>
          <w:rtl w:val="0"/>
          <w:lang w:val="en-US"/>
        </w:rPr>
        <w:t xml:space="preserve"> In addition, Liz Greene also argues that sympathy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provides the philosophical underpinning for the Neoplatonic understanding of and emphasis on astrology, since the planets, as celestial symbols in the chain of interlinked cosmic emanations, are mirrored by, and inherent in, their correspondences within both earthly reality and the human soul.</w:t>
      </w:r>
      <w:r>
        <w:rPr>
          <w:rStyle w:val="Ninguno"/>
          <w:rFonts w:ascii="EB Garamond" w:cs="EB Garamond" w:hAnsi="EB Garamond" w:eastAsia="EB Garamond"/>
          <w:sz w:val="28"/>
          <w:szCs w:val="28"/>
          <w:vertAlign w:val="superscript"/>
        </w:rPr>
        <w:footnoteReference w:id="167"/>
      </w:r>
      <w:r>
        <w:rPr>
          <w:rStyle w:val="Ninguno"/>
          <w:rFonts w:ascii="EB Garamond" w:cs="EB Garamond" w:hAnsi="EB Garamond" w:eastAsia="EB Garamond"/>
          <w:sz w:val="28"/>
          <w:szCs w:val="28"/>
          <w:rtl w:val="0"/>
          <w:lang w:val="en-US"/>
        </w:rPr>
        <w:t xml:space="preserve"> Similarly, Jung argued that Astrology, like the I Ching, is based on the principle of synchronicity which lies in the simultaneity of external events and the inner process of the psyche.</w:t>
      </w:r>
      <w:r>
        <w:rPr>
          <w:rStyle w:val="Ninguno"/>
          <w:rFonts w:ascii="EB Garamond" w:cs="EB Garamond" w:hAnsi="EB Garamond" w:eastAsia="EB Garamond"/>
          <w:sz w:val="28"/>
          <w:szCs w:val="28"/>
          <w:vertAlign w:val="superscript"/>
        </w:rPr>
        <w:footnoteReference w:id="168"/>
      </w:r>
      <w:r>
        <w:rPr>
          <w:rStyle w:val="Ninguno"/>
          <w:rFonts w:ascii="EB Garamond" w:cs="EB Garamond" w:hAnsi="EB Garamond" w:eastAsia="EB Garamond"/>
          <w:sz w:val="28"/>
          <w:szCs w:val="28"/>
          <w:rtl w:val="0"/>
          <w:lang w:val="en-US"/>
        </w:rPr>
        <w:t xml:space="preserve"> These suggest that the experience of feeling to be part of an interconnected wholeness is at the core of astrological cosmology and, therefore, by means of symbol, also in its practice.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Another characteristic of peak experience that Maslow mentions is a change in cognition of being -which he called B-cognition- that occurs in peak experience. This change can be expressed as a non-judging cognition or as a feeling of detachment from concerns, which could trigger a transformative change in the perception, particularly about the interrelation of the perceiver and the world, that can be relatively ego-transcending and impersonal.</w:t>
      </w:r>
      <w:r>
        <w:rPr>
          <w:rStyle w:val="Ninguno"/>
          <w:rFonts w:ascii="EB Garamond" w:cs="EB Garamond" w:hAnsi="EB Garamond" w:eastAsia="EB Garamond"/>
          <w:sz w:val="28"/>
          <w:szCs w:val="28"/>
          <w:vertAlign w:val="superscript"/>
        </w:rPr>
        <w:footnoteReference w:id="169"/>
      </w:r>
      <w:r>
        <w:rPr>
          <w:rStyle w:val="Ninguno"/>
          <w:rFonts w:ascii="EB Garamond" w:cs="EB Garamond" w:hAnsi="EB Garamond" w:eastAsia="EB Garamond"/>
          <w:sz w:val="28"/>
          <w:szCs w:val="28"/>
          <w:rtl w:val="0"/>
          <w:lang w:val="en-US"/>
        </w:rPr>
        <w:t xml:space="preserve"> Maslow's descriptions are written in the modern era in which, as he says, `normally we perceive everything as relevant to human concerns and more particularly to our own private selfish concerns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70"/>
      </w:r>
      <w:r>
        <w:rPr>
          <w:rStyle w:val="Ninguno"/>
          <w:rFonts w:ascii="EB Garamond" w:cs="EB Garamond" w:hAnsi="EB Garamond" w:eastAsia="EB Garamond"/>
          <w:sz w:val="28"/>
          <w:szCs w:val="28"/>
          <w:rtl w:val="0"/>
          <w:lang w:val="en-US"/>
        </w:rPr>
        <w:t xml:space="preserve"> However, it is possible to appreciate a similarity with the contemplative practice, which lead to the encounter with the divine realm in many mystical practises; but, mostly, it is akin to many descriptions about the role of imagination to dissolve the modern subject-object dichotomy.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Another important characteristic of the peak experience is that it carries an intrinsic value and meaning, fulfilling life itself with purpose.</w:t>
      </w:r>
      <w:r>
        <w:rPr>
          <w:rStyle w:val="Ninguno"/>
          <w:rFonts w:ascii="EB Garamond" w:cs="EB Garamond" w:hAnsi="EB Garamond" w:eastAsia="EB Garamond"/>
          <w:sz w:val="28"/>
          <w:szCs w:val="28"/>
          <w:vertAlign w:val="superscript"/>
        </w:rPr>
        <w:footnoteReference w:id="171"/>
      </w:r>
      <w:r>
        <w:rPr>
          <w:rStyle w:val="Ninguno"/>
          <w:rFonts w:ascii="EB Garamond" w:cs="EB Garamond" w:hAnsi="EB Garamond" w:eastAsia="EB Garamond"/>
          <w:sz w:val="28"/>
          <w:szCs w:val="28"/>
          <w:rtl w:val="0"/>
          <w:lang w:val="en-US"/>
        </w:rPr>
        <w:t xml:space="preserve"> In this regard, Mircea Eliade describes the notion of hierophany as the act of manifestation of the sacred in which the person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becomes aware of the sacred because it manifests itself, shows itself, as something wholly different from the profane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 and, as he says,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sacred is saturated with being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 xml:space="preserve">. </w:t>
      </w:r>
      <w:r>
        <w:rPr>
          <w:rStyle w:val="Ninguno"/>
          <w:rFonts w:ascii="EB Garamond" w:cs="EB Garamond" w:hAnsi="EB Garamond" w:eastAsia="EB Garamond"/>
          <w:sz w:val="28"/>
          <w:szCs w:val="28"/>
          <w:vertAlign w:val="superscript"/>
        </w:rPr>
        <w:footnoteReference w:id="172"/>
      </w:r>
      <w:r>
        <w:rPr>
          <w:rStyle w:val="Ninguno"/>
          <w:rFonts w:ascii="EB Garamond" w:cs="EB Garamond" w:hAnsi="EB Garamond" w:eastAsia="EB Garamond"/>
          <w:sz w:val="28"/>
          <w:szCs w:val="28"/>
          <w:rtl w:val="0"/>
          <w:lang w:val="en-US"/>
        </w:rPr>
        <w:t xml:space="preserve"> In addition, Rudhyar says that the purpose of astrology is not to predict events but to give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meaning of individual life and individual struggles in the process of self-actualization</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73"/>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Furthermore, Mircea also describes that when the sacred manifests itself, it reveals a fixed point, a centre.</w:t>
      </w:r>
      <w:r>
        <w:rPr>
          <w:rStyle w:val="Ninguno"/>
          <w:rFonts w:ascii="EB Garamond" w:cs="EB Garamond" w:hAnsi="EB Garamond" w:eastAsia="EB Garamond"/>
          <w:sz w:val="28"/>
          <w:szCs w:val="28"/>
          <w:vertAlign w:val="superscript"/>
        </w:rPr>
        <w:footnoteReference w:id="174"/>
      </w:r>
      <w:r>
        <w:rPr>
          <w:rStyle w:val="Ninguno"/>
          <w:rFonts w:ascii="EB Garamond" w:cs="EB Garamond" w:hAnsi="EB Garamond" w:eastAsia="EB Garamond"/>
          <w:sz w:val="28"/>
          <w:szCs w:val="28"/>
          <w:rtl w:val="0"/>
          <w:lang w:val="en-US"/>
        </w:rPr>
        <w:t xml:space="preserve"> Similarly, in a peak experience, Maslow describes that the self is affirmed, and, because of it, personal prejudices and narrow thinking are transcended.</w:t>
      </w:r>
      <w:r>
        <w:rPr>
          <w:rStyle w:val="Ninguno"/>
          <w:rFonts w:ascii="EB Garamond" w:cs="EB Garamond" w:hAnsi="EB Garamond" w:eastAsia="EB Garamond"/>
          <w:sz w:val="28"/>
          <w:szCs w:val="28"/>
          <w:vertAlign w:val="superscript"/>
        </w:rPr>
        <w:footnoteReference w:id="175"/>
      </w:r>
      <w:r>
        <w:rPr>
          <w:rStyle w:val="Ninguno"/>
          <w:rFonts w:ascii="EB Garamond" w:cs="EB Garamond" w:hAnsi="EB Garamond" w:eastAsia="EB Garamond"/>
          <w:sz w:val="28"/>
          <w:szCs w:val="28"/>
          <w:rtl w:val="0"/>
          <w:lang w:val="en-US"/>
        </w:rPr>
        <w:t xml:space="preserve"> The person surrenders to the experience, which is welcomed as a valuable end in itself rather than a means by which the individual can fulfil its personal desires and purposes that have been projected on the experience as an object.</w:t>
      </w:r>
      <w:r>
        <w:rPr>
          <w:rStyle w:val="Ninguno"/>
          <w:rFonts w:ascii="EB Garamond" w:cs="EB Garamond" w:hAnsi="EB Garamond" w:eastAsia="EB Garamond"/>
          <w:sz w:val="28"/>
          <w:szCs w:val="28"/>
          <w:vertAlign w:val="superscript"/>
        </w:rPr>
        <w:footnoteReference w:id="176"/>
      </w:r>
      <w:r>
        <w:rPr>
          <w:rStyle w:val="Ninguno"/>
          <w:rFonts w:ascii="EB Garamond" w:cs="EB Garamond" w:hAnsi="EB Garamond" w:eastAsia="EB Garamond"/>
          <w:sz w:val="28"/>
          <w:szCs w:val="28"/>
          <w:rtl w:val="0"/>
          <w:lang w:val="en-US"/>
        </w:rPr>
        <w:t xml:space="preserve"> That is why, during such moments, the reality is perceived as good, coherent and desirable, and, hence, cognition is more receptive and humble than usual.</w:t>
      </w:r>
      <w:r>
        <w:rPr>
          <w:rStyle w:val="Ninguno"/>
          <w:rFonts w:ascii="EB Garamond" w:cs="EB Garamond" w:hAnsi="EB Garamond" w:eastAsia="EB Garamond"/>
          <w:sz w:val="28"/>
          <w:szCs w:val="28"/>
          <w:vertAlign w:val="superscript"/>
        </w:rPr>
        <w:footnoteReference w:id="177"/>
      </w:r>
      <w:r>
        <w:rPr>
          <w:rStyle w:val="Ninguno"/>
          <w:rFonts w:ascii="EB Garamond" w:cs="EB Garamond" w:hAnsi="EB Garamond" w:eastAsia="EB Garamond"/>
          <w:sz w:val="28"/>
          <w:szCs w:val="28"/>
          <w:rtl w:val="0"/>
          <w:lang w:val="en-US"/>
        </w:rPr>
        <w:t xml:space="preserve"> The world is perceived as ideal and in harmony with itself and the individual.</w:t>
      </w:r>
      <w:r>
        <w:rPr>
          <w:rStyle w:val="Ninguno"/>
          <w:rFonts w:ascii="EB Garamond" w:cs="EB Garamond" w:hAnsi="EB Garamond" w:eastAsia="EB Garamond"/>
          <w:sz w:val="28"/>
          <w:szCs w:val="28"/>
          <w:vertAlign w:val="superscript"/>
        </w:rPr>
        <w:footnoteReference w:id="178"/>
      </w:r>
      <w:r>
        <w:rPr>
          <w:rStyle w:val="Ninguno"/>
          <w:rFonts w:ascii="EB Garamond" w:cs="EB Garamond" w:hAnsi="EB Garamond" w:eastAsia="EB Garamond"/>
          <w:sz w:val="28"/>
          <w:szCs w:val="28"/>
          <w:rtl w:val="0"/>
          <w:lang w:val="en-US"/>
        </w:rPr>
        <w:t xml:space="preserve"> Maslow says:</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ind w:left="720" w:firstLine="0"/>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In peak-experiences, the dichotomies, polarities, and conflicts of life tend to be transcended or resolved. That is to say, there tends to be a moving towards the perception of unity and integration in the world. The person himself tends to move towards fusion, integration, and unity and away from splitting, conflicts, and oppositions.</w:t>
      </w:r>
      <w:r>
        <w:rPr>
          <w:rStyle w:val="Ninguno"/>
          <w:rFonts w:ascii="EB Garamond" w:cs="EB Garamond" w:hAnsi="EB Garamond" w:eastAsia="EB Garamond"/>
          <w:sz w:val="28"/>
          <w:szCs w:val="28"/>
          <w:vertAlign w:val="superscript"/>
        </w:rPr>
        <w:footnoteReference w:id="179"/>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Because of its characteristics, the peak experience helps people to become self-actualized, which is the highest realisation on Maslow's hierarchy of needs.</w:t>
      </w:r>
      <w:r>
        <w:rPr>
          <w:rStyle w:val="Ninguno"/>
          <w:rFonts w:ascii="EB Garamond" w:cs="EB Garamond" w:hAnsi="EB Garamond" w:eastAsia="EB Garamond"/>
          <w:sz w:val="28"/>
          <w:szCs w:val="28"/>
          <w:vertAlign w:val="superscript"/>
        </w:rPr>
        <w:footnoteReference w:id="180"/>
      </w:r>
      <w:r>
        <w:rPr>
          <w:rStyle w:val="Ninguno"/>
          <w:rFonts w:ascii="EB Garamond" w:cs="EB Garamond" w:hAnsi="EB Garamond" w:eastAsia="EB Garamond"/>
          <w:sz w:val="28"/>
          <w:szCs w:val="28"/>
          <w:rtl w:val="0"/>
          <w:lang w:val="en-US"/>
        </w:rPr>
        <w:t xml:space="preserve"> As I described before, Rudhyar argues similar characteristics as the purpose of humanistic astrology. According to Maslow, Self-realization triggered by a peak experience includes an encounter with the numinous, which provides meaning to the individual</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life; what is more, this unity with the whole is presented as the only environment in which the person can become realised.</w:t>
      </w:r>
      <w:r>
        <w:rPr>
          <w:rStyle w:val="Ninguno"/>
          <w:rFonts w:ascii="EB Garamond" w:cs="EB Garamond" w:hAnsi="EB Garamond" w:eastAsia="EB Garamond"/>
          <w:sz w:val="28"/>
          <w:szCs w:val="28"/>
          <w:vertAlign w:val="superscript"/>
        </w:rPr>
        <w:footnoteReference w:id="181"/>
      </w:r>
      <w:r>
        <w:rPr>
          <w:rStyle w:val="Ninguno"/>
          <w:rFonts w:ascii="EB Garamond" w:cs="EB Garamond" w:hAnsi="EB Garamond" w:eastAsia="EB Garamond"/>
          <w:sz w:val="28"/>
          <w:szCs w:val="28"/>
          <w:rtl w:val="0"/>
          <w:lang w:val="en-US"/>
        </w:rPr>
        <w:t xml:space="preserve"> Even if the term numinous can be used interchangeably with other similar expressions, such as religious, mystical, magical, holy, or sacred; it is commonly used among modern authors as a neutral and preferable term that can avoid a possible and easy misleading due to the intrinsic cultural meaning that they entail.</w:t>
      </w:r>
      <w:r>
        <w:rPr>
          <w:rStyle w:val="Ninguno"/>
          <w:rFonts w:ascii="EB Garamond" w:cs="EB Garamond" w:hAnsi="EB Garamond" w:eastAsia="EB Garamond"/>
          <w:sz w:val="28"/>
          <w:szCs w:val="28"/>
          <w:vertAlign w:val="superscript"/>
        </w:rPr>
        <w:footnoteReference w:id="182"/>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To resume, according to Maslow, the principal characteristics of peak experiences are the perception of the universe as a unity to which the person feels to belong in it, a feeling of coherence among all things of existence, an intense insight and revelation, loss of hierarchy and tendency to perceive all things as equally important, lost of a sense of time and space, which suggest that peak experience are the same to mystical experience in its essence.</w:t>
      </w:r>
      <w:r>
        <w:rPr>
          <w:rStyle w:val="Ninguno"/>
          <w:rFonts w:ascii="EB Garamond" w:cs="EB Garamond" w:hAnsi="EB Garamond" w:eastAsia="EB Garamond"/>
          <w:sz w:val="28"/>
          <w:szCs w:val="28"/>
          <w:vertAlign w:val="superscript"/>
        </w:rPr>
        <w:footnoteReference w:id="183"/>
      </w:r>
      <w:r>
        <w:rPr>
          <w:rStyle w:val="Ninguno"/>
          <w:rFonts w:ascii="EB Garamond" w:cs="EB Garamond" w:hAnsi="EB Garamond" w:eastAsia="EB Garamond"/>
          <w:sz w:val="28"/>
          <w:szCs w:val="28"/>
          <w:rtl w:val="0"/>
          <w:lang w:val="en-US"/>
        </w:rPr>
        <w:t xml:space="preserve"> In addition, ecstasy and transcendence experiences are at the core of the peak experience in the same way that religious revelation does.</w:t>
      </w:r>
      <w:r>
        <w:rPr>
          <w:rStyle w:val="Ninguno"/>
          <w:rFonts w:ascii="EB Garamond" w:cs="EB Garamond" w:hAnsi="EB Garamond" w:eastAsia="EB Garamond"/>
          <w:sz w:val="28"/>
          <w:szCs w:val="28"/>
          <w:vertAlign w:val="superscript"/>
        </w:rPr>
        <w:footnoteReference w:id="184"/>
      </w:r>
      <w:r>
        <w:rPr>
          <w:rStyle w:val="Ninguno"/>
          <w:rFonts w:ascii="EB Garamond" w:cs="EB Garamond" w:hAnsi="EB Garamond" w:eastAsia="EB Garamond"/>
          <w:sz w:val="28"/>
          <w:szCs w:val="28"/>
          <w:rtl w:val="0"/>
          <w:lang w:val="en-US"/>
        </w:rPr>
        <w:t xml:space="preserve"> In Maslow</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s words,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practically everything that happens in the peak-experiences, naturalistic though they are, could be listed under the headings of religious experiences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185"/>
      </w:r>
      <w:r>
        <w:rPr>
          <w:rStyle w:val="Ninguno"/>
          <w:rFonts w:ascii="EB Garamond" w:cs="EB Garamond" w:hAnsi="EB Garamond" w:eastAsia="EB Garamond"/>
          <w:sz w:val="28"/>
          <w:szCs w:val="28"/>
          <w:rtl w:val="0"/>
          <w:lang w:val="en-US"/>
        </w:rPr>
        <w:t xml:space="preserve"> This quote suggests that mystical experience and peak experiences are the same in their essence.</w:t>
      </w:r>
    </w:p>
    <w:p>
      <w:pPr>
        <w:pStyle w:val="Cuerpo A"/>
        <w:spacing w:before="240" w:after="240"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In her study, the astrologer and Jungian analyst Liz Greene does not distinguish peak experience from mystical experiences but raises some other features of mystical experiences such as a feeling of deep and profound peace, a new sense of individual purpose, a loss of concern about worldly problems, a sense that all the universe is alive and interconnected, and willingness to collaborate with others.</w:t>
      </w:r>
      <w:r>
        <w:rPr>
          <w:rStyle w:val="Ninguno"/>
          <w:rFonts w:ascii="EB Garamond" w:cs="EB Garamond" w:hAnsi="EB Garamond" w:eastAsia="EB Garamond"/>
          <w:sz w:val="28"/>
          <w:szCs w:val="28"/>
          <w:vertAlign w:val="superscript"/>
        </w:rPr>
        <w:footnoteReference w:id="186"/>
      </w:r>
      <w:r>
        <w:rPr>
          <w:rStyle w:val="Ninguno"/>
          <w:rFonts w:ascii="EB Garamond" w:cs="EB Garamond" w:hAnsi="EB Garamond" w:eastAsia="EB Garamond"/>
          <w:sz w:val="28"/>
          <w:szCs w:val="28"/>
          <w:rtl w:val="0"/>
          <w:lang w:val="en-US"/>
        </w:rPr>
        <w:t xml:space="preserve"> Moreover, a survey study with people from a religious context in United States developed a criteria for defining a mystical experience that includes intense emotions, feeling of oneness with the Universe or God, a sense of the ineffable, a change in the perception of time and the space surrounding, a feeling of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knowing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reorganisation of life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pt-PT"/>
        </w:rPr>
        <w:t>s priorities.</w:t>
      </w:r>
      <w:r>
        <w:rPr>
          <w:rStyle w:val="Ninguno"/>
          <w:rFonts w:ascii="EB Garamond" w:cs="EB Garamond" w:hAnsi="EB Garamond" w:eastAsia="EB Garamond"/>
          <w:sz w:val="28"/>
          <w:szCs w:val="28"/>
          <w:vertAlign w:val="superscript"/>
        </w:rPr>
        <w:footnoteReference w:id="187"/>
      </w:r>
      <w:r>
        <w:rPr>
          <w:rStyle w:val="Ninguno"/>
          <w:rFonts w:ascii="EB Garamond" w:cs="EB Garamond" w:hAnsi="EB Garamond" w:eastAsia="EB Garamond"/>
          <w:sz w:val="28"/>
          <w:szCs w:val="28"/>
          <w:rtl w:val="0"/>
          <w:lang w:val="en-US"/>
        </w:rPr>
        <w:t xml:space="preserve"> Notably, these characteristics were also described as forming elements of the peak experience as well.</w:t>
      </w:r>
    </w:p>
    <w:p>
      <w:pPr>
        <w:pStyle w:val="Cuerpo A"/>
        <w:spacing w:before="240" w:after="240"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David Ray Griffin, in his book </w:t>
      </w:r>
      <w:r>
        <w:rPr>
          <w:rStyle w:val="Ninguno"/>
          <w:rFonts w:ascii="EB Garamond" w:cs="EB Garamond" w:hAnsi="EB Garamond" w:eastAsia="EB Garamond"/>
          <w:i w:val="1"/>
          <w:iCs w:val="1"/>
          <w:sz w:val="28"/>
          <w:szCs w:val="28"/>
          <w:rtl w:val="0"/>
          <w:lang w:val="en-US"/>
        </w:rPr>
        <w:t>Archetypal Process</w:t>
      </w:r>
      <w:r>
        <w:rPr>
          <w:rStyle w:val="Ninguno"/>
          <w:rFonts w:ascii="EB Garamond" w:cs="EB Garamond" w:hAnsi="EB Garamond" w:eastAsia="EB Garamond"/>
          <w:sz w:val="28"/>
          <w:szCs w:val="28"/>
          <w:rtl w:val="0"/>
          <w:lang w:val="en-US"/>
        </w:rPr>
        <w:t>, describes mystical experience as a joyful experience in which the person encounters the numinous.</w:t>
      </w:r>
      <w:r>
        <w:rPr>
          <w:rStyle w:val="Ninguno"/>
          <w:rFonts w:ascii="EB Garamond" w:cs="EB Garamond" w:hAnsi="EB Garamond" w:eastAsia="EB Garamond"/>
          <w:sz w:val="28"/>
          <w:szCs w:val="28"/>
          <w:vertAlign w:val="superscript"/>
        </w:rPr>
        <w:footnoteReference w:id="188"/>
      </w:r>
      <w:r>
        <w:rPr>
          <w:rStyle w:val="Ninguno"/>
          <w:rFonts w:ascii="EB Garamond" w:cs="EB Garamond" w:hAnsi="EB Garamond" w:eastAsia="EB Garamond"/>
          <w:sz w:val="28"/>
          <w:szCs w:val="28"/>
          <w:rtl w:val="0"/>
          <w:lang w:val="en-US"/>
        </w:rPr>
        <w:t xml:space="preserve"> In addition, he says that a mystical experience means to notice qualities in all existing things as if it were some kind of revelation that shows up spontaneously from an interiority to conscious awareness.</w:t>
      </w:r>
      <w:r>
        <w:rPr>
          <w:rStyle w:val="Ninguno"/>
          <w:rFonts w:ascii="EB Garamond" w:cs="EB Garamond" w:hAnsi="EB Garamond" w:eastAsia="EB Garamond"/>
          <w:sz w:val="28"/>
          <w:szCs w:val="28"/>
          <w:vertAlign w:val="superscript"/>
        </w:rPr>
        <w:footnoteReference w:id="189"/>
      </w:r>
      <w:r>
        <w:rPr>
          <w:rStyle w:val="Ninguno"/>
          <w:rFonts w:ascii="EB Garamond" w:cs="EB Garamond" w:hAnsi="EB Garamond" w:eastAsia="EB Garamond"/>
          <w:sz w:val="28"/>
          <w:szCs w:val="28"/>
          <w:rtl w:val="0"/>
          <w:lang w:val="en-US"/>
        </w:rPr>
        <w:t xml:space="preserve"> For this to happen, the perceiving mind needs to turn from quantity to quality.</w:t>
      </w:r>
      <w:r>
        <w:rPr>
          <w:rStyle w:val="Ninguno"/>
          <w:rFonts w:ascii="EB Garamond" w:cs="EB Garamond" w:hAnsi="EB Garamond" w:eastAsia="EB Garamond"/>
          <w:sz w:val="28"/>
          <w:szCs w:val="28"/>
          <w:vertAlign w:val="superscript"/>
        </w:rPr>
        <w:footnoteReference w:id="190"/>
      </w:r>
      <w:r>
        <w:rPr>
          <w:rStyle w:val="Ninguno"/>
          <w:rFonts w:ascii="EB Garamond" w:cs="EB Garamond" w:hAnsi="EB Garamond" w:eastAsia="EB Garamond"/>
          <w:sz w:val="28"/>
          <w:szCs w:val="28"/>
          <w:rtl w:val="0"/>
          <w:lang w:val="en-US"/>
        </w:rPr>
        <w:t xml:space="preserve"> For instance, this notion of aesthetic experience as a perception of the quality of things can be correlated with Jung's idea of synchronicity. This phenomenon is described as a meaningful coincidence that simultaneously occurs between the inner process and external events, suggesting that time has qualities.</w:t>
      </w:r>
      <w:r>
        <w:rPr>
          <w:rStyle w:val="Ninguno"/>
          <w:rFonts w:ascii="EB Garamond" w:cs="EB Garamond" w:hAnsi="EB Garamond" w:eastAsia="EB Garamond"/>
          <w:sz w:val="28"/>
          <w:szCs w:val="28"/>
          <w:vertAlign w:val="superscript"/>
        </w:rPr>
        <w:footnoteReference w:id="191"/>
      </w:r>
      <w:r>
        <w:rPr>
          <w:rStyle w:val="Ninguno"/>
          <w:rFonts w:ascii="EB Garamond" w:cs="EB Garamond" w:hAnsi="EB Garamond" w:eastAsia="EB Garamond"/>
          <w:sz w:val="28"/>
          <w:szCs w:val="28"/>
          <w:rtl w:val="0"/>
          <w:lang w:val="en-US"/>
        </w:rPr>
        <w:t xml:space="preserve"> Synchronicity is also described as an encounter between psyche and matter that creates the spark of meaning, dissolving the modern subject-object dichotomy.</w:t>
      </w:r>
      <w:r>
        <w:rPr>
          <w:rStyle w:val="Ninguno"/>
          <w:rFonts w:ascii="EB Garamond" w:cs="EB Garamond" w:hAnsi="EB Garamond" w:eastAsia="EB Garamond"/>
          <w:sz w:val="28"/>
          <w:szCs w:val="28"/>
          <w:vertAlign w:val="superscript"/>
        </w:rPr>
        <w:footnoteReference w:id="192"/>
      </w:r>
      <w:r>
        <w:rPr>
          <w:rStyle w:val="Ninguno"/>
          <w:rFonts w:ascii="EB Garamond" w:cs="EB Garamond" w:hAnsi="EB Garamond" w:eastAsia="EB Garamond"/>
          <w:sz w:val="28"/>
          <w:szCs w:val="28"/>
          <w:rtl w:val="0"/>
          <w:lang w:val="en-US"/>
        </w:rPr>
        <w:t xml:space="preserve"> Moreover, according to Jung, human experience is conditioned by certain universal patterns according to archetypal principles, which usually remain unconscious.</w:t>
      </w:r>
      <w:r>
        <w:rPr>
          <w:rStyle w:val="Ninguno"/>
          <w:rFonts w:ascii="EB Garamond" w:cs="EB Garamond" w:hAnsi="EB Garamond" w:eastAsia="EB Garamond"/>
          <w:sz w:val="28"/>
          <w:szCs w:val="28"/>
          <w:vertAlign w:val="superscript"/>
        </w:rPr>
        <w:footnoteReference w:id="193"/>
      </w:r>
      <w:r>
        <w:rPr>
          <w:rStyle w:val="Ninguno"/>
          <w:rFonts w:ascii="EB Garamond" w:cs="EB Garamond" w:hAnsi="EB Garamond" w:eastAsia="EB Garamond"/>
          <w:sz w:val="28"/>
          <w:szCs w:val="28"/>
          <w:rtl w:val="0"/>
          <w:lang w:val="en-US"/>
        </w:rPr>
        <w:t xml:space="preserve"> That is to say, the human psyche also has an order and is patterned, and, thus, synchronicity can also be described as an aesthetic experience or, as Jung wrote, as an acausal orderedness.</w:t>
      </w:r>
      <w:r>
        <w:rPr>
          <w:rStyle w:val="Ninguno"/>
          <w:rFonts w:ascii="EB Garamond" w:cs="EB Garamond" w:hAnsi="EB Garamond" w:eastAsia="EB Garamond"/>
          <w:sz w:val="28"/>
          <w:szCs w:val="28"/>
          <w:vertAlign w:val="superscript"/>
        </w:rPr>
        <w:footnoteReference w:id="194"/>
      </w:r>
      <w:r>
        <w:rPr>
          <w:rStyle w:val="Ninguno"/>
          <w:rFonts w:ascii="EB Garamond" w:cs="EB Garamond" w:hAnsi="EB Garamond" w:eastAsia="EB Garamond"/>
          <w:sz w:val="28"/>
          <w:szCs w:val="28"/>
          <w:rtl w:val="0"/>
          <w:lang w:val="en-US"/>
        </w:rPr>
        <w:t xml:space="preserve"> He expressly states: `Synchronicity is a modern differentiation of the obsolete concept of correspondence, sympathy, and harmony`.</w:t>
      </w:r>
      <w:r>
        <w:rPr>
          <w:rStyle w:val="Ninguno"/>
          <w:rFonts w:ascii="EB Garamond" w:cs="EB Garamond" w:hAnsi="EB Garamond" w:eastAsia="EB Garamond"/>
          <w:sz w:val="28"/>
          <w:szCs w:val="28"/>
          <w:vertAlign w:val="superscript"/>
        </w:rPr>
        <w:footnoteReference w:id="195"/>
      </w:r>
      <w:r>
        <w:rPr>
          <w:rStyle w:val="Ninguno"/>
          <w:rFonts w:ascii="EB Garamond" w:cs="EB Garamond" w:hAnsi="EB Garamond" w:eastAsia="EB Garamond"/>
          <w:sz w:val="28"/>
          <w:szCs w:val="28"/>
          <w:rtl w:val="0"/>
          <w:lang w:val="en-US"/>
        </w:rPr>
        <w:t xml:space="preserve"> As I described above, these concepts that suggest the interconnection and coherence between all things are also related to peak and mystical experiences. </w:t>
      </w:r>
    </w:p>
    <w:p>
      <w:pPr>
        <w:pStyle w:val="Cuerpo A"/>
        <w:spacing w:before="240" w:after="240"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In addition, the psychiatrist, pioneer of transpersonal psychology and psychedelics and non-ordinary states of consciousness research, Stanislav Grof, coined the term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s-ES_tradnl"/>
        </w:rPr>
        <w:t>holotropic</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pt-PT"/>
        </w:rPr>
        <w:t>to refer to a subgroup of non-ordinary states of consciousness which are similar to those that shamans and ancient cultures experience during their initiatory rites of passage.</w:t>
      </w:r>
      <w:r>
        <w:rPr>
          <w:rStyle w:val="Ninguno"/>
          <w:rFonts w:ascii="EB Garamond" w:cs="EB Garamond" w:hAnsi="EB Garamond" w:eastAsia="EB Garamond"/>
          <w:sz w:val="28"/>
          <w:szCs w:val="28"/>
          <w:vertAlign w:val="superscript"/>
        </w:rPr>
        <w:footnoteReference w:id="196"/>
      </w:r>
      <w:r>
        <w:rPr>
          <w:rStyle w:val="Ninguno"/>
          <w:rFonts w:ascii="EB Garamond" w:cs="EB Garamond" w:hAnsi="EB Garamond" w:eastAsia="EB Garamond"/>
          <w:sz w:val="28"/>
          <w:szCs w:val="28"/>
          <w:rtl w:val="0"/>
          <w:lang w:val="en-US"/>
        </w:rPr>
        <w:t xml:space="preserve"> In the same way that Liz Greene does, Grof also relates this kind of state with those that were described by mystics of all ages and were used in the context of the greatest religions of the world such as Hinduism, Buddhism, Jainism, Taoism, Zoroastrianism, Islam, Judaism, and Christianity.</w:t>
      </w:r>
      <w:r>
        <w:rPr>
          <w:rStyle w:val="Ninguno"/>
          <w:rFonts w:ascii="EB Garamond" w:cs="EB Garamond" w:hAnsi="EB Garamond" w:eastAsia="EB Garamond"/>
          <w:sz w:val="28"/>
          <w:szCs w:val="28"/>
          <w:vertAlign w:val="superscript"/>
        </w:rPr>
        <w:footnoteReference w:id="197"/>
      </w:r>
      <w:r>
        <w:rPr>
          <w:rStyle w:val="Ninguno"/>
          <w:rFonts w:ascii="EB Garamond" w:cs="EB Garamond" w:hAnsi="EB Garamond" w:eastAsia="EB Garamond"/>
          <w:sz w:val="28"/>
          <w:szCs w:val="28"/>
          <w:rtl w:val="0"/>
          <w:lang w:val="en-US"/>
        </w:rPr>
        <w:t xml:space="preserve"> And he continues: </w:t>
      </w:r>
    </w:p>
    <w:p>
      <w:pPr>
        <w:pStyle w:val="Cuerpo A"/>
        <w:spacing w:before="240" w:after="240" w:line="360" w:lineRule="auto"/>
        <w:ind w:left="720" w:firstLine="0"/>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This astonishing idea is not new. In the ancient Indian Upanishads, the answer to the question: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Who am I?</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is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Tat tvam asi.</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This succinct Sanskrit sentence means literally: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Thou art That,</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rPr>
        <w:t xml:space="preserve">or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You are Godhead.</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It suggests that we are not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namarupa</w:t>
      </w:r>
      <w:r>
        <w:rPr>
          <w:rStyle w:val="Ninguno"/>
          <w:rFonts w:ascii="EB Garamond" w:cs="EB Garamond" w:hAnsi="EB Garamond" w:eastAsia="EB Garamond"/>
          <w:sz w:val="28"/>
          <w:szCs w:val="28"/>
          <w:rtl w:val="0"/>
          <w:lang w:val="en-US"/>
        </w:rPr>
        <w:t xml:space="preserve">’’ – </w:t>
      </w:r>
      <w:r>
        <w:rPr>
          <w:rStyle w:val="Ninguno"/>
          <w:rFonts w:ascii="EB Garamond" w:cs="EB Garamond" w:hAnsi="EB Garamond" w:eastAsia="EB Garamond"/>
          <w:sz w:val="28"/>
          <w:szCs w:val="28"/>
          <w:rtl w:val="0"/>
          <w:lang w:val="en-US"/>
        </w:rPr>
        <w:t>name and form (body/ego), but that our deepest identity is with a divine spark in our innermost being (Atman) which is ultimately identical with the supreme universal principle that creates the universe (Brahman). Hinduism is not the only religion that has made this discovery. The revelation concerning the identity of the individual with the divine is the ultimate secret that lies at the mystical core of all great spiritual traditions. The name for this principle could thus be the Tao, Buddha, Shiva (of Kashmir Shaivism), Cosmic Christ, Pleroma, Allah, and many others.</w:t>
      </w:r>
      <w:r>
        <w:rPr>
          <w:rStyle w:val="Ninguno"/>
          <w:rFonts w:ascii="EB Garamond" w:cs="EB Garamond" w:hAnsi="EB Garamond" w:eastAsia="EB Garamond"/>
          <w:sz w:val="28"/>
          <w:szCs w:val="28"/>
          <w:vertAlign w:val="superscript"/>
        </w:rPr>
        <w:footnoteReference w:id="198"/>
      </w:r>
    </w:p>
    <w:p>
      <w:pPr>
        <w:pStyle w:val="Cuerpo A"/>
        <w:spacing w:before="240" w:after="240" w:line="360" w:lineRule="auto"/>
        <w:jc w:val="both"/>
        <w:rPr>
          <w:rStyle w:val="Ninguno A"/>
          <w:rFonts w:ascii="EB Garamond" w:cs="EB Garamond" w:hAnsi="EB Garamond" w:eastAsia="EB Garamond"/>
          <w:sz w:val="28"/>
          <w:szCs w:val="28"/>
        </w:rPr>
      </w:pPr>
    </w:p>
    <w:p>
      <w:pPr>
        <w:pStyle w:val="Cuerpo A"/>
        <w:spacing w:before="240" w:after="240"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If self-realization can take place only when the person dissolves into the primordial unity as Maslow stated, in that case, it follows that holotropic states described by Grof correlate with mystical experiences at its core. Both have the potential to help the person to discover our true identity and our cosmic status since, in holotropic states, the person can identify with the Supracosmic and Metacosmic Void, primordial Emptiness and Nothingness that is conscious of itself.</w:t>
      </w:r>
      <w:r>
        <w:rPr>
          <w:rStyle w:val="Ninguno"/>
          <w:rFonts w:ascii="EB Garamond" w:cs="EB Garamond" w:hAnsi="EB Garamond" w:eastAsia="EB Garamond"/>
          <w:sz w:val="28"/>
          <w:szCs w:val="28"/>
          <w:vertAlign w:val="superscript"/>
        </w:rPr>
        <w:footnoteReference w:id="199"/>
      </w:r>
      <w:r>
        <w:rPr>
          <w:rStyle w:val="Ninguno"/>
          <w:rFonts w:ascii="EB Garamond" w:cs="EB Garamond" w:hAnsi="EB Garamond" w:eastAsia="EB Garamond"/>
          <w:sz w:val="28"/>
          <w:szCs w:val="28"/>
          <w:rtl w:val="0"/>
          <w:lang w:val="en-US"/>
        </w:rPr>
        <w:t xml:space="preserve"> He applied the term numinosity to transpersonal experiences that convey a sense that the person belongs to a higher order of reality, a sacred realm.</w:t>
      </w:r>
      <w:r>
        <w:rPr>
          <w:rStyle w:val="Ninguno"/>
          <w:rFonts w:ascii="EB Garamond" w:cs="EB Garamond" w:hAnsi="EB Garamond" w:eastAsia="EB Garamond"/>
          <w:sz w:val="28"/>
          <w:szCs w:val="28"/>
          <w:vertAlign w:val="superscript"/>
        </w:rPr>
        <w:footnoteReference w:id="200"/>
      </w:r>
    </w:p>
    <w:p>
      <w:pPr>
        <w:pStyle w:val="Cuerpo A"/>
        <w:spacing w:before="240" w:after="240" w:line="360" w:lineRule="auto"/>
        <w:jc w:val="both"/>
        <w:rPr>
          <w:rStyle w:val="Ninguno"/>
          <w:rFonts w:ascii="EB Garamond" w:cs="EB Garamond" w:hAnsi="EB Garamond" w:eastAsia="EB Garamond"/>
          <w:sz w:val="34"/>
          <w:szCs w:val="34"/>
        </w:rPr>
      </w:pPr>
      <w:r>
        <w:rPr>
          <w:rStyle w:val="Ninguno"/>
          <w:rFonts w:ascii="EB Garamond" w:cs="EB Garamond" w:hAnsi="EB Garamond" w:eastAsia="EB Garamond"/>
          <w:sz w:val="28"/>
          <w:szCs w:val="28"/>
          <w:rtl w:val="0"/>
          <w:lang w:val="en-US"/>
        </w:rPr>
        <w:t>However, the religious scholar Jeffrey Kripal underlines an interesting point about the modern studies of mystical experiences. He states that approaching the phenomenon of a mystical experience only as an intersubjective experience, as something that occurs only in the interiority of the subject, is a reductionism.</w:t>
      </w:r>
      <w:r>
        <w:rPr>
          <w:rStyle w:val="Ninguno"/>
          <w:rFonts w:ascii="EB Garamond" w:cs="EB Garamond" w:hAnsi="EB Garamond" w:eastAsia="EB Garamond"/>
          <w:sz w:val="28"/>
          <w:szCs w:val="28"/>
          <w:vertAlign w:val="superscript"/>
        </w:rPr>
        <w:footnoteReference w:id="201"/>
      </w:r>
      <w:r>
        <w:rPr>
          <w:rStyle w:val="Ninguno"/>
          <w:rFonts w:ascii="EB Garamond" w:cs="EB Garamond" w:hAnsi="EB Garamond" w:eastAsia="EB Garamond"/>
          <w:sz w:val="28"/>
          <w:szCs w:val="28"/>
          <w:rtl w:val="0"/>
          <w:lang w:val="en-US"/>
        </w:rPr>
        <w:t xml:space="preserve"> In contrast, he describes the spiritual phenomena as a participatory event that includes, but also transcends, inner experience.</w:t>
      </w:r>
      <w:r>
        <w:rPr>
          <w:rStyle w:val="Ninguno"/>
          <w:rFonts w:ascii="EB Garamond" w:cs="EB Garamond" w:hAnsi="EB Garamond" w:eastAsia="EB Garamond"/>
          <w:sz w:val="28"/>
          <w:szCs w:val="28"/>
          <w:vertAlign w:val="superscript"/>
        </w:rPr>
        <w:footnoteReference w:id="202"/>
      </w:r>
      <w:r>
        <w:rPr>
          <w:rStyle w:val="Ninguno"/>
          <w:rFonts w:ascii="EB Garamond" w:cs="EB Garamond" w:hAnsi="EB Garamond" w:eastAsia="EB Garamond"/>
          <w:sz w:val="28"/>
          <w:szCs w:val="28"/>
          <w:rtl w:val="0"/>
        </w:rPr>
        <w:t xml:space="preserve"> </w:t>
      </w:r>
    </w:p>
    <w:p>
      <w:pPr>
        <w:pStyle w:val="Cuerpo A"/>
        <w:spacing w:before="240" w:after="240"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In this respect, the transpersonal psychologist Jorge Ferrer also argues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participatory approach presents an enactive understanding of the sacred that conceives spiritual phenomena, experiences, and insights as cocreated events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03"/>
      </w:r>
      <w:r>
        <w:rPr>
          <w:rStyle w:val="Ninguno"/>
          <w:rFonts w:ascii="EB Garamond" w:cs="EB Garamond" w:hAnsi="EB Garamond" w:eastAsia="EB Garamond"/>
          <w:sz w:val="28"/>
          <w:szCs w:val="28"/>
          <w:rtl w:val="0"/>
          <w:lang w:val="en-US"/>
        </w:rPr>
        <w:t xml:space="preserve"> So, he presents mystic experience as a spontaneous manifestation of the sacred and as an encounter, similar to Eliade. However, Ferrer also argues that the enactive aspect of mystical experiences is only one dimension of this kind of co-creative events. He says that `spiritual cocreation has three interrelated dimensions: intrapersonal, interpersonal, and transpersonal. These dimensions respectively establish participatory spirituality as embodied (spirit within), relational (spirit in</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between), and enactive (spirit beyond)`.</w:t>
      </w:r>
      <w:r>
        <w:rPr>
          <w:rStyle w:val="Ninguno"/>
          <w:rFonts w:ascii="EB Garamond" w:cs="EB Garamond" w:hAnsi="EB Garamond" w:eastAsia="EB Garamond"/>
          <w:sz w:val="28"/>
          <w:szCs w:val="28"/>
          <w:vertAlign w:val="superscript"/>
        </w:rPr>
        <w:footnoteReference w:id="204"/>
      </w:r>
      <w:r>
        <w:rPr>
          <w:rStyle w:val="Ninguno"/>
          <w:rFonts w:ascii="EB Garamond" w:cs="EB Garamond" w:hAnsi="EB Garamond" w:eastAsia="EB Garamond"/>
          <w:sz w:val="28"/>
          <w:szCs w:val="28"/>
          <w:rtl w:val="0"/>
          <w:lang w:val="en-US"/>
        </w:rPr>
        <w:t xml:space="preserve"> Somewhere else, he describes these three dimensions as an interpersonal dimension (inner experience or spirit within);  an intrapersonal dimension (spiritual in-between), and a transpersonal one (spiritual beyond).</w:t>
      </w:r>
      <w:r>
        <w:rPr>
          <w:rStyle w:val="Ninguno"/>
          <w:rFonts w:ascii="EB Garamond" w:cs="EB Garamond" w:hAnsi="EB Garamond" w:eastAsia="EB Garamond"/>
          <w:sz w:val="28"/>
          <w:szCs w:val="28"/>
          <w:vertAlign w:val="superscript"/>
        </w:rPr>
        <w:footnoteReference w:id="205"/>
      </w:r>
      <w:r>
        <w:rPr>
          <w:rStyle w:val="Ninguno"/>
          <w:rFonts w:ascii="EB Garamond" w:cs="EB Garamond" w:hAnsi="EB Garamond" w:eastAsia="EB Garamond"/>
          <w:sz w:val="28"/>
          <w:szCs w:val="28"/>
          <w:rtl w:val="0"/>
          <w:lang w:val="en-US"/>
        </w:rPr>
        <w:t xml:space="preserve"> In his view, these three dimensions co-creates the spiritual phenomena in an exchange of transcendental and immanent energies.</w:t>
      </w:r>
    </w:p>
    <w:p>
      <w:pPr>
        <w:pStyle w:val="Cuerpo A"/>
        <w:spacing w:before="240" w:after="240"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s-ES_tradnl"/>
        </w:rPr>
        <w:t>Ferrer</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view is deeply inspired by the astrologer Richard Tarnas who was his teacher at the CIIS in San Francisco and one of his main influences from whom he adopted the participatory language and perspective.</w:t>
      </w:r>
      <w:r>
        <w:rPr>
          <w:rStyle w:val="Ninguno"/>
          <w:rFonts w:ascii="EB Garamond" w:cs="EB Garamond" w:hAnsi="EB Garamond" w:eastAsia="EB Garamond"/>
          <w:sz w:val="28"/>
          <w:szCs w:val="28"/>
          <w:vertAlign w:val="superscript"/>
        </w:rPr>
        <w:footnoteReference w:id="206"/>
      </w:r>
      <w:r>
        <w:rPr>
          <w:rStyle w:val="Ninguno"/>
          <w:rFonts w:ascii="EB Garamond" w:cs="EB Garamond" w:hAnsi="EB Garamond" w:eastAsia="EB Garamond"/>
          <w:sz w:val="28"/>
          <w:szCs w:val="28"/>
          <w:rtl w:val="0"/>
          <w:lang w:val="en-US"/>
        </w:rPr>
        <w:t xml:space="preserve"> In this regard, Tarnas describes that, from this participatory perspective,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human spirit does not merely prescribe nature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phenomenal order; rather, the spirit of nature brings forth its own order through the human mind</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 and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in such knowledge, the human mind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lives into</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the creative activity of nature. Then the world speaks its meaning through human consciousness</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07"/>
      </w:r>
      <w:r>
        <w:rPr>
          <w:rStyle w:val="Ninguno"/>
          <w:rFonts w:ascii="EB Garamond" w:cs="EB Garamond" w:hAnsi="EB Garamond" w:eastAsia="EB Garamond"/>
          <w:sz w:val="28"/>
          <w:szCs w:val="28"/>
          <w:rtl w:val="0"/>
          <w:lang w:val="en-US"/>
        </w:rPr>
        <w:t xml:space="preserve"> According to Tarnas, `the organizing principles of this epistemology are symbolic, nonliteral, and radically multivalent in character, suggesting a non-dualistic ontology that is metaphorically patterned.</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vertAlign w:val="superscript"/>
        </w:rPr>
        <w:footnoteReference w:id="208"/>
      </w:r>
      <w:r>
        <w:rPr>
          <w:rStyle w:val="Ninguno"/>
          <w:rFonts w:ascii="EB Garamond" w:cs="EB Garamond" w:hAnsi="EB Garamond" w:eastAsia="EB Garamond"/>
          <w:sz w:val="28"/>
          <w:szCs w:val="28"/>
          <w:rtl w:val="0"/>
          <w:lang w:val="en-US"/>
        </w:rPr>
        <w:t xml:space="preserve"> As Angela Voss noticed, Ferrer's participatory and pluralistic perspective is a postmodern view that rejects any a priori reality that has power and meaning in itself.</w:t>
      </w:r>
      <w:r>
        <w:rPr>
          <w:rStyle w:val="Ninguno"/>
          <w:rFonts w:ascii="EB Garamond" w:cs="EB Garamond" w:hAnsi="EB Garamond" w:eastAsia="EB Garamond"/>
          <w:sz w:val="28"/>
          <w:szCs w:val="28"/>
          <w:vertAlign w:val="superscript"/>
        </w:rPr>
        <w:footnoteReference w:id="209"/>
      </w:r>
      <w:r>
        <w:rPr>
          <w:rStyle w:val="Ninguno"/>
          <w:rFonts w:ascii="EB Garamond" w:cs="EB Garamond" w:hAnsi="EB Garamond" w:eastAsia="EB Garamond"/>
          <w:sz w:val="28"/>
          <w:szCs w:val="28"/>
          <w:rtl w:val="0"/>
          <w:lang w:val="en-US"/>
        </w:rPr>
        <w:t xml:space="preserve"> However, Tarnas argues that this participatory perspective incorporates the postmodern understanding of knowledge and yet goes beyond it.</w:t>
      </w:r>
      <w:r>
        <w:rPr>
          <w:rStyle w:val="Ninguno"/>
          <w:rFonts w:ascii="EB Garamond" w:cs="EB Garamond" w:hAnsi="EB Garamond" w:eastAsia="EB Garamond"/>
          <w:sz w:val="28"/>
          <w:szCs w:val="28"/>
          <w:vertAlign w:val="superscript"/>
        </w:rPr>
        <w:footnoteReference w:id="210"/>
      </w:r>
      <w:r>
        <w:rPr>
          <w:rStyle w:val="Ninguno"/>
          <w:rFonts w:ascii="EB Garamond" w:cs="EB Garamond" w:hAnsi="EB Garamond" w:eastAsia="EB Garamond"/>
          <w:sz w:val="28"/>
          <w:szCs w:val="28"/>
          <w:rtl w:val="0"/>
          <w:lang w:val="en-US"/>
        </w:rPr>
        <w:t xml:space="preserve"> He recognizes that this perspective is ontologically ambiguous, and recognizes the cosmic foundation of the human psyche and its central role as a vehicle of the universe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unfolding meaning in a participatory and dynamic dialogue between psyche and cosmos.</w:t>
      </w:r>
      <w:r>
        <w:rPr>
          <w:rStyle w:val="Ninguno"/>
          <w:rFonts w:ascii="EB Garamond" w:cs="EB Garamond" w:hAnsi="EB Garamond" w:eastAsia="EB Garamond"/>
          <w:sz w:val="28"/>
          <w:szCs w:val="28"/>
          <w:vertAlign w:val="superscript"/>
        </w:rPr>
        <w:footnoteReference w:id="211"/>
      </w:r>
      <w:r>
        <w:rPr>
          <w:rStyle w:val="Ninguno"/>
          <w:rFonts w:ascii="EB Garamond" w:cs="EB Garamond" w:hAnsi="EB Garamond" w:eastAsia="EB Garamond"/>
          <w:sz w:val="28"/>
          <w:szCs w:val="28"/>
          <w:rtl w:val="0"/>
        </w:rPr>
        <w:t xml:space="preserve"> </w:t>
      </w:r>
    </w:p>
    <w:p>
      <w:pPr>
        <w:pStyle w:val="Cuerpo A"/>
        <w:spacing w:before="240" w:after="240"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These contemporary ideas of participation between human and the universe seem to take the ancient phenomenon of participatory mystique back into our era. </w:t>
      </w:r>
      <w:r>
        <w:rPr>
          <w:rStyle w:val="Ninguno"/>
          <w:rFonts w:ascii="EB Garamond" w:cs="EB Garamond" w:hAnsi="EB Garamond" w:eastAsia="EB Garamond"/>
          <w:i w:val="1"/>
          <w:iCs w:val="1"/>
          <w:sz w:val="28"/>
          <w:szCs w:val="28"/>
          <w:rtl w:val="0"/>
          <w:lang w:val="fr-FR"/>
        </w:rPr>
        <w:t>Participation mystique</w:t>
      </w:r>
      <w:r>
        <w:rPr>
          <w:rStyle w:val="Ninguno"/>
          <w:rFonts w:ascii="EB Garamond" w:cs="EB Garamond" w:hAnsi="EB Garamond" w:eastAsia="EB Garamond"/>
          <w:sz w:val="28"/>
          <w:szCs w:val="28"/>
          <w:rtl w:val="0"/>
          <w:lang w:val="en-US"/>
        </w:rPr>
        <w:t xml:space="preserve"> is a term coined by anthropologist Lucien Levy-Brul to describe the primitive mind and sacred ritual. He argues that the primitive mind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does more than present his object to him: it possesses it and is possessed by it. It communes with it and participates in it, not only in the ideological, but also in the physical and mystic sense of the word`, and then he states, `The mind does not imagine it merely; it lives it.`</w:t>
      </w:r>
      <w:r>
        <w:rPr>
          <w:rStyle w:val="Ninguno"/>
          <w:rFonts w:ascii="EB Garamond" w:cs="EB Garamond" w:hAnsi="EB Garamond" w:eastAsia="EB Garamond"/>
          <w:sz w:val="28"/>
          <w:szCs w:val="28"/>
          <w:vertAlign w:val="superscript"/>
        </w:rPr>
        <w:footnoteReference w:id="212"/>
      </w:r>
      <w:r>
        <w:rPr>
          <w:rStyle w:val="Ninguno"/>
          <w:rFonts w:ascii="EB Garamond" w:cs="EB Garamond" w:hAnsi="EB Garamond" w:eastAsia="EB Garamond"/>
          <w:sz w:val="28"/>
          <w:szCs w:val="28"/>
          <w:rtl w:val="0"/>
          <w:lang w:val="en-US"/>
        </w:rPr>
        <w:t xml:space="preserve"> In saying this, L</w:t>
      </w:r>
      <w:r>
        <w:rPr>
          <w:rStyle w:val="Ninguno"/>
          <w:rFonts w:ascii="EB Garamond" w:cs="EB Garamond" w:hAnsi="EB Garamond" w:eastAsia="EB Garamond"/>
          <w:sz w:val="28"/>
          <w:szCs w:val="28"/>
          <w:rtl w:val="0"/>
          <w:lang w:val="en-US"/>
        </w:rPr>
        <w:t>é</w:t>
      </w:r>
      <w:r>
        <w:rPr>
          <w:rStyle w:val="Ninguno"/>
          <w:rFonts w:ascii="EB Garamond" w:cs="EB Garamond" w:hAnsi="EB Garamond" w:eastAsia="EB Garamond"/>
          <w:sz w:val="28"/>
          <w:szCs w:val="28"/>
          <w:rtl w:val="0"/>
          <w:lang w:val="en-US"/>
        </w:rPr>
        <w:t xml:space="preserve">vy-Bruhl clearly describes the difference between analogical and topological aspects of the symbol when he points out the importance of a different kind of mind, in his case the primitive imaginal mind, but also underlines the active participation of the whole body in the knowing. Moreover, he states that it is actually the mind, and not the subject, what lives the object to know it. It is not the subject who imagines, feels, or participates, but the mind. Imagination, therefore, can be seen as what Jorge Ferrer calls participatory knowing in which all the different faculties of human experience have the capacity to know from its particular perspective: somatic, cognitive, energetic, and so on. </w:t>
      </w:r>
    </w:p>
    <w:p>
      <w:pPr>
        <w:pStyle w:val="Cuerpo A"/>
        <w:spacing w:before="240" w:after="240"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Interestingly, astrologer and scholar Becca Tarnas presents a perspective of Jungian active imagination based on the participatory perspective developed by Ferrer. She considers active imagination as an emergency or an enaction of the encounter between the collective unconscious and the individual human imagination; they participate in each other and co-cocreate together to make the imaginal experience emerge.</w:t>
      </w:r>
      <w:r>
        <w:rPr>
          <w:rStyle w:val="Ninguno"/>
          <w:rFonts w:ascii="EB Garamond" w:cs="EB Garamond" w:hAnsi="EB Garamond" w:eastAsia="EB Garamond"/>
          <w:sz w:val="28"/>
          <w:szCs w:val="28"/>
          <w:vertAlign w:val="superscript"/>
        </w:rPr>
        <w:footnoteReference w:id="213"/>
      </w:r>
      <w:r>
        <w:rPr>
          <w:rStyle w:val="Ninguno"/>
          <w:rFonts w:ascii="EB Garamond" w:cs="EB Garamond" w:hAnsi="EB Garamond" w:eastAsia="EB Garamond"/>
          <w:sz w:val="28"/>
          <w:szCs w:val="28"/>
          <w:rtl w:val="0"/>
          <w:lang w:val="en-US"/>
        </w:rPr>
        <w:t xml:space="preserve"> The dimension of meanings revealed through imagination seems to be a liminal dimension, a transition. However, she also suggests that imagination is not simply a means of accessing the unconscious images in an objective sense as Jung seems to present from a modern point of view, but is a form of participation in those unconscious collective images. From the point of view of modern psychology, the meaning revealed through the faculty of imagination seems to be interpreted by a subject to whom an underlying order of reality is revealed. Thus, from this perspective, imagination applied to astrology could fall into the use of astrology as a personal tool for self-improvement and loses the potential of triggering a mystical experience which requires to dissolve all kinds of abstractions and constructions of the mind, associations, ideas and beliefs, to allow the revelation to happen. </w:t>
      </w:r>
    </w:p>
    <w:p>
      <w:pPr>
        <w:pStyle w:val="Cuerpo A"/>
        <w:spacing w:before="240" w:after="240" w:line="360" w:lineRule="auto"/>
        <w:jc w:val="both"/>
        <w:rPr>
          <w:rStyle w:val="Ninguno A"/>
          <w:rFonts w:ascii="EB Garamond" w:cs="EB Garamond" w:hAnsi="EB Garamond" w:eastAsia="EB Garamond"/>
          <w:sz w:val="28"/>
          <w:szCs w:val="28"/>
        </w:rPr>
      </w:pPr>
    </w:p>
    <w:p>
      <w:pPr>
        <w:pStyle w:val="Encabezamiento 2"/>
        <w:spacing w:before="240" w:after="240" w:line="360" w:lineRule="auto"/>
        <w:jc w:val="both"/>
        <w:rPr>
          <w:rStyle w:val="Ninguno"/>
          <w:rFonts w:ascii="EB Garamond" w:cs="EB Garamond" w:hAnsi="EB Garamond" w:eastAsia="EB Garamond"/>
          <w:b w:val="1"/>
          <w:bCs w:val="1"/>
        </w:rPr>
      </w:pPr>
      <w:bookmarkStart w:name="_fob9te" w:id="9"/>
      <w:bookmarkEnd w:id="9"/>
      <w:r>
        <w:rPr>
          <w:rStyle w:val="Ninguno"/>
          <w:rFonts w:ascii="EB Garamond" w:cs="EB Garamond" w:hAnsi="EB Garamond" w:eastAsia="EB Garamond"/>
          <w:b w:val="1"/>
          <w:bCs w:val="1"/>
          <w:rtl w:val="0"/>
        </w:rPr>
        <w:t>I</w:t>
      </w:r>
      <w:r>
        <w:rPr>
          <w:rStyle w:val="Ninguno"/>
          <w:rFonts w:ascii="EB Garamond" w:cs="EB Garamond" w:hAnsi="EB Garamond" w:eastAsia="EB Garamond"/>
          <w:b w:val="1"/>
          <w:bCs w:val="1"/>
          <w:rtl w:val="0"/>
          <w:lang w:val="en-US"/>
        </w:rPr>
        <w:t>MAGINATION, ASTROLOGY AND MYSTICAL EXPERIENCE</w:t>
      </w: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 astrologer Nicholas Campion describes that the sky was used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as a huge stage set for imaginal engagement between humanity and the cosmos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in many cultures.</w:t>
      </w:r>
      <w:r>
        <w:rPr>
          <w:rStyle w:val="Ninguno"/>
          <w:rFonts w:ascii="EB Garamond" w:cs="EB Garamond" w:hAnsi="EB Garamond" w:eastAsia="EB Garamond"/>
          <w:sz w:val="28"/>
          <w:szCs w:val="28"/>
          <w:vertAlign w:val="superscript"/>
        </w:rPr>
        <w:footnoteReference w:id="214"/>
      </w:r>
      <w:r>
        <w:rPr>
          <w:rStyle w:val="Ninguno"/>
          <w:rFonts w:ascii="EB Garamond" w:cs="EB Garamond" w:hAnsi="EB Garamond" w:eastAsia="EB Garamond"/>
          <w:sz w:val="28"/>
          <w:szCs w:val="28"/>
          <w:rtl w:val="0"/>
          <w:lang w:val="en-US"/>
        </w:rPr>
        <w:t xml:space="preserve"> He also argues that, in pre-modern cultures, Astrology was commonly related to the divine since the focus on the sky as a source of enlightenment and truth can be found in the basis of different myths of ancient cultures in which gods were associated with the solar, the moon, and the sky, the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high places</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was where the gods inhabited.</w:t>
      </w:r>
      <w:r>
        <w:rPr>
          <w:rStyle w:val="Ninguno"/>
          <w:rFonts w:ascii="EB Garamond" w:cs="EB Garamond" w:hAnsi="EB Garamond" w:eastAsia="EB Garamond"/>
          <w:sz w:val="28"/>
          <w:szCs w:val="28"/>
          <w:vertAlign w:val="superscript"/>
        </w:rPr>
        <w:footnoteReference w:id="215"/>
      </w:r>
      <w:r>
        <w:rPr>
          <w:rStyle w:val="Ninguno"/>
          <w:rFonts w:ascii="EB Garamond" w:cs="EB Garamond" w:hAnsi="EB Garamond" w:eastAsia="EB Garamond"/>
          <w:sz w:val="28"/>
          <w:szCs w:val="28"/>
          <w:rtl w:val="0"/>
          <w:lang w:val="en-US"/>
        </w:rPr>
        <w:t xml:space="preserve"> Moreover, cosmic order was perceived as divine in itself.</w:t>
      </w:r>
      <w:r>
        <w:rPr>
          <w:rStyle w:val="Ninguno"/>
          <w:rFonts w:ascii="EB Garamond" w:cs="EB Garamond" w:hAnsi="EB Garamond" w:eastAsia="EB Garamond"/>
          <w:sz w:val="28"/>
          <w:szCs w:val="28"/>
          <w:vertAlign w:val="superscript"/>
        </w:rPr>
        <w:footnoteReference w:id="216"/>
      </w:r>
      <w:r>
        <w:rPr>
          <w:rStyle w:val="Ninguno"/>
          <w:rFonts w:ascii="EB Garamond" w:cs="EB Garamond" w:hAnsi="EB Garamond" w:eastAsia="EB Garamond"/>
          <w:sz w:val="28"/>
          <w:szCs w:val="28"/>
          <w:rtl w:val="0"/>
          <w:lang w:val="en-US"/>
        </w:rPr>
        <w:t xml:space="preserve"> Liz Greene also states that ancient authors, in particular Plato, Plotinus, Iamblichus, as well as the Hermetic, Kabbalistic, Gnostic, and alchemical writers assert a relationship between mystical experience and the heavens.</w:t>
      </w:r>
      <w:r>
        <w:rPr>
          <w:rStyle w:val="Ninguno"/>
          <w:rFonts w:ascii="EB Garamond" w:cs="EB Garamond" w:hAnsi="EB Garamond" w:eastAsia="EB Garamond"/>
          <w:sz w:val="28"/>
          <w:szCs w:val="28"/>
          <w:vertAlign w:val="superscript"/>
        </w:rPr>
        <w:footnoteReference w:id="217"/>
      </w:r>
      <w:r>
        <w:rPr>
          <w:rStyle w:val="Ninguno"/>
          <w:rFonts w:ascii="EB Garamond" w:cs="EB Garamond" w:hAnsi="EB Garamond" w:eastAsia="EB Garamond"/>
          <w:sz w:val="28"/>
          <w:szCs w:val="28"/>
          <w:rtl w:val="0"/>
          <w:lang w:val="en-US"/>
        </w:rPr>
        <w:t xml:space="preserve"> So, appreciation of the sky seems to be used as a means by which ancient cultures engaged with something bigger than themselves that governed their lives, both personally, socially and politically, since information about decisions and actions on earth were revealed by the stars, the moon, the god and goddess in the heavens.</w:t>
      </w:r>
      <w:r>
        <w:rPr>
          <w:rStyle w:val="Ninguno"/>
          <w:rFonts w:ascii="EB Garamond" w:cs="EB Garamond" w:hAnsi="EB Garamond" w:eastAsia="EB Garamond"/>
          <w:sz w:val="28"/>
          <w:szCs w:val="28"/>
          <w:vertAlign w:val="superscript"/>
        </w:rPr>
        <w:footnoteReference w:id="218"/>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Furthermore, the sky and planetary gods were also perceived as organising principles, and it was through the sky how they communicate and encounter the spirits.</w:t>
      </w:r>
      <w:r>
        <w:rPr>
          <w:rStyle w:val="Ninguno"/>
          <w:rFonts w:ascii="EB Garamond" w:cs="EB Garamond" w:hAnsi="EB Garamond" w:eastAsia="EB Garamond"/>
          <w:sz w:val="28"/>
          <w:szCs w:val="28"/>
          <w:vertAlign w:val="superscript"/>
        </w:rPr>
        <w:footnoteReference w:id="219"/>
      </w:r>
      <w:r>
        <w:rPr>
          <w:rStyle w:val="Ninguno"/>
          <w:rFonts w:ascii="EB Garamond" w:cs="EB Garamond" w:hAnsi="EB Garamond" w:eastAsia="EB Garamond"/>
          <w:sz w:val="28"/>
          <w:szCs w:val="28"/>
          <w:rtl w:val="0"/>
          <w:lang w:val="en-US"/>
        </w:rPr>
        <w:t xml:space="preserve"> These organising principles can be related to the Pythagorean-Platonic notion of archetype as a mathematical principle which, then, in the 20th century,  will be recovered by Carl Jung, who defined archetypes as the fundamental principles of the human psyche.</w:t>
      </w:r>
      <w:r>
        <w:rPr>
          <w:rStyle w:val="Ninguno"/>
          <w:rFonts w:ascii="EB Garamond" w:cs="EB Garamond" w:hAnsi="EB Garamond" w:eastAsia="EB Garamond"/>
          <w:sz w:val="28"/>
          <w:szCs w:val="28"/>
          <w:vertAlign w:val="superscript"/>
        </w:rPr>
        <w:footnoteReference w:id="220"/>
      </w:r>
      <w:r>
        <w:rPr>
          <w:rStyle w:val="Ninguno"/>
          <w:rFonts w:ascii="EB Garamond" w:cs="EB Garamond" w:hAnsi="EB Garamond" w:eastAsia="EB Garamond"/>
          <w:sz w:val="28"/>
          <w:szCs w:val="28"/>
          <w:rtl w:val="0"/>
          <w:lang w:val="en-US"/>
        </w:rPr>
        <w:t xml:space="preserve"> In Classical Greek and Jung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depth psychology, these fundamental principles were seen as timeless universal patterns or forms that possess numinous character.</w:t>
      </w:r>
      <w:r>
        <w:rPr>
          <w:rStyle w:val="Ninguno"/>
          <w:rFonts w:ascii="EB Garamond" w:cs="EB Garamond" w:hAnsi="EB Garamond" w:eastAsia="EB Garamond"/>
          <w:sz w:val="28"/>
          <w:szCs w:val="28"/>
          <w:vertAlign w:val="superscript"/>
        </w:rPr>
        <w:footnoteReference w:id="221"/>
      </w:r>
      <w:r>
        <w:rPr>
          <w:rStyle w:val="Ninguno"/>
          <w:rFonts w:ascii="EB Garamond" w:cs="EB Garamond" w:hAnsi="EB Garamond" w:eastAsia="EB Garamond"/>
          <w:sz w:val="28"/>
          <w:szCs w:val="28"/>
          <w:rtl w:val="0"/>
          <w:lang w:val="en-US"/>
        </w:rPr>
        <w:t xml:space="preserve"> In addition, this notion of an ordered and patterned universe based on numerical ratio and geometrical forms influenced other worldviews, such as Kepler</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underlying harmony of the world and Plato</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proportions of the cosmos in terms of musical scale.</w:t>
      </w:r>
      <w:r>
        <w:rPr>
          <w:rStyle w:val="Ninguno"/>
          <w:rFonts w:ascii="EB Garamond" w:cs="EB Garamond" w:hAnsi="EB Garamond" w:eastAsia="EB Garamond"/>
          <w:sz w:val="28"/>
          <w:szCs w:val="28"/>
          <w:vertAlign w:val="superscript"/>
        </w:rPr>
        <w:footnoteReference w:id="222"/>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This perspective seems to take the appreciation of the sky as a potential for psyche's perception of the order and beauty of the cosmos, or, as Griffin says, psyche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aesthetics sensitivity. In this regard, Maslow argued that peak experience comes from aesthetic moments.</w:t>
      </w:r>
      <w:r>
        <w:rPr>
          <w:rStyle w:val="Ninguno"/>
          <w:rFonts w:ascii="EB Garamond" w:cs="EB Garamond" w:hAnsi="EB Garamond" w:eastAsia="EB Garamond"/>
          <w:sz w:val="28"/>
          <w:szCs w:val="28"/>
          <w:vertAlign w:val="superscript"/>
        </w:rPr>
        <w:footnoteReference w:id="223"/>
      </w:r>
      <w:r>
        <w:rPr>
          <w:rStyle w:val="Ninguno"/>
          <w:rFonts w:ascii="EB Garamond" w:cs="EB Garamond" w:hAnsi="EB Garamond" w:eastAsia="EB Garamond"/>
          <w:sz w:val="28"/>
          <w:szCs w:val="28"/>
          <w:rtl w:val="0"/>
          <w:lang w:val="en-US"/>
        </w:rPr>
        <w:t xml:space="preserve"> Aesthetic experience is also conceived as a supreme experience by which we know the world.</w:t>
      </w:r>
      <w:r>
        <w:rPr>
          <w:rStyle w:val="Ninguno"/>
          <w:rFonts w:ascii="EB Garamond" w:cs="EB Garamond" w:hAnsi="EB Garamond" w:eastAsia="EB Garamond"/>
          <w:sz w:val="28"/>
          <w:szCs w:val="28"/>
          <w:vertAlign w:val="superscript"/>
        </w:rPr>
        <w:footnoteReference w:id="224"/>
      </w:r>
      <w:r>
        <w:rPr>
          <w:rStyle w:val="Ninguno"/>
          <w:rFonts w:ascii="EB Garamond" w:cs="EB Garamond" w:hAnsi="EB Garamond" w:eastAsia="EB Garamond"/>
          <w:sz w:val="28"/>
          <w:szCs w:val="28"/>
          <w:rtl w:val="0"/>
          <w:lang w:val="en-US"/>
        </w:rPr>
        <w:t xml:space="preserve">  Moreover, ordinary conscious experience can move towards the unconscious through psyche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aesthetic sensitivity and, therefore, beyond modern individuality.</w:t>
      </w:r>
      <w:r>
        <w:rPr>
          <w:rStyle w:val="Ninguno"/>
          <w:rFonts w:ascii="EB Garamond" w:cs="EB Garamond" w:hAnsi="EB Garamond" w:eastAsia="EB Garamond"/>
          <w:sz w:val="28"/>
          <w:szCs w:val="28"/>
          <w:vertAlign w:val="superscript"/>
        </w:rPr>
        <w:footnoteReference w:id="225"/>
      </w:r>
      <w:r>
        <w:rPr>
          <w:rStyle w:val="Ninguno"/>
          <w:rFonts w:ascii="EB Garamond" w:cs="EB Garamond" w:hAnsi="EB Garamond" w:eastAsia="EB Garamond"/>
          <w:sz w:val="28"/>
          <w:szCs w:val="28"/>
          <w:rtl w:val="0"/>
          <w:lang w:val="en-US"/>
        </w:rPr>
        <w:t xml:space="preserve"> That is to say, the sky seems to bring to the person the sense of belonging to something bigger and, thus, can potentially lead the personal consciousness toward revelation and insight, or, in the common expression, the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ru-RU"/>
        </w:rPr>
        <w:t>a-ha! moment</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26"/>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Thus, in pre-modern cultures, Astrology seems to be related to a sacred aspect of reality by connecting the planets, the divine and human experience in an interconnected and complex whole; and, therefore, unified the separation between the divine and human, the above and the below. However, it has been argued that modern psychological astrology is oriented to be seen as a means or a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tool</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for personal achievements such as self-knowledge, improvement and healing, to solve problems or to control the possible event in the future.</w:t>
      </w:r>
      <w:r>
        <w:rPr>
          <w:rStyle w:val="Ninguno"/>
          <w:rFonts w:ascii="EB Garamond" w:cs="EB Garamond" w:hAnsi="EB Garamond" w:eastAsia="EB Garamond"/>
          <w:sz w:val="28"/>
          <w:szCs w:val="28"/>
          <w:vertAlign w:val="superscript"/>
        </w:rPr>
        <w:footnoteReference w:id="227"/>
      </w:r>
      <w:r>
        <w:rPr>
          <w:rStyle w:val="Ninguno"/>
          <w:rFonts w:ascii="EB Garamond" w:cs="EB Garamond" w:hAnsi="EB Garamond" w:eastAsia="EB Garamond"/>
          <w:sz w:val="28"/>
          <w:szCs w:val="28"/>
          <w:rtl w:val="0"/>
          <w:lang w:val="en-US"/>
        </w:rPr>
        <w:t xml:space="preserve"> It tends to view the natal chart as a map of the psyche, the underlying archetypal structure of the individual, or the blueprint of what may become.</w:t>
      </w:r>
      <w:r>
        <w:rPr>
          <w:rStyle w:val="Ninguno"/>
          <w:rFonts w:ascii="EB Garamond" w:cs="EB Garamond" w:hAnsi="EB Garamond" w:eastAsia="EB Garamond"/>
          <w:sz w:val="28"/>
          <w:szCs w:val="28"/>
          <w:vertAlign w:val="superscript"/>
        </w:rPr>
        <w:footnoteReference w:id="228"/>
      </w:r>
      <w:r>
        <w:rPr>
          <w:rStyle w:val="Ninguno"/>
          <w:rFonts w:ascii="EB Garamond" w:cs="EB Garamond" w:hAnsi="EB Garamond" w:eastAsia="EB Garamond"/>
          <w:sz w:val="28"/>
          <w:szCs w:val="28"/>
          <w:rtl w:val="0"/>
          <w:lang w:val="en-US"/>
        </w:rPr>
        <w:t xml:space="preserve"> The correlation between planetary alignment and psychological complexes is maybe the feature that most characterizes modern astrology and its intersection with psychology when it emerged as a field of study in the 19th-century.</w:t>
      </w:r>
      <w:r>
        <w:rPr>
          <w:rStyle w:val="Ninguno"/>
          <w:rFonts w:ascii="EB Garamond" w:cs="EB Garamond" w:hAnsi="EB Garamond" w:eastAsia="EB Garamond"/>
          <w:sz w:val="28"/>
          <w:szCs w:val="28"/>
          <w:vertAlign w:val="superscript"/>
        </w:rPr>
        <w:footnoteReference w:id="229"/>
      </w:r>
      <w:r>
        <w:rPr>
          <w:rStyle w:val="Ninguno"/>
          <w:rFonts w:ascii="EB Garamond" w:cs="EB Garamond" w:hAnsi="EB Garamond" w:eastAsia="EB Garamond"/>
          <w:sz w:val="28"/>
          <w:szCs w:val="28"/>
          <w:rtl w:val="0"/>
          <w:lang w:val="en-US"/>
        </w:rPr>
        <w:t xml:space="preserve"> In line with the new interests of the time, astrology started to move towards a person-centered orientation as a tool for insight into the character and inner complexes rather than a method of prediction, giving birth to the so-called humanistic or psychological astrology. Interestingly, A survey made by Nicholas Campion indicates that the majority of astrologers at each of two conferences, one in the UK and one in the USA, view astrology as a path to spiritual growth.</w:t>
      </w:r>
      <w:r>
        <w:rPr>
          <w:rStyle w:val="Ninguno"/>
          <w:rFonts w:ascii="EB Garamond" w:cs="EB Garamond" w:hAnsi="EB Garamond" w:eastAsia="EB Garamond"/>
          <w:sz w:val="28"/>
          <w:szCs w:val="28"/>
          <w:vertAlign w:val="superscript"/>
        </w:rPr>
        <w:footnoteReference w:id="230"/>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Campion argues that this kind of person-centred astrology is embedded in  New Age ideology which, at the same time, found its roots in classical Platonic, Gnostic and Hermetic cosmology based on the idea of the cosmos as essentially spiritual, alive and intelligent, and human being is a microcosmos of the order of the universe for what it contains the divine within themselves.</w:t>
      </w:r>
      <w:r>
        <w:rPr>
          <w:rStyle w:val="Ninguno"/>
          <w:rFonts w:ascii="EB Garamond" w:cs="EB Garamond" w:hAnsi="EB Garamond" w:eastAsia="EB Garamond"/>
          <w:sz w:val="28"/>
          <w:szCs w:val="28"/>
          <w:vertAlign w:val="superscript"/>
        </w:rPr>
        <w:footnoteReference w:id="231"/>
      </w:r>
      <w:r>
        <w:rPr>
          <w:rStyle w:val="Ninguno"/>
          <w:rFonts w:ascii="EB Garamond" w:cs="EB Garamond" w:hAnsi="EB Garamond" w:eastAsia="EB Garamond"/>
          <w:sz w:val="28"/>
          <w:szCs w:val="28"/>
          <w:rtl w:val="0"/>
          <w:lang w:val="en-US"/>
        </w:rPr>
        <w:t xml:space="preserve"> Moreover, Campion suggests that there are two types of new-age astrology: one is oriented to personal development and is derived mainly from Carl Jung, and the other one emphasises spiritual evolution and is derived from Alan Leo (1860-1917).</w:t>
      </w:r>
      <w:r>
        <w:rPr>
          <w:rStyle w:val="Ninguno"/>
          <w:rFonts w:ascii="EB Garamond" w:cs="EB Garamond" w:hAnsi="EB Garamond" w:eastAsia="EB Garamond"/>
          <w:sz w:val="28"/>
          <w:szCs w:val="28"/>
          <w:vertAlign w:val="superscript"/>
        </w:rPr>
        <w:footnoteReference w:id="232"/>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However, I do not make that distinction since I understand them as rooted in the same platonic and hermetic tradition. In her latest book of Jung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studies on astrology, Liz Greene has demonstrated that Carl Jung was well informed about Leo</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work, and it had a strong influence on Jung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s astrological imagery in his </w:t>
      </w:r>
      <w:r>
        <w:rPr>
          <w:rStyle w:val="Ninguno"/>
          <w:rFonts w:ascii="EB Garamond" w:cs="EB Garamond" w:hAnsi="EB Garamond" w:eastAsia="EB Garamond"/>
          <w:i w:val="1"/>
          <w:iCs w:val="1"/>
          <w:sz w:val="28"/>
          <w:szCs w:val="28"/>
          <w:rtl w:val="0"/>
        </w:rPr>
        <w:t>Liber Novus</w:t>
      </w:r>
      <w:r>
        <w:rPr>
          <w:rStyle w:val="Ninguno"/>
          <w:rFonts w:ascii="EB Garamond" w:cs="EB Garamond" w:hAnsi="EB Garamond" w:eastAsia="EB Garamond"/>
          <w:sz w:val="28"/>
          <w:szCs w:val="28"/>
          <w:rtl w:val="0"/>
          <w:lang w:val="en-US"/>
        </w:rPr>
        <w:t>, in particular the noetic solar power as the focus of the inner journey.</w:t>
      </w:r>
      <w:r>
        <w:rPr>
          <w:rStyle w:val="Ninguno"/>
          <w:rFonts w:ascii="EB Garamond" w:cs="EB Garamond" w:hAnsi="EB Garamond" w:eastAsia="EB Garamond"/>
          <w:sz w:val="28"/>
          <w:szCs w:val="28"/>
          <w:vertAlign w:val="superscript"/>
        </w:rPr>
        <w:footnoteReference w:id="233"/>
      </w:r>
      <w:r>
        <w:rPr>
          <w:rStyle w:val="Ninguno"/>
          <w:rFonts w:ascii="EB Garamond" w:cs="EB Garamond" w:hAnsi="EB Garamond" w:eastAsia="EB Garamond"/>
          <w:sz w:val="28"/>
          <w:szCs w:val="28"/>
          <w:rtl w:val="0"/>
          <w:lang w:val="en-US"/>
        </w:rPr>
        <w:t xml:space="preserve"> Moreover, Greene had demonstrated that Jung was not only well informed by reading the astrological work of Alan Leo but, even further, he also was accumulating all the technics and mathematical calculations of astrology; that is to say that Jung was learning to calculate and interpret a birth chart from the instructions given in Leo</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books.</w:t>
      </w:r>
      <w:r>
        <w:rPr>
          <w:rStyle w:val="Ninguno"/>
          <w:rFonts w:ascii="EB Garamond" w:cs="EB Garamond" w:hAnsi="EB Garamond" w:eastAsia="EB Garamond"/>
          <w:sz w:val="28"/>
          <w:szCs w:val="28"/>
          <w:vertAlign w:val="superscript"/>
        </w:rPr>
        <w:footnoteReference w:id="234"/>
      </w:r>
      <w:r>
        <w:rPr>
          <w:rStyle w:val="Ninguno"/>
          <w:rFonts w:ascii="EB Garamond" w:cs="EB Garamond" w:hAnsi="EB Garamond" w:eastAsia="EB Garamond"/>
          <w:sz w:val="28"/>
          <w:szCs w:val="28"/>
          <w:rtl w:val="0"/>
          <w:lang w:val="en-US"/>
        </w:rPr>
        <w:t xml:space="preserve"> Based on this evidence, I consider Carl Jung not only as a psychiatrist but also as an astrologer.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According to Liz Greene, it was Alan Leo who brought astrology as a tool for personal knowledge instead of a method of prediction.</w:t>
      </w:r>
      <w:r>
        <w:rPr>
          <w:rStyle w:val="Ninguno"/>
          <w:rFonts w:ascii="EB Garamond" w:cs="EB Garamond" w:hAnsi="EB Garamond" w:eastAsia="EB Garamond"/>
          <w:sz w:val="28"/>
          <w:szCs w:val="28"/>
          <w:vertAlign w:val="superscript"/>
        </w:rPr>
        <w:footnoteReference w:id="235"/>
      </w:r>
      <w:r>
        <w:rPr>
          <w:rStyle w:val="Ninguno"/>
          <w:rFonts w:ascii="EB Garamond" w:cs="EB Garamond" w:hAnsi="EB Garamond" w:eastAsia="EB Garamond"/>
          <w:sz w:val="28"/>
          <w:szCs w:val="28"/>
          <w:rtl w:val="0"/>
          <w:lang w:val="en-US"/>
        </w:rPr>
        <w:t xml:space="preserve"> However, it is commonly associated with Dane Rudhyar, whose pioneering work combined the theories of depth psychology and Jungian thought that were also flourishing at that time.</w:t>
      </w:r>
      <w:r>
        <w:rPr>
          <w:rStyle w:val="Ninguno"/>
          <w:rFonts w:ascii="EB Garamond" w:cs="EB Garamond" w:hAnsi="EB Garamond" w:eastAsia="EB Garamond"/>
          <w:sz w:val="28"/>
          <w:szCs w:val="28"/>
          <w:vertAlign w:val="superscript"/>
        </w:rPr>
        <w:footnoteReference w:id="236"/>
      </w:r>
      <w:r>
        <w:rPr>
          <w:rStyle w:val="Ninguno"/>
          <w:rFonts w:ascii="EB Garamond" w:cs="EB Garamond" w:hAnsi="EB Garamond" w:eastAsia="EB Garamond"/>
          <w:sz w:val="28"/>
          <w:szCs w:val="28"/>
          <w:rtl w:val="0"/>
          <w:lang w:val="en-US"/>
        </w:rPr>
        <w:t xml:space="preserve"> Rudhyar starts his first book with a decisive statement that marks, like a manifesto, a decisive divorce between the so-called traditional and modern astrology. He says,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If we want to understand the living essence of astrology we must forget Ptolemy and the type of mediaeval astrology from which present-day astrology is mostly derived</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 xml:space="preserve">along, of course, with its causality and objectifying model. </w:t>
      </w:r>
      <w:r>
        <w:rPr>
          <w:rStyle w:val="Ninguno"/>
          <w:rFonts w:ascii="EB Garamond" w:cs="EB Garamond" w:hAnsi="EB Garamond" w:eastAsia="EB Garamond"/>
          <w:sz w:val="28"/>
          <w:szCs w:val="28"/>
          <w:vertAlign w:val="superscript"/>
        </w:rPr>
        <w:footnoteReference w:id="237"/>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Like Rudhyar, many other contemporary astrologers seem to support the idea of a reorientation in the threshold of the 19th and 20th centuries between traditional astrology, which is considered to be the astrology developed and practised during the Hellenistic, mediaeval and renaissance cultures, and Rudhyar defines as an event-oriented type of astrology; while modern psychological astrology, on the other hand, is oriented to the person.</w:t>
      </w:r>
      <w:r>
        <w:rPr>
          <w:rStyle w:val="Ninguno"/>
          <w:rFonts w:ascii="EB Garamond" w:cs="EB Garamond" w:hAnsi="EB Garamond" w:eastAsia="EB Garamond"/>
          <w:sz w:val="28"/>
          <w:szCs w:val="28"/>
          <w:vertAlign w:val="superscript"/>
        </w:rPr>
        <w:footnoteReference w:id="238"/>
      </w:r>
      <w:r>
        <w:rPr>
          <w:rStyle w:val="Ninguno"/>
          <w:rFonts w:ascii="EB Garamond" w:cs="EB Garamond" w:hAnsi="EB Garamond" w:eastAsia="EB Garamond"/>
          <w:sz w:val="28"/>
          <w:szCs w:val="28"/>
          <w:rtl w:val="0"/>
          <w:lang w:val="en-US"/>
        </w:rPr>
        <w:t xml:space="preserve"> Thus, the goal of psychological astrology, rather than predicting the future, is to assist the individual on the path towards awakening the potential of freedom and fulfilment; it is emancipatory rather than constricting.</w:t>
      </w:r>
      <w:r>
        <w:rPr>
          <w:rStyle w:val="Ninguno"/>
          <w:rFonts w:ascii="EB Garamond" w:cs="EB Garamond" w:hAnsi="EB Garamond" w:eastAsia="EB Garamond"/>
          <w:sz w:val="28"/>
          <w:szCs w:val="28"/>
          <w:vertAlign w:val="superscript"/>
        </w:rPr>
        <w:footnoteReference w:id="239"/>
      </w:r>
      <w:r>
        <w:rPr>
          <w:rStyle w:val="Ninguno"/>
          <w:rFonts w:ascii="EB Garamond" w:cs="EB Garamond" w:hAnsi="EB Garamond" w:eastAsia="EB Garamond"/>
          <w:sz w:val="28"/>
          <w:szCs w:val="28"/>
          <w:rtl w:val="0"/>
          <w:lang w:val="en-US"/>
        </w:rPr>
        <w:t xml:space="preserve"> It has a teleological level since it is a movement towards an open space full of possibilities, an unfolding of some essence in latency. On the contrary, traditional astrology had served as the principal basis for arriving at a definition.</w:t>
      </w:r>
      <w:r>
        <w:rPr>
          <w:rStyle w:val="Ninguno"/>
          <w:rFonts w:ascii="EB Garamond" w:cs="EB Garamond" w:hAnsi="EB Garamond" w:eastAsia="EB Garamond"/>
          <w:sz w:val="28"/>
          <w:szCs w:val="28"/>
          <w:vertAlign w:val="superscript"/>
        </w:rPr>
        <w:footnoteReference w:id="240"/>
      </w:r>
      <w:r>
        <w:rPr>
          <w:rStyle w:val="Ninguno"/>
          <w:rFonts w:ascii="EB Garamond" w:cs="EB Garamond" w:hAnsi="EB Garamond" w:eastAsia="EB Garamond"/>
          <w:sz w:val="28"/>
          <w:szCs w:val="28"/>
          <w:rtl w:val="0"/>
          <w:lang w:val="en-US"/>
        </w:rPr>
        <w:t xml:space="preserve"> Furthermore, Tarnas states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essential structure of this emerging astrological paradigm appears to be focused not on predicting specific concrete outcomes but rather on the precise discernment of archetypal dynamics and their complex unfolding in time</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41"/>
      </w:r>
      <w:r>
        <w:rPr>
          <w:rStyle w:val="Ninguno"/>
          <w:rFonts w:ascii="EB Garamond" w:cs="EB Garamond" w:hAnsi="EB Garamond" w:eastAsia="EB Garamond"/>
          <w:sz w:val="28"/>
          <w:szCs w:val="28"/>
          <w:rtl w:val="0"/>
          <w:lang w:val="en-US"/>
        </w:rPr>
        <w:t xml:space="preserve"> And then, he continues:</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ind w:left="720" w:firstLine="0"/>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`this emerging development of the astrological tradition can be seen as essentially continuing and deepening the depth psychology project: namely, to make conscious the unconscious, to help free the conscious self from being a puppet of unconscious forces`.</w:t>
      </w:r>
      <w:r>
        <w:rPr>
          <w:rStyle w:val="Ninguno"/>
          <w:rFonts w:ascii="EB Garamond" w:cs="EB Garamond" w:hAnsi="EB Garamond" w:eastAsia="EB Garamond"/>
          <w:sz w:val="28"/>
          <w:szCs w:val="28"/>
          <w:vertAlign w:val="superscript"/>
        </w:rPr>
        <w:footnoteReference w:id="242"/>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However, the project to which Tarnas refers in regards to the emerging astrology, namely, psychological astrology, also finds its roots in Platonic and Neoplatonic thought if it is considered that Jung</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s ideas have tremendously shaped modern psychological astrology.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In the perspective of traditional astrology, the individual is seen as subject to the impact of external forces.</w:t>
      </w:r>
      <w:r>
        <w:rPr>
          <w:rStyle w:val="Ninguno"/>
          <w:rFonts w:ascii="EB Garamond" w:cs="EB Garamond" w:hAnsi="EB Garamond" w:eastAsia="EB Garamond"/>
          <w:sz w:val="28"/>
          <w:szCs w:val="28"/>
          <w:vertAlign w:val="superscript"/>
        </w:rPr>
        <w:footnoteReference w:id="243"/>
      </w:r>
      <w:r>
        <w:rPr>
          <w:rStyle w:val="Ninguno"/>
          <w:rFonts w:ascii="EB Garamond" w:cs="EB Garamond" w:hAnsi="EB Garamond" w:eastAsia="EB Garamond"/>
          <w:sz w:val="28"/>
          <w:szCs w:val="28"/>
          <w:rtl w:val="0"/>
          <w:lang w:val="en-US"/>
        </w:rPr>
        <w:t xml:space="preserve"> Tarnas, who like Rudhyar, also believes in a reemergence of Western astrology in the twentieth century, says: `For numerous schools and theorists of ancient and mediaeval astrology, the horoscope revealed a person</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destined fate, and the celestial powers governed human lives with a more or less rigid sovereignty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44"/>
      </w:r>
      <w:r>
        <w:rPr>
          <w:rStyle w:val="Ninguno"/>
          <w:rFonts w:ascii="EB Garamond" w:cs="EB Garamond" w:hAnsi="EB Garamond" w:eastAsia="EB Garamond"/>
          <w:sz w:val="28"/>
          <w:szCs w:val="28"/>
          <w:vertAlign w:val="superscript"/>
          <w:rtl w:val="0"/>
        </w:rPr>
        <w:t xml:space="preserve"> </w:t>
      </w:r>
      <w:r>
        <w:rPr>
          <w:rStyle w:val="Ninguno"/>
          <w:rFonts w:ascii="EB Garamond" w:cs="EB Garamond" w:hAnsi="EB Garamond" w:eastAsia="EB Garamond"/>
          <w:sz w:val="28"/>
          <w:szCs w:val="28"/>
          <w:rtl w:val="0"/>
          <w:lang w:val="en-US"/>
        </w:rPr>
        <w:t xml:space="preserve">Moreover, Tarnas says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the universe is so ordered that the movements and patterns of the heavens are synchronously correlated with the movements and patterns of human affairs in such a manner as to be both intelligible and meaningful to the human mind</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45"/>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From the  modern perspective made by psychological astrologers cited above, traditional and modern psychological astrology seems to have different goals and purposes at the moment of interpretation of astrological symbolism; therefore, the attitude to the symbol is also different. In terms of the fourfold hermeneutic model, traditional astrology is allegorical, and psychological astrology is allegorical and aims to be topological since psychological astrology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is an astrology which assists individuals in the solution of their personal and interpersonal problems, and especially in actualizing more fully their birth-potential`, and he also adds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it is the way he </w:t>
      </w:r>
      <w:r>
        <w:rPr>
          <w:rStyle w:val="Ninguno"/>
          <w:rFonts w:ascii="EB Garamond" w:cs="EB Garamond" w:hAnsi="EB Garamond" w:eastAsia="EB Garamond"/>
          <w:i w:val="1"/>
          <w:iCs w:val="1"/>
          <w:sz w:val="28"/>
          <w:szCs w:val="28"/>
          <w:rtl w:val="0"/>
          <w:lang w:val="en-US"/>
        </w:rPr>
        <w:t>orients</w:t>
      </w:r>
      <w:r>
        <w:rPr>
          <w:rStyle w:val="Ninguno"/>
          <w:rFonts w:ascii="EB Garamond" w:cs="EB Garamond" w:hAnsi="EB Garamond" w:eastAsia="EB Garamond"/>
          <w:sz w:val="28"/>
          <w:szCs w:val="28"/>
          <w:rtl w:val="0"/>
          <w:lang w:val="en-US"/>
        </w:rPr>
        <w:t xml:space="preserve"> himself to the universe as a whole that matters`.</w:t>
      </w:r>
      <w:r>
        <w:rPr>
          <w:rStyle w:val="Ninguno"/>
          <w:rFonts w:ascii="EB Garamond" w:cs="EB Garamond" w:hAnsi="EB Garamond" w:eastAsia="EB Garamond"/>
          <w:sz w:val="28"/>
          <w:szCs w:val="28"/>
          <w:vertAlign w:val="superscript"/>
        </w:rPr>
        <w:footnoteReference w:id="246"/>
      </w:r>
      <w:r>
        <w:rPr>
          <w:rStyle w:val="Ninguno"/>
          <w:rFonts w:ascii="EB Garamond" w:cs="EB Garamond" w:hAnsi="EB Garamond" w:eastAsia="EB Garamond"/>
          <w:sz w:val="28"/>
          <w:szCs w:val="28"/>
          <w:rtl w:val="0"/>
          <w:lang w:val="en-US"/>
        </w:rPr>
        <w:t xml:space="preserve"> The italics are emphasised by Rudhyar  and it clearly shows the vital importance  of the turning point.</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Rudhyar himself exposes that he follows the Theosophical-occult tradition like Alan Leo and the Jung. However, Jung seems to go beyond when he argued that Astrology, like the I Ching, is based on the principle of synchronicity which lies in the simultaneity perception of external events and the inner process of the psyche.</w:t>
      </w:r>
      <w:r>
        <w:rPr>
          <w:rStyle w:val="Ninguno"/>
          <w:rFonts w:ascii="EB Garamond" w:cs="EB Garamond" w:hAnsi="EB Garamond" w:eastAsia="EB Garamond"/>
          <w:sz w:val="28"/>
          <w:szCs w:val="28"/>
          <w:vertAlign w:val="superscript"/>
        </w:rPr>
        <w:footnoteReference w:id="247"/>
      </w:r>
      <w:r>
        <w:rPr>
          <w:rStyle w:val="Ninguno"/>
          <w:rFonts w:ascii="EB Garamond" w:cs="EB Garamond" w:hAnsi="EB Garamond" w:eastAsia="EB Garamond"/>
          <w:sz w:val="28"/>
          <w:szCs w:val="28"/>
          <w:rtl w:val="0"/>
          <w:lang w:val="en-US"/>
        </w:rPr>
        <w:t xml:space="preserve"> Contrary to this, causal thinking is purely a materialistic approach which, as David Griffin described, is based on the sensory perception of a chain of contiguous events.</w:t>
      </w:r>
      <w:r>
        <w:rPr>
          <w:rStyle w:val="Ninguno"/>
          <w:rFonts w:ascii="EB Garamond" w:cs="EB Garamond" w:hAnsi="EB Garamond" w:eastAsia="EB Garamond"/>
          <w:sz w:val="28"/>
          <w:szCs w:val="28"/>
          <w:vertAlign w:val="superscript"/>
        </w:rPr>
        <w:footnoteReference w:id="248"/>
      </w:r>
      <w:r>
        <w:rPr>
          <w:rStyle w:val="Ninguno"/>
          <w:rFonts w:ascii="EB Garamond" w:cs="EB Garamond" w:hAnsi="EB Garamond" w:eastAsia="EB Garamond"/>
          <w:sz w:val="28"/>
          <w:szCs w:val="28"/>
          <w:rtl w:val="0"/>
          <w:lang w:val="en-US"/>
        </w:rPr>
        <w:t xml:space="preserve"> The modern perspective of nature says that the elementary particles of nature are self-enclosed atoms, complete in itself, having only external relations with their environment.</w:t>
      </w:r>
      <w:r>
        <w:rPr>
          <w:rStyle w:val="Ninguno"/>
          <w:rFonts w:ascii="EB Garamond" w:cs="EB Garamond" w:hAnsi="EB Garamond" w:eastAsia="EB Garamond"/>
          <w:sz w:val="28"/>
          <w:szCs w:val="28"/>
          <w:vertAlign w:val="superscript"/>
        </w:rPr>
        <w:footnoteReference w:id="249"/>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However, studies in the history of astrology seem to demonstrate that these two orientations of astrology had always co-existed throughout the history of western astrological tradition and continue to do so.</w:t>
      </w:r>
      <w:r>
        <w:rPr>
          <w:rStyle w:val="Ninguno"/>
          <w:rFonts w:ascii="EB Garamond" w:cs="EB Garamond" w:hAnsi="EB Garamond" w:eastAsia="EB Garamond"/>
          <w:sz w:val="28"/>
          <w:szCs w:val="28"/>
          <w:vertAlign w:val="superscript"/>
        </w:rPr>
        <w:footnoteReference w:id="250"/>
      </w:r>
      <w:r>
        <w:rPr>
          <w:rStyle w:val="Ninguno"/>
          <w:rFonts w:ascii="EB Garamond" w:cs="EB Garamond" w:hAnsi="EB Garamond" w:eastAsia="EB Garamond"/>
          <w:sz w:val="28"/>
          <w:szCs w:val="28"/>
          <w:rtl w:val="0"/>
          <w:lang w:val="en-US"/>
        </w:rPr>
        <w:t xml:space="preserve"> It constitutes one of the perennial problems in the philosophy of astrology, and it is at the foundations of the question about fate, determinism and free will. There is a vast amount of evidence in the history of astrology that demonstrates similar attacks like those raised by psychological astrologers with respect to the traditional model and conventional astrology that argues to be able to do exact deterministic judgments and predict events. Angela Voss has shown that renaissance astrologer Marcilio Ficino attacked those who wanted to reduce the transformative potential of astrology. Likewise, Cornelius argues that William Lilly, one of the most representative traditional astrologers, used astrology not to predict the outcome events but to change them.</w:t>
      </w:r>
      <w:r>
        <w:rPr>
          <w:rStyle w:val="Ninguno"/>
          <w:rFonts w:ascii="EB Garamond" w:cs="EB Garamond" w:hAnsi="EB Garamond" w:eastAsia="EB Garamond"/>
          <w:sz w:val="28"/>
          <w:szCs w:val="28"/>
          <w:vertAlign w:val="superscript"/>
        </w:rPr>
        <w:footnoteReference w:id="251"/>
      </w:r>
      <w:r>
        <w:rPr>
          <w:rStyle w:val="Ninguno"/>
          <w:rFonts w:ascii="EB Garamond" w:cs="EB Garamond" w:hAnsi="EB Garamond" w:eastAsia="EB Garamond"/>
          <w:sz w:val="28"/>
          <w:szCs w:val="28"/>
          <w:rtl w:val="0"/>
          <w:lang w:val="en-US"/>
        </w:rPr>
        <w:t xml:space="preserve"> Lilly follows Ptolemy, who argues in his </w:t>
      </w:r>
      <w:r>
        <w:rPr>
          <w:rStyle w:val="Ninguno"/>
          <w:rFonts w:ascii="EB Garamond" w:cs="EB Garamond" w:hAnsi="EB Garamond" w:eastAsia="EB Garamond"/>
          <w:i w:val="1"/>
          <w:iCs w:val="1"/>
          <w:sz w:val="28"/>
          <w:szCs w:val="28"/>
          <w:rtl w:val="0"/>
          <w:lang w:val="es-ES_tradnl"/>
        </w:rPr>
        <w:t>Tetrabiblos</w:t>
      </w:r>
      <w:r>
        <w:rPr>
          <w:rStyle w:val="Ninguno"/>
          <w:rFonts w:ascii="EB Garamond" w:cs="EB Garamond" w:hAnsi="EB Garamond" w:eastAsia="EB Garamond"/>
          <w:sz w:val="28"/>
          <w:szCs w:val="28"/>
          <w:rtl w:val="0"/>
          <w:lang w:val="en-US"/>
        </w:rPr>
        <w:t xml:space="preserve"> in terms of the combination of planetary foreknowledge and medical arts, that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remedies for present and preservatives against future disorders are to be acquired` because if `all expected events are unalterable and not to be averted, they never would have instituted any propitiations, remedies, and preservatives against the influence of the Ambient, whether present or approaching, general or particular`.</w:t>
      </w:r>
      <w:r>
        <w:rPr>
          <w:rStyle w:val="Ninguno"/>
          <w:rFonts w:ascii="EB Garamond" w:cs="EB Garamond" w:hAnsi="EB Garamond" w:eastAsia="EB Garamond"/>
          <w:sz w:val="28"/>
          <w:szCs w:val="28"/>
          <w:vertAlign w:val="superscript"/>
        </w:rPr>
        <w:footnoteReference w:id="252"/>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These few examples demonstrate that the tension between a predictive and teleological orientation, far from being a decisive reorientation in a particular time, is at the basis of the philosophical reflection that has gone along with the development of the craft and theory of astrology. The philosophical discussion at the background of the splitness between traditional and modern astrology has been explained as the </w:t>
      </w:r>
      <w:r>
        <w:rPr>
          <w:rStyle w:val="Ninguno"/>
          <w:rFonts w:ascii="EB Garamond" w:cs="EB Garamond" w:hAnsi="EB Garamond" w:eastAsia="EB Garamond"/>
          <w:i w:val="1"/>
          <w:iCs w:val="1"/>
          <w:sz w:val="28"/>
          <w:szCs w:val="28"/>
          <w:rtl w:val="0"/>
        </w:rPr>
        <w:t>aristotelian</w:t>
      </w:r>
      <w:r>
        <w:rPr>
          <w:rStyle w:val="Ninguno"/>
          <w:rFonts w:ascii="EB Garamond" w:cs="EB Garamond" w:hAnsi="EB Garamond" w:eastAsia="EB Garamond"/>
          <w:sz w:val="28"/>
          <w:szCs w:val="28"/>
          <w:rtl w:val="0"/>
          <w:lang w:val="en-US"/>
        </w:rPr>
        <w:t xml:space="preserve"> and </w:t>
      </w:r>
      <w:r>
        <w:rPr>
          <w:rStyle w:val="Ninguno"/>
          <w:rFonts w:ascii="EB Garamond" w:cs="EB Garamond" w:hAnsi="EB Garamond" w:eastAsia="EB Garamond"/>
          <w:i w:val="1"/>
          <w:iCs w:val="1"/>
          <w:sz w:val="28"/>
          <w:szCs w:val="28"/>
          <w:rtl w:val="0"/>
          <w:lang w:val="it-IT"/>
        </w:rPr>
        <w:t xml:space="preserve">platonic </w:t>
      </w:r>
      <w:r>
        <w:rPr>
          <w:rStyle w:val="Ninguno"/>
          <w:rFonts w:ascii="EB Garamond" w:cs="EB Garamond" w:hAnsi="EB Garamond" w:eastAsia="EB Garamond"/>
          <w:sz w:val="28"/>
          <w:szCs w:val="28"/>
          <w:rtl w:val="0"/>
          <w:lang w:val="en-US"/>
        </w:rPr>
        <w:t xml:space="preserve">orientations associated to an astrology of </w:t>
      </w:r>
      <w:r>
        <w:rPr>
          <w:rStyle w:val="Ninguno"/>
          <w:rFonts w:ascii="EB Garamond" w:cs="EB Garamond" w:hAnsi="EB Garamond" w:eastAsia="EB Garamond"/>
          <w:i w:val="1"/>
          <w:iCs w:val="1"/>
          <w:sz w:val="28"/>
          <w:szCs w:val="28"/>
          <w:rtl w:val="0"/>
          <w:lang w:val="en-US"/>
        </w:rPr>
        <w:t>causes</w:t>
      </w:r>
      <w:r>
        <w:rPr>
          <w:rStyle w:val="Ninguno"/>
          <w:rFonts w:ascii="EB Garamond" w:cs="EB Garamond" w:hAnsi="EB Garamond" w:eastAsia="EB Garamond"/>
          <w:sz w:val="28"/>
          <w:szCs w:val="28"/>
          <w:rtl w:val="0"/>
          <w:lang w:val="en-US"/>
        </w:rPr>
        <w:t xml:space="preserve"> and to an astrology of </w:t>
      </w:r>
      <w:r>
        <w:rPr>
          <w:rStyle w:val="Ninguno"/>
          <w:rFonts w:ascii="EB Garamond" w:cs="EB Garamond" w:hAnsi="EB Garamond" w:eastAsia="EB Garamond"/>
          <w:i w:val="1"/>
          <w:iCs w:val="1"/>
          <w:sz w:val="28"/>
          <w:szCs w:val="28"/>
          <w:rtl w:val="0"/>
          <w:lang w:val="en-US"/>
        </w:rPr>
        <w:t>signs</w:t>
      </w:r>
      <w:r>
        <w:rPr>
          <w:rStyle w:val="Ninguno"/>
          <w:rFonts w:ascii="EB Garamond" w:cs="EB Garamond" w:hAnsi="EB Garamond" w:eastAsia="EB Garamond"/>
          <w:sz w:val="28"/>
          <w:szCs w:val="28"/>
          <w:rtl w:val="0"/>
          <w:lang w:val="en-US"/>
        </w:rPr>
        <w:t>, respectively. Cornelius explains this two orders as it follows:</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ind w:left="720" w:firstLine="0"/>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 ortodox classical position has an Aristotelian foundation, and is a species of </w:t>
      </w:r>
      <w:r>
        <w:rPr>
          <w:rStyle w:val="Ninguno"/>
          <w:rFonts w:ascii="EB Garamond" w:cs="EB Garamond" w:hAnsi="EB Garamond" w:eastAsia="EB Garamond"/>
          <w:i w:val="1"/>
          <w:iCs w:val="1"/>
          <w:sz w:val="28"/>
          <w:szCs w:val="28"/>
          <w:rtl w:val="0"/>
          <w:lang w:val="it-IT"/>
        </w:rPr>
        <w:t>celestial causation</w:t>
      </w:r>
      <w:r>
        <w:rPr>
          <w:rStyle w:val="Ninguno"/>
          <w:rFonts w:ascii="EB Garamond" w:cs="EB Garamond" w:hAnsi="EB Garamond" w:eastAsia="EB Garamond"/>
          <w:sz w:val="28"/>
          <w:szCs w:val="28"/>
          <w:rtl w:val="0"/>
          <w:lang w:val="en-US"/>
        </w:rPr>
        <w:t xml:space="preserve">. The quality of the time moment is determined by the disposition of the influencing heavens at that moment. The second approach is Platonic in its inspiration. It may be characterised as </w:t>
      </w:r>
      <w:r>
        <w:rPr>
          <w:rStyle w:val="Ninguno"/>
          <w:rFonts w:ascii="EB Garamond" w:cs="EB Garamond" w:hAnsi="EB Garamond" w:eastAsia="EB Garamond"/>
          <w:i w:val="1"/>
          <w:iCs w:val="1"/>
          <w:sz w:val="28"/>
          <w:szCs w:val="28"/>
          <w:rtl w:val="0"/>
          <w:lang w:val="en-US"/>
        </w:rPr>
        <w:t>cosmic sympathy</w:t>
      </w:r>
      <w:r>
        <w:rPr>
          <w:rStyle w:val="Ninguno"/>
          <w:rFonts w:ascii="EB Garamond" w:cs="EB Garamond" w:hAnsi="EB Garamond" w:eastAsia="EB Garamond"/>
          <w:sz w:val="28"/>
          <w:szCs w:val="28"/>
          <w:rtl w:val="0"/>
          <w:lang w:val="en-US"/>
        </w:rPr>
        <w:t xml:space="preserve">: the planets and their position </w:t>
      </w:r>
      <w:r>
        <w:rPr>
          <w:rStyle w:val="Ninguno"/>
          <w:rFonts w:ascii="EB Garamond" w:cs="EB Garamond" w:hAnsi="EB Garamond" w:eastAsia="EB Garamond"/>
          <w:i w:val="1"/>
          <w:iCs w:val="1"/>
          <w:sz w:val="28"/>
          <w:szCs w:val="28"/>
          <w:rtl w:val="0"/>
          <w:lang w:val="pt-PT"/>
        </w:rPr>
        <w:t>mirror</w:t>
      </w:r>
      <w:r>
        <w:rPr>
          <w:rStyle w:val="Ninguno"/>
          <w:rFonts w:ascii="EB Garamond" w:cs="EB Garamond" w:hAnsi="EB Garamond" w:eastAsia="EB Garamond"/>
          <w:sz w:val="28"/>
          <w:szCs w:val="28"/>
          <w:rtl w:val="0"/>
          <w:lang w:val="en-US"/>
        </w:rPr>
        <w:t xml:space="preserve"> the occult quality of the totality of the macrocosm-microcosm at that moment.</w:t>
      </w:r>
      <w:r>
        <w:rPr>
          <w:rStyle w:val="Ninguno"/>
          <w:rFonts w:ascii="EB Garamond" w:cs="EB Garamond" w:hAnsi="EB Garamond" w:eastAsia="EB Garamond"/>
          <w:sz w:val="28"/>
          <w:szCs w:val="28"/>
          <w:vertAlign w:val="superscript"/>
        </w:rPr>
        <w:footnoteReference w:id="253"/>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According to Cornelius, the astrology of causes (aristotelian) is `objective, universal, regular and astrologer-independent</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on the other hand, the astrology of signs (platonic) is `participatory, context-specific and irregular`.</w:t>
      </w:r>
      <w:r>
        <w:rPr>
          <w:rStyle w:val="Ninguno"/>
          <w:rFonts w:ascii="EB Garamond" w:cs="EB Garamond" w:hAnsi="EB Garamond" w:eastAsia="EB Garamond"/>
          <w:sz w:val="28"/>
          <w:szCs w:val="28"/>
          <w:vertAlign w:val="superscript"/>
        </w:rPr>
        <w:footnoteReference w:id="254"/>
      </w:r>
      <w:r>
        <w:rPr>
          <w:rStyle w:val="Ninguno"/>
          <w:rFonts w:ascii="EB Garamond" w:cs="EB Garamond" w:hAnsi="EB Garamond" w:eastAsia="EB Garamond"/>
          <w:sz w:val="28"/>
          <w:szCs w:val="28"/>
          <w:rtl w:val="0"/>
          <w:lang w:val="en-US"/>
        </w:rPr>
        <w:t xml:space="preserve"> In addition, he compares these two approaches to the distinction between natural and judicial astrology, respectively. Natural astrology refers to the idea of celestial order and its natural influences, and it requires no more than the observation of the hidden underlying order and its natural correspondences.</w:t>
      </w:r>
      <w:r>
        <w:rPr>
          <w:rStyle w:val="Ninguno"/>
          <w:rFonts w:ascii="EB Garamond" w:cs="EB Garamond" w:hAnsi="EB Garamond" w:eastAsia="EB Garamond"/>
          <w:sz w:val="28"/>
          <w:szCs w:val="28"/>
          <w:vertAlign w:val="superscript"/>
        </w:rPr>
        <w:footnoteReference w:id="255"/>
      </w:r>
      <w:r>
        <w:rPr>
          <w:rStyle w:val="Ninguno"/>
          <w:rFonts w:ascii="EB Garamond" w:cs="EB Garamond" w:hAnsi="EB Garamond" w:eastAsia="EB Garamond"/>
          <w:sz w:val="28"/>
          <w:szCs w:val="28"/>
          <w:rtl w:val="0"/>
          <w:lang w:val="en-US"/>
        </w:rPr>
        <w:t xml:space="preserve">  By contrast, judicial astrology requires the judgments of the astrologer and, according to astrologer Carole Taylor, `involves the destiny of the individual and the influence of the stars on the human soul</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rPr>
        <w:t>.</w:t>
      </w:r>
      <w:r>
        <w:rPr>
          <w:rStyle w:val="Ninguno"/>
          <w:rFonts w:ascii="EB Garamond" w:cs="EB Garamond" w:hAnsi="EB Garamond" w:eastAsia="EB Garamond"/>
          <w:sz w:val="28"/>
          <w:szCs w:val="28"/>
          <w:vertAlign w:val="superscript"/>
        </w:rPr>
        <w:footnoteReference w:id="256"/>
      </w:r>
      <w:r>
        <w:rPr>
          <w:rStyle w:val="Ninguno"/>
          <w:rFonts w:ascii="EB Garamond" w:cs="EB Garamond" w:hAnsi="EB Garamond" w:eastAsia="EB Garamond"/>
          <w:sz w:val="28"/>
          <w:szCs w:val="28"/>
          <w:rtl w:val="0"/>
          <w:lang w:val="en-US"/>
        </w:rPr>
        <w:t xml:space="preserve"> This distinction was made by Thomas Aquinas to reconcile astrology within the Christian context of that time in which astrology lost its art of interpretation and divination and its function as a path to salvation as it had been in the classical world.</w:t>
      </w:r>
      <w:r>
        <w:rPr>
          <w:rStyle w:val="Ninguno"/>
          <w:rFonts w:ascii="EB Garamond" w:cs="EB Garamond" w:hAnsi="EB Garamond" w:eastAsia="EB Garamond"/>
          <w:sz w:val="28"/>
          <w:szCs w:val="28"/>
          <w:vertAlign w:val="superscript"/>
        </w:rPr>
        <w:footnoteReference w:id="257"/>
      </w:r>
      <w:r>
        <w:rPr>
          <w:rStyle w:val="Ninguno"/>
          <w:rFonts w:ascii="EB Garamond" w:cs="EB Garamond" w:hAnsi="EB Garamond" w:eastAsia="EB Garamond"/>
          <w:sz w:val="28"/>
          <w:szCs w:val="28"/>
          <w:rtl w:val="0"/>
          <w:lang w:val="en-US"/>
        </w:rPr>
        <w:t xml:space="preserve"> Early Christianity adopted Platonic cosmology, but Ptolemy's scientific astrology has persisted over the centuries as the main astrological model for what natural astrology was accepted while judicial astrology was not permitted and rejected.</w:t>
      </w:r>
      <w:r>
        <w:rPr>
          <w:rStyle w:val="Ninguno"/>
          <w:rFonts w:ascii="EB Garamond" w:cs="EB Garamond" w:hAnsi="EB Garamond" w:eastAsia="EB Garamond"/>
          <w:sz w:val="28"/>
          <w:szCs w:val="28"/>
          <w:vertAlign w:val="superscript"/>
        </w:rPr>
        <w:footnoteReference w:id="258"/>
      </w:r>
      <w:r>
        <w:rPr>
          <w:rStyle w:val="Ninguno"/>
          <w:rFonts w:ascii="EB Garamond" w:cs="EB Garamond" w:hAnsi="EB Garamond" w:eastAsia="EB Garamond"/>
          <w:sz w:val="28"/>
          <w:szCs w:val="28"/>
          <w:rtl w:val="0"/>
          <w:lang w:val="en-US"/>
        </w:rPr>
        <w:t xml:space="preserve"> Moreover, Campion says that judicial astrology `requires the interaction of the divine and the human, consciousness and matter, soul and body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therefore, it requires the activity of the faculty of imagination.</w:t>
      </w:r>
      <w:r>
        <w:rPr>
          <w:rStyle w:val="Ninguno"/>
          <w:rFonts w:ascii="EB Garamond" w:cs="EB Garamond" w:hAnsi="EB Garamond" w:eastAsia="EB Garamond"/>
          <w:sz w:val="28"/>
          <w:szCs w:val="28"/>
          <w:vertAlign w:val="superscript"/>
        </w:rPr>
        <w:footnoteReference w:id="259"/>
      </w:r>
      <w:r>
        <w:rPr>
          <w:rStyle w:val="Ninguno"/>
          <w:rFonts w:ascii="EB Garamond" w:cs="EB Garamond" w:hAnsi="EB Garamond" w:eastAsia="EB Garamond"/>
          <w:sz w:val="28"/>
          <w:szCs w:val="28"/>
          <w:rtl w:val="0"/>
        </w:rPr>
        <w:t xml:space="preserv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However, the association of the Aristotelian approach with natural astrology, and the Platonic approach does not appear to be totally accurate in light of the fourfold hermeneutical model since, as Cornelius himself points out, the classical position of astrology has an Aristotelian foundation.</w:t>
      </w:r>
      <w:r>
        <w:rPr>
          <w:rStyle w:val="Ninguno"/>
          <w:rFonts w:ascii="EB Garamond" w:cs="EB Garamond" w:hAnsi="EB Garamond" w:eastAsia="EB Garamond"/>
          <w:sz w:val="28"/>
          <w:szCs w:val="28"/>
          <w:vertAlign w:val="superscript"/>
        </w:rPr>
        <w:footnoteReference w:id="260"/>
      </w:r>
      <w:r>
        <w:rPr>
          <w:rStyle w:val="Ninguno"/>
          <w:rFonts w:ascii="EB Garamond" w:cs="EB Garamond" w:hAnsi="EB Garamond" w:eastAsia="EB Garamond"/>
          <w:sz w:val="28"/>
          <w:szCs w:val="28"/>
          <w:rtl w:val="0"/>
          <w:lang w:val="en-US"/>
        </w:rPr>
        <w:t xml:space="preserve"> Therefore, it also implies an interpretation that, in this case, is based on celestial causation.  Moreover, this perspective could be understood as a literal mode of interpretation of astrological symbolism in which the correlation observed between the movement of the moon and its effect on tides is interpreted as an objective event with an objective and concrete effect.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In addition, Cornelius states that the practice of astrology is undoubtedly allegorical because `part of astrology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allegory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xml:space="preserve">, he says,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consists of the conventions by which the various factors are assigned to literal reality</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 The theory and rules of the astrological language are allegorical, both in the Aristotelian and Platonic approaches; it is at this level of the interpretation of symbol that is found the problematic raised by Nicholas Campion about the ontological ambiguity around the assumptions of astrologer</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 interpretation. In this regard, Cornelius says that `the use of allegory reminds us continually that we [astrologers] are engaged in an `as if`exercise.</w:t>
      </w:r>
      <w:r>
        <w:rPr>
          <w:rStyle w:val="Ninguno"/>
          <w:rFonts w:ascii="EB Garamond" w:cs="EB Garamond" w:hAnsi="EB Garamond" w:eastAsia="EB Garamond"/>
          <w:sz w:val="28"/>
          <w:szCs w:val="28"/>
          <w:vertAlign w:val="superscript"/>
        </w:rPr>
        <w:footnoteReference w:id="261"/>
      </w:r>
      <w:r>
        <w:rPr>
          <w:rStyle w:val="Ninguno"/>
          <w:rFonts w:ascii="EB Garamond" w:cs="EB Garamond" w:hAnsi="EB Garamond" w:eastAsia="EB Garamond"/>
          <w:sz w:val="28"/>
          <w:szCs w:val="28"/>
          <w:rtl w:val="0"/>
          <w:lang w:val="en-US"/>
        </w:rPr>
        <w:t xml:space="preserve"> Moreover, allegory, as it was already described, shares the aspect with the faculty of imagination of allowing to see something else from the literal and concrete interpretation of the symbol. This aspect of the interpretation of the symbol does not necessarily consider an independent ontological dimension capable of triggering a mystical experience. It is only with the participation of the subject and the embodiment of the symbolic interpretation that a transformation can occur.  In this regard, the psychological orientation to astrology seems to be topological because its purpose is to turn the individual soul within and help the person actualize his innate potential.</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However, it is necessary to note that Cornelius analyzes the symbolism and practice of astrology based on the middle form of astrology described in Patrick Curry's model that deals with the interpretation of horoscopes and complex prognostic work. By contrast, when the higher form of astrology is taken into account, we are moving beyond the context of the reading session and towards an astrology that is more like a mode of being, a cosmology, and a way of knowledge applied to life. In this regard, applying imagination to daily life through astrological symbolism could have the potential of living individual processes in concordance with the movement of the stars, that is to say,  to live in a state of synchronicity.</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So, as I described before, for the faculty of imagination to have the potential to trigger a mystical experience, it requires the revelation and participation, not only of the individual but of an ontologically transcendent order. The manifestation of the sacred </w:t>
      </w:r>
      <w:r>
        <w:rPr>
          <w:rStyle w:val="Ninguno"/>
          <w:rFonts w:ascii="EB Garamond" w:cs="EB Garamond" w:hAnsi="EB Garamond" w:eastAsia="EB Garamond"/>
          <w:i w:val="1"/>
          <w:iCs w:val="1"/>
          <w:sz w:val="28"/>
          <w:szCs w:val="28"/>
          <w:rtl w:val="0"/>
          <w:lang w:val="en-US"/>
        </w:rPr>
        <w:t>through</w:t>
      </w:r>
      <w:r>
        <w:rPr>
          <w:rStyle w:val="Ninguno"/>
          <w:rFonts w:ascii="EB Garamond" w:cs="EB Garamond" w:hAnsi="EB Garamond" w:eastAsia="EB Garamond"/>
          <w:sz w:val="28"/>
          <w:szCs w:val="28"/>
          <w:rtl w:val="0"/>
          <w:lang w:val="en-US"/>
        </w:rPr>
        <w:t xml:space="preserve"> personal experience fulfils with meaning and reveals the ineffable beauty of a participatory order. If not, the faculty of imagination applied to astrology would reveal powerful personal insight but not necessarily a mystical experience. That is to say, imagination would remain topological, and, in this regard, astrology can turn a means or a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tool</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for personal achievements such as self-knowledge, improvement and healing, to solve problems or to control the possible event in future.</w:t>
      </w:r>
    </w:p>
    <w:p>
      <w:pPr>
        <w:pStyle w:val="Cuerpo A"/>
        <w:spacing w:line="360" w:lineRule="auto"/>
        <w:jc w:val="both"/>
      </w:pPr>
    </w:p>
    <w:p>
      <w:pPr>
        <w:pStyle w:val="Encabezamiento 2"/>
        <w:spacing w:before="240" w:after="240" w:line="360" w:lineRule="auto"/>
        <w:jc w:val="both"/>
        <w:rPr>
          <w:rStyle w:val="Ninguno"/>
          <w:b w:val="1"/>
          <w:bCs w:val="1"/>
        </w:rPr>
      </w:pPr>
      <w:bookmarkStart w:name="_tyjcwt" w:id="10"/>
      <w:bookmarkEnd w:id="10"/>
    </w:p>
    <w:p>
      <w:pPr>
        <w:pStyle w:val="Encabezamiento 2"/>
        <w:spacing w:before="240" w:after="240" w:line="360" w:lineRule="auto"/>
        <w:jc w:val="both"/>
        <w:rPr>
          <w:rStyle w:val="Ninguno"/>
          <w:b w:val="1"/>
          <w:bCs w:val="1"/>
        </w:rPr>
      </w:pPr>
      <w:bookmarkStart w:name="_zcq904ox8c7d" w:id="11"/>
      <w:bookmarkEnd w:id="11"/>
      <w:r>
        <w:rPr>
          <w:rStyle w:val="Ninguno"/>
          <w:b w:val="1"/>
          <w:bCs w:val="1"/>
          <w:rtl w:val="0"/>
        </w:rPr>
        <w:t>C</w:t>
      </w:r>
      <w:r>
        <w:rPr>
          <w:rStyle w:val="Ninguno"/>
          <w:b w:val="1"/>
          <w:bCs w:val="1"/>
          <w:rtl w:val="0"/>
        </w:rPr>
        <w:t>ONCLUSION</w:t>
      </w:r>
    </w:p>
    <w:p>
      <w:pPr>
        <w:pStyle w:val="Cuerpo A"/>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Based on the literature, imagination is described mainly as the capacity of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seen through</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and access to another more subtle aspect of reality; but rarely, it is described to have a literal aspect. By contrast, under the light of the hermeneutic model, symbol is described to have four aspects: literal, allegorical, topological and mystical.</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In addition, although imagination and symbol shares the aspects of joining or bringing together, the symbol was also understood as the visible image and most abstract form of the divine realm, which is beyond the imaginal realm. So, both symbol and imagination have a liminal aspect in itself; but, while symbol is one part rooted in the divine realm and the other part is rooted in human reality, imagination seems to be rooted one part in the imaginal realm and the other part in human experience.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Furthermore, when analysing symbol under the fourfold hermeneutic model, imagination, like allegory, seems to be certain aspects of interpretation and functions of symbol. Firstly, imagination seems to correspond to the allegorical function of symbol. But, it is only with the participation of the individual and an embodiment of the power of symbol that a deep transformation can take place and move from an allegorical function of the symbol to a topological one. In other words, the topological perspective of symbol is experiential, it requires the embodiment of the allegorical perception and it can only occur in the context of the experience, that is to say, while it is being experienced by the subject. The topological aspect of the symbol can not take place out of the context of the particular event.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Therefore, the faculty of imagination seems to move between the allegorical and topological aspects of the function of symbol. However, in order for the imagination to have the potential to trigger a mystical experience, it requires the revelation and participation, not only of the individual but of an ontologically transcendent order. If not, the faculty of imagination applied to astrology would reveal powerful personal insight but not necessarily a mystical experience. That is to say, imagination would remain topological; and, in this regard, astrology can turn a means or a </w:t>
      </w:r>
      <w:r>
        <w:rPr>
          <w:rStyle w:val="Ninguno"/>
          <w:rFonts w:ascii="EB Garamond" w:cs="EB Garamond" w:hAnsi="EB Garamond" w:eastAsia="EB Garamond"/>
          <w:sz w:val="28"/>
          <w:szCs w:val="28"/>
          <w:rtl w:val="0"/>
          <w:lang w:val="en-US"/>
        </w:rPr>
        <w:t>“</w:t>
      </w:r>
      <w:r>
        <w:rPr>
          <w:rStyle w:val="Ninguno"/>
          <w:rFonts w:ascii="EB Garamond" w:cs="EB Garamond" w:hAnsi="EB Garamond" w:eastAsia="EB Garamond"/>
          <w:sz w:val="28"/>
          <w:szCs w:val="28"/>
          <w:rtl w:val="0"/>
          <w:lang w:val="en-US"/>
        </w:rPr>
        <w:t>tool</w:t>
      </w:r>
      <w:r>
        <w:rPr>
          <w:rStyle w:val="Ninguno"/>
          <w:rFonts w:ascii="EB Garamond" w:cs="EB Garamond" w:hAnsi="EB Garamond" w:eastAsia="EB Garamond"/>
          <w:sz w:val="28"/>
          <w:szCs w:val="28"/>
          <w:rtl w:val="0"/>
          <w:lang w:val="en-US"/>
        </w:rPr>
        <w:t xml:space="preserve">” </w:t>
      </w:r>
      <w:r>
        <w:rPr>
          <w:rStyle w:val="Ninguno"/>
          <w:rFonts w:ascii="EB Garamond" w:cs="EB Garamond" w:hAnsi="EB Garamond" w:eastAsia="EB Garamond"/>
          <w:sz w:val="28"/>
          <w:szCs w:val="28"/>
          <w:rtl w:val="0"/>
          <w:lang w:val="en-US"/>
        </w:rPr>
        <w:t>for personal achievements such as self-knowledge, improvement and healing, to solve problems or to control the possible event in future.</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The revelation of the sacred by means of astrological symbols requires another way of knowing, which is the faculty of imagination, but it also requires the revelation of the sacred through a deep embodiment of the symbol while it is being experienced. Mystical experience through symbol cannot happen by will. It requires a full participation of the different aspects of human experience in the context of the experience and the spontaneous revelation of an ontological independent dimension. Without the participation of the subject, we are dealing with the allegorical aspect of the symbol. But, topological and mystical aspects of symbol can only manifest when a trascendental order called sacred reveals itself in and through that participacion of the subject.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w:rFonts w:ascii="EB Garamond" w:cs="EB Garamond" w:hAnsi="EB Garamond" w:eastAsia="EB Garamond"/>
          <w:sz w:val="28"/>
          <w:szCs w:val="28"/>
        </w:rPr>
      </w:pPr>
      <w:r>
        <w:rPr>
          <w:rStyle w:val="Ninguno"/>
          <w:rFonts w:ascii="EB Garamond" w:cs="EB Garamond" w:hAnsi="EB Garamond" w:eastAsia="EB Garamond"/>
          <w:sz w:val="28"/>
          <w:szCs w:val="28"/>
          <w:rtl w:val="0"/>
          <w:lang w:val="en-US"/>
        </w:rPr>
        <w:t xml:space="preserve">Moreover, mystical experience through symbol requires the simultaneous participation of the four aspects of symbol:  literal, allegorical, topological and the mystical. In this regard, when applying the faculty of imagination to a philosophical practice of astrology, that is to say, astrology as a mode of being in daily life, astrological symbols can trigger a mystical experience because they have the potential of conjoining the meaning of an external event with and internal image and, at the same time, both are connected vertically with the allegorical meaning of the stars. Thus, all the aspect of human experience are perceived as meaningful interconnected like in a mystical experience,, which is the experience of unity and belonging to a larger order. So, if imagination has the capacity to reveal the most intimate and personal psychological processes, and also, the inner meaning of outer relational events by means of the symbols of astrology; therefore, if applying imagination to daily life, to an astrology that goes beyond the reading session, it has the potential of living in a co-creative concordance with a bigger order than the individual, to live in a profound participatory relationship between human and divine worlds. Life becomes sacred. </w:t>
      </w: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A"/>
          <w:rFonts w:ascii="EB Garamond" w:cs="EB Garamond" w:hAnsi="EB Garamond" w:eastAsia="EB Garamond"/>
          <w:sz w:val="28"/>
          <w:szCs w:val="28"/>
        </w:rPr>
      </w:pPr>
    </w:p>
    <w:p>
      <w:pPr>
        <w:pStyle w:val="Cuerpo A"/>
        <w:spacing w:line="360" w:lineRule="auto"/>
        <w:jc w:val="both"/>
        <w:rPr>
          <w:rStyle w:val="Ninguno A"/>
          <w:rFonts w:ascii="EB Garamond" w:cs="EB Garamond" w:hAnsi="EB Garamond" w:eastAsia="EB Garamond"/>
          <w:sz w:val="28"/>
          <w:szCs w:val="28"/>
        </w:rPr>
      </w:pPr>
    </w:p>
    <w:p>
      <w:pPr>
        <w:pStyle w:val="Encabezamiento 2"/>
        <w:spacing w:line="360" w:lineRule="auto"/>
        <w:jc w:val="both"/>
        <w:rPr>
          <w:rStyle w:val="Ninguno"/>
          <w:b w:val="1"/>
          <w:bCs w:val="1"/>
        </w:rPr>
      </w:pPr>
      <w:bookmarkStart w:name="_o7zr4o46mozr" w:id="12"/>
      <w:bookmarkEnd w:id="12"/>
    </w:p>
    <w:p>
      <w:pPr>
        <w:pStyle w:val="Encabezamiento 2"/>
        <w:spacing w:line="360" w:lineRule="auto"/>
        <w:jc w:val="both"/>
        <w:rPr>
          <w:rStyle w:val="Ninguno"/>
          <w:b w:val="1"/>
          <w:bCs w:val="1"/>
        </w:rPr>
      </w:pPr>
      <w:bookmarkStart w:name="_vga8w07m" w:id="13"/>
      <w:bookmarkEnd w:id="13"/>
    </w:p>
    <w:p>
      <w:pPr>
        <w:pStyle w:val="Encabezamiento 2"/>
        <w:spacing w:line="360" w:lineRule="auto"/>
        <w:jc w:val="both"/>
        <w:rPr>
          <w:rStyle w:val="Ninguno"/>
          <w:b w:val="1"/>
          <w:bCs w:val="1"/>
        </w:rPr>
      </w:pPr>
      <w:bookmarkStart w:name="_eh0oiyhol7io" w:id="14"/>
      <w:bookmarkEnd w:id="14"/>
    </w:p>
    <w:p>
      <w:pPr>
        <w:pStyle w:val="Encabezamiento 2"/>
        <w:spacing w:line="360" w:lineRule="auto"/>
        <w:jc w:val="both"/>
        <w:rPr>
          <w:rStyle w:val="Ninguno"/>
          <w:b w:val="1"/>
          <w:bCs w:val="1"/>
        </w:rPr>
      </w:pPr>
      <w:bookmarkStart w:name="_eh8lr0rnac4f" w:id="15"/>
      <w:bookmarkEnd w:id="15"/>
    </w:p>
    <w:p>
      <w:pPr>
        <w:pStyle w:val="Encabezamiento 2"/>
        <w:spacing w:line="360" w:lineRule="auto"/>
        <w:jc w:val="both"/>
        <w:rPr>
          <w:rStyle w:val="Ninguno"/>
          <w:b w:val="1"/>
          <w:bCs w:val="1"/>
        </w:rPr>
      </w:pPr>
      <w:bookmarkStart w:name="_d1gswf9qqd53" w:id="16"/>
      <w:bookmarkEnd w:id="16"/>
    </w:p>
    <w:p>
      <w:pPr>
        <w:pStyle w:val="Encabezamiento 2"/>
        <w:spacing w:line="360" w:lineRule="auto"/>
        <w:jc w:val="both"/>
        <w:rPr>
          <w:rStyle w:val="Ninguno"/>
          <w:b w:val="1"/>
          <w:bCs w:val="1"/>
        </w:rPr>
      </w:pPr>
      <w:bookmarkStart w:name="_wvfzh6xrkkqd" w:id="17"/>
      <w:bookmarkEnd w:id="17"/>
    </w:p>
    <w:p>
      <w:pPr>
        <w:pStyle w:val="Encabezamiento 2"/>
        <w:spacing w:line="360" w:lineRule="auto"/>
        <w:jc w:val="both"/>
        <w:rPr>
          <w:rStyle w:val="Ninguno"/>
          <w:b w:val="1"/>
          <w:bCs w:val="1"/>
        </w:rPr>
      </w:pPr>
      <w:bookmarkStart w:name="_okf0h263hlw4" w:id="18"/>
      <w:bookmarkEnd w:id="18"/>
    </w:p>
    <w:p>
      <w:pPr>
        <w:pStyle w:val="Encabezamiento 2"/>
        <w:spacing w:line="360" w:lineRule="auto"/>
        <w:jc w:val="both"/>
        <w:rPr>
          <w:rStyle w:val="Ninguno"/>
          <w:b w:val="1"/>
          <w:bCs w:val="1"/>
        </w:rPr>
      </w:pPr>
      <w:bookmarkStart w:name="_volq4atb9hm2" w:id="19"/>
      <w:bookmarkEnd w:id="19"/>
    </w:p>
    <w:p>
      <w:pPr>
        <w:pStyle w:val="Cuerpo A"/>
      </w:pPr>
    </w:p>
    <w:p>
      <w:pPr>
        <w:pStyle w:val="Cuerpo A"/>
      </w:pPr>
    </w:p>
    <w:p>
      <w:pPr>
        <w:pStyle w:val="Cuerpo A"/>
      </w:pPr>
    </w:p>
    <w:p>
      <w:pPr>
        <w:pStyle w:val="Encabezamiento 2"/>
        <w:spacing w:line="360" w:lineRule="auto"/>
        <w:jc w:val="both"/>
        <w:rPr>
          <w:rStyle w:val="Ninguno"/>
          <w:b w:val="1"/>
          <w:bCs w:val="1"/>
        </w:rPr>
      </w:pPr>
      <w:bookmarkStart w:name="_ffgnd1nwc6" w:id="20"/>
      <w:bookmarkEnd w:id="20"/>
      <w:r>
        <w:rPr>
          <w:rStyle w:val="Ninguno"/>
          <w:b w:val="1"/>
          <w:bCs w:val="1"/>
          <w:rtl w:val="0"/>
        </w:rPr>
        <w:t>B</w:t>
      </w:r>
      <w:r>
        <w:rPr>
          <w:rStyle w:val="Ninguno"/>
          <w:b w:val="1"/>
          <w:bCs w:val="1"/>
          <w:rtl w:val="0"/>
        </w:rPr>
        <w:t>IBLIOGRAPHY</w:t>
      </w:r>
    </w:p>
    <w:p>
      <w:pPr>
        <w:pStyle w:val="Cuerpo A"/>
      </w:pPr>
    </w:p>
    <w:p>
      <w:pPr>
        <w:pStyle w:val="Cuerpo A"/>
        <w:numPr>
          <w:ilvl w:val="0"/>
          <w:numId w:val="2"/>
        </w:numPr>
        <w:bidi w:val="0"/>
        <w:ind w:right="0"/>
        <w:jc w:val="left"/>
        <w:rPr>
          <w:sz w:val="24"/>
          <w:szCs w:val="24"/>
          <w:rtl w:val="0"/>
          <w:lang w:val="en-US"/>
        </w:rPr>
      </w:pPr>
      <w:r>
        <w:rPr>
          <w:rStyle w:val="Ninguno"/>
          <w:sz w:val="24"/>
          <w:szCs w:val="24"/>
          <w:rtl w:val="0"/>
          <w:lang w:val="en-US"/>
        </w:rPr>
        <w:t>Abbey,  Crystal, `</w:t>
      </w:r>
      <w:r>
        <w:rPr>
          <w:rStyle w:val="Ninguno"/>
          <w:i w:val="1"/>
          <w:iCs w:val="1"/>
          <w:sz w:val="24"/>
          <w:szCs w:val="24"/>
          <w:rtl w:val="0"/>
          <w:lang w:val="en-US"/>
        </w:rPr>
        <w:t>Divination and Theurgy in Neoplatonism: Oracles of the Gods</w:t>
      </w:r>
      <w:r>
        <w:rPr>
          <w:rStyle w:val="Ninguno"/>
          <w:sz w:val="24"/>
          <w:szCs w:val="24"/>
          <w:rtl w:val="0"/>
          <w:lang w:val="en-US"/>
        </w:rPr>
        <w:t>`, (Ashgate Studies in Philosophy &amp; Theology in Late Antiquity, 2014)</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Addley, Crystal, `Oracles, Dreams and Astrology in Iamblichus</w:t>
      </w:r>
      <w:r>
        <w:rPr>
          <w:rStyle w:val="Ninguno"/>
          <w:rFonts w:ascii="Arial Unicode MS" w:hAnsi="Arial Unicode MS" w:hint="default"/>
          <w:sz w:val="24"/>
          <w:szCs w:val="24"/>
          <w:rtl w:val="1"/>
        </w:rPr>
        <w:t xml:space="preserve">’ </w:t>
      </w:r>
      <w:r>
        <w:rPr>
          <w:rStyle w:val="Ninguno A"/>
          <w:sz w:val="24"/>
          <w:szCs w:val="24"/>
          <w:rtl w:val="0"/>
        </w:rPr>
        <w:t xml:space="preserve">De mysteriis`, </w:t>
      </w:r>
      <w:r>
        <w:rPr>
          <w:rStyle w:val="Ninguno"/>
          <w:i w:val="1"/>
          <w:iCs w:val="1"/>
          <w:sz w:val="24"/>
          <w:szCs w:val="24"/>
          <w:rtl w:val="0"/>
          <w:lang w:val="en-US"/>
        </w:rPr>
        <w:t>Seeing with Different Eyes</w:t>
      </w:r>
      <w:r>
        <w:rPr>
          <w:rStyle w:val="Ninguno"/>
          <w:sz w:val="24"/>
          <w:szCs w:val="24"/>
          <w:rtl w:val="0"/>
          <w:lang w:val="en-US"/>
        </w:rPr>
        <w:t>, ed. by Patrick Curry and Angela Voss (UK: Cambridge Scholars Publishing, 2007)</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Breslauer, Daniel, `Maslow's Category of Peak-Experience and the Theological Critique of Religion`, Review of Religious Research, Vol. 18, No. 1 (1976)</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Campion, Nicholas, `Introduction: Sky and Psyche: Heaven and Soul`, in </w:t>
      </w:r>
      <w:r>
        <w:rPr>
          <w:rStyle w:val="Ninguno"/>
          <w:i w:val="1"/>
          <w:iCs w:val="1"/>
          <w:sz w:val="24"/>
          <w:szCs w:val="24"/>
          <w:rtl w:val="0"/>
          <w:lang w:val="en-US"/>
        </w:rPr>
        <w:t>Sky and Psyche</w:t>
      </w:r>
      <w:r>
        <w:rPr>
          <w:rStyle w:val="Ninguno"/>
          <w:sz w:val="24"/>
          <w:szCs w:val="24"/>
          <w:rtl w:val="0"/>
          <w:lang w:val="en-US"/>
        </w:rPr>
        <w:t>, ed. by Nicholas Campion and Patrick Curry, (Edimburg: Floris Book, 2006)</w:t>
      </w:r>
      <w:r>
        <w:rPr>
          <w:rStyle w:val="Ninguno A"/>
          <w:sz w:val="24"/>
          <w:szCs w:val="24"/>
        </w:rPr>
        <w:br w:type="textWrapping"/>
      </w:r>
    </w:p>
    <w:p>
      <w:pPr>
        <w:pStyle w:val="Cuerpo A"/>
        <w:numPr>
          <w:ilvl w:val="0"/>
          <w:numId w:val="2"/>
        </w:numPr>
        <w:bidi w:val="0"/>
        <w:ind w:right="0"/>
        <w:jc w:val="left"/>
        <w:rPr>
          <w:sz w:val="24"/>
          <w:szCs w:val="24"/>
          <w:rtl w:val="0"/>
          <w:lang w:val="de-DE"/>
        </w:rPr>
      </w:pPr>
      <w:r>
        <w:rPr>
          <w:rStyle w:val="Ninguno"/>
          <w:sz w:val="24"/>
          <w:szCs w:val="24"/>
          <w:rtl w:val="0"/>
          <w:lang w:val="de-DE"/>
        </w:rPr>
        <w:t xml:space="preserve">Campion, Nicholas, </w:t>
      </w:r>
      <w:r>
        <w:rPr>
          <w:rStyle w:val="Ninguno"/>
          <w:sz w:val="24"/>
          <w:szCs w:val="24"/>
          <w:rtl w:val="0"/>
          <w:lang w:val="de-DE"/>
        </w:rPr>
        <w:t>´</w:t>
      </w:r>
      <w:r>
        <w:rPr>
          <w:rStyle w:val="Ninguno"/>
          <w:i w:val="1"/>
          <w:iCs w:val="1"/>
          <w:sz w:val="24"/>
          <w:szCs w:val="24"/>
          <w:rtl w:val="0"/>
          <w:lang w:val="en-US"/>
        </w:rPr>
        <w:t>Astrology and Cosmology in the World</w:t>
      </w:r>
      <w:r>
        <w:rPr>
          <w:rStyle w:val="Ninguno"/>
          <w:rFonts w:ascii="Arial Unicode MS" w:hAnsi="Arial Unicode MS" w:hint="default"/>
          <w:sz w:val="24"/>
          <w:szCs w:val="24"/>
          <w:rtl w:val="1"/>
        </w:rPr>
        <w:t>’</w:t>
      </w:r>
      <w:r>
        <w:rPr>
          <w:rStyle w:val="Ninguno"/>
          <w:i w:val="1"/>
          <w:iCs w:val="1"/>
          <w:sz w:val="24"/>
          <w:szCs w:val="24"/>
          <w:rtl w:val="0"/>
          <w:lang w:val="en-US"/>
        </w:rPr>
        <w:t>s Religions`</w:t>
      </w:r>
      <w:r>
        <w:rPr>
          <w:rStyle w:val="Ninguno"/>
          <w:sz w:val="24"/>
          <w:szCs w:val="24"/>
          <w:rtl w:val="0"/>
          <w:lang w:val="en-US"/>
        </w:rPr>
        <w:t>, (New York: New York University Press, Kindle Edition, 2012)</w:t>
      </w:r>
      <w:r>
        <w:rPr>
          <w:rStyle w:val="Ninguno A"/>
          <w:sz w:val="24"/>
          <w:szCs w:val="24"/>
        </w:rPr>
        <w:br w:type="textWrapping"/>
      </w:r>
    </w:p>
    <w:p>
      <w:pPr>
        <w:pStyle w:val="Cuerpo A"/>
        <w:numPr>
          <w:ilvl w:val="0"/>
          <w:numId w:val="2"/>
        </w:numPr>
        <w:bidi w:val="0"/>
        <w:ind w:right="0"/>
        <w:jc w:val="left"/>
        <w:rPr>
          <w:sz w:val="24"/>
          <w:szCs w:val="24"/>
          <w:rtl w:val="0"/>
          <w:lang w:val="de-DE"/>
        </w:rPr>
      </w:pPr>
      <w:r>
        <w:rPr>
          <w:rStyle w:val="Ninguno"/>
          <w:sz w:val="24"/>
          <w:szCs w:val="24"/>
          <w:rtl w:val="0"/>
          <w:lang w:val="de-DE"/>
        </w:rPr>
        <w:t xml:space="preserve">Campion, Nicholas, </w:t>
      </w:r>
      <w:r>
        <w:rPr>
          <w:rStyle w:val="Ninguno"/>
          <w:sz w:val="24"/>
          <w:szCs w:val="24"/>
          <w:rtl w:val="0"/>
          <w:lang w:val="de-DE"/>
        </w:rPr>
        <w:t>´</w:t>
      </w:r>
      <w:r>
        <w:rPr>
          <w:rStyle w:val="Ninguno"/>
          <w:i w:val="1"/>
          <w:iCs w:val="1"/>
          <w:sz w:val="24"/>
          <w:szCs w:val="24"/>
          <w:rtl w:val="0"/>
          <w:lang w:val="en-US"/>
        </w:rPr>
        <w:t>A History of Western Astrology</w:t>
      </w:r>
      <w:r>
        <w:rPr>
          <w:rStyle w:val="Ninguno"/>
          <w:sz w:val="24"/>
          <w:szCs w:val="24"/>
          <w:rtl w:val="0"/>
          <w:lang w:val="de-DE"/>
        </w:rPr>
        <w:t>´</w:t>
      </w:r>
      <w:r>
        <w:rPr>
          <w:rStyle w:val="Ninguno"/>
          <w:sz w:val="24"/>
          <w:szCs w:val="24"/>
          <w:rtl w:val="0"/>
          <w:lang w:val="nl-NL"/>
        </w:rPr>
        <w:t>, Vol. I, (London: Continuum, 2008)</w:t>
      </w:r>
    </w:p>
    <w:p>
      <w:pPr>
        <w:pStyle w:val="Cuerpo A"/>
        <w:ind w:left="720" w:firstLine="0"/>
        <w:rPr>
          <w:rStyle w:val="Ninguno A"/>
          <w:sz w:val="24"/>
          <w:szCs w:val="24"/>
        </w:rPr>
      </w:pPr>
    </w:p>
    <w:p>
      <w:pPr>
        <w:pStyle w:val="Cuerpo A"/>
        <w:numPr>
          <w:ilvl w:val="0"/>
          <w:numId w:val="2"/>
        </w:numPr>
        <w:bidi w:val="0"/>
        <w:ind w:right="0"/>
        <w:jc w:val="left"/>
        <w:rPr>
          <w:sz w:val="24"/>
          <w:szCs w:val="24"/>
          <w:rtl w:val="0"/>
          <w:lang w:val="it-IT"/>
        </w:rPr>
      </w:pPr>
      <w:r>
        <w:rPr>
          <w:rStyle w:val="Ninguno"/>
          <w:sz w:val="24"/>
          <w:szCs w:val="24"/>
          <w:rtl w:val="0"/>
          <w:lang w:val="it-IT"/>
        </w:rPr>
        <w:t xml:space="preserve">Campion Nicholas, </w:t>
      </w:r>
      <w:r>
        <w:rPr>
          <w:rStyle w:val="Ninguno"/>
          <w:sz w:val="24"/>
          <w:szCs w:val="24"/>
          <w:rtl w:val="0"/>
          <w:lang w:val="de-DE"/>
        </w:rPr>
        <w:t>´</w:t>
      </w:r>
      <w:r>
        <w:rPr>
          <w:rStyle w:val="Ninguno"/>
          <w:i w:val="1"/>
          <w:iCs w:val="1"/>
          <w:sz w:val="24"/>
          <w:szCs w:val="24"/>
          <w:rtl w:val="0"/>
          <w:lang w:val="en-US"/>
        </w:rPr>
        <w:t>A History of Western Astrology</w:t>
      </w:r>
      <w:r>
        <w:rPr>
          <w:rStyle w:val="Ninguno"/>
          <w:sz w:val="24"/>
          <w:szCs w:val="24"/>
          <w:rtl w:val="0"/>
          <w:lang w:val="de-DE"/>
        </w:rPr>
        <w:t>´</w:t>
      </w:r>
      <w:r>
        <w:rPr>
          <w:rStyle w:val="Ninguno"/>
          <w:sz w:val="24"/>
          <w:szCs w:val="24"/>
          <w:rtl w:val="0"/>
          <w:lang w:val="nl-NL"/>
        </w:rPr>
        <w:t>, Vol. II, (London: Continuum, 2009)</w:t>
      </w:r>
      <w:r>
        <w:rPr>
          <w:rStyle w:val="Ninguno A"/>
          <w:sz w:val="24"/>
          <w:szCs w:val="24"/>
        </w:rPr>
        <w:br w:type="textWrapping"/>
      </w:r>
    </w:p>
    <w:p>
      <w:pPr>
        <w:pStyle w:val="Cuerpo A"/>
        <w:numPr>
          <w:ilvl w:val="0"/>
          <w:numId w:val="2"/>
        </w:numPr>
        <w:bidi w:val="0"/>
        <w:ind w:right="0"/>
        <w:jc w:val="left"/>
        <w:rPr>
          <w:sz w:val="24"/>
          <w:szCs w:val="24"/>
          <w:rtl w:val="0"/>
          <w:lang w:val="de-DE"/>
        </w:rPr>
      </w:pPr>
      <w:r>
        <w:rPr>
          <w:rStyle w:val="Ninguno"/>
          <w:sz w:val="24"/>
          <w:szCs w:val="24"/>
          <w:rtl w:val="0"/>
          <w:lang w:val="de-DE"/>
        </w:rPr>
        <w:t xml:space="preserve">Campion, Nicholas, </w:t>
      </w:r>
      <w:r>
        <w:rPr>
          <w:rStyle w:val="Ninguno"/>
          <w:sz w:val="24"/>
          <w:szCs w:val="24"/>
          <w:rtl w:val="0"/>
          <w:lang w:val="de-DE"/>
        </w:rPr>
        <w:t>´</w:t>
      </w:r>
      <w:r>
        <w:rPr>
          <w:rStyle w:val="Ninguno"/>
          <w:i w:val="1"/>
          <w:iCs w:val="1"/>
          <w:sz w:val="24"/>
          <w:szCs w:val="24"/>
          <w:rtl w:val="0"/>
          <w:lang w:val="en-US"/>
        </w:rPr>
        <w:t>Prophecy, Cosmology and the New Age Movement: The Extent and Nature of Contemporary Belief in Astrology</w:t>
      </w:r>
      <w:r>
        <w:rPr>
          <w:rStyle w:val="Ninguno"/>
          <w:sz w:val="24"/>
          <w:szCs w:val="24"/>
          <w:rtl w:val="0"/>
          <w:lang w:val="de-DE"/>
        </w:rPr>
        <w:t xml:space="preserve">´ </w:t>
      </w:r>
      <w:r>
        <w:rPr>
          <w:rStyle w:val="Ninguno"/>
          <w:sz w:val="24"/>
          <w:szCs w:val="24"/>
          <w:rtl w:val="0"/>
          <w:lang w:val="en-US"/>
        </w:rPr>
        <w:t>(PhD Thesis, Bath Spa University, 2003)</w:t>
      </w:r>
      <w:r>
        <w:rPr>
          <w:rStyle w:val="Ninguno A"/>
          <w:sz w:val="24"/>
          <w:szCs w:val="24"/>
        </w:rPr>
        <w:br w:type="textWrapping"/>
      </w:r>
    </w:p>
    <w:p>
      <w:pPr>
        <w:pStyle w:val="Cuerpo A"/>
        <w:numPr>
          <w:ilvl w:val="0"/>
          <w:numId w:val="2"/>
        </w:numPr>
        <w:bidi w:val="0"/>
        <w:ind w:right="0"/>
        <w:jc w:val="left"/>
        <w:rPr>
          <w:sz w:val="24"/>
          <w:szCs w:val="24"/>
          <w:rtl w:val="0"/>
          <w:lang w:val="de-DE"/>
        </w:rPr>
      </w:pPr>
      <w:r>
        <w:rPr>
          <w:rStyle w:val="Ninguno"/>
          <w:sz w:val="24"/>
          <w:szCs w:val="24"/>
          <w:rtl w:val="0"/>
          <w:lang w:val="de-DE"/>
        </w:rPr>
        <w:t xml:space="preserve">Campion, Nicholas, </w:t>
      </w:r>
      <w:r>
        <w:rPr>
          <w:rStyle w:val="Ninguno"/>
          <w:sz w:val="24"/>
          <w:szCs w:val="24"/>
          <w:rtl w:val="0"/>
          <w:lang w:val="de-DE"/>
        </w:rPr>
        <w:t>´</w:t>
      </w:r>
      <w:r>
        <w:rPr>
          <w:rStyle w:val="Ninguno"/>
          <w:i w:val="1"/>
          <w:iCs w:val="1"/>
          <w:sz w:val="24"/>
          <w:szCs w:val="24"/>
          <w:rtl w:val="0"/>
          <w:lang w:val="en-US"/>
        </w:rPr>
        <w:t>Enchantment and the Awe of the Heavens</w:t>
      </w:r>
      <w:r>
        <w:rPr>
          <w:rStyle w:val="Ninguno"/>
          <w:sz w:val="24"/>
          <w:szCs w:val="24"/>
          <w:rtl w:val="0"/>
          <w:lang w:val="en-US"/>
        </w:rPr>
        <w:t>`, ASP Conference Series, Vol. 441 (2011)</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Campion, Nicholas, `Is Astrology a Symbolic Language?`, </w:t>
      </w:r>
      <w:r>
        <w:rPr>
          <w:rStyle w:val="Ninguno"/>
          <w:i w:val="1"/>
          <w:iCs w:val="1"/>
          <w:sz w:val="24"/>
          <w:szCs w:val="24"/>
          <w:rtl w:val="0"/>
          <w:lang w:val="en-US"/>
        </w:rPr>
        <w:t>Sky and Symbol,</w:t>
      </w:r>
      <w:r>
        <w:rPr>
          <w:rStyle w:val="Ninguno"/>
          <w:sz w:val="24"/>
          <w:szCs w:val="24"/>
          <w:rtl w:val="0"/>
          <w:lang w:val="en-US"/>
        </w:rPr>
        <w:t xml:space="preserve"> ed. by Nicholas Campion and Liz Greene (UK: Sophia Centre Press, 2013)</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Clark, Brian, </w:t>
      </w:r>
      <w:r>
        <w:rPr>
          <w:rStyle w:val="Ninguno"/>
          <w:i w:val="1"/>
          <w:iCs w:val="1"/>
          <w:sz w:val="24"/>
          <w:szCs w:val="24"/>
          <w:rtl w:val="0"/>
          <w:lang w:val="de-DE"/>
        </w:rPr>
        <w:t>´</w:t>
      </w:r>
      <w:r>
        <w:rPr>
          <w:rStyle w:val="Ninguno"/>
          <w:i w:val="1"/>
          <w:iCs w:val="1"/>
          <w:sz w:val="24"/>
          <w:szCs w:val="24"/>
          <w:rtl w:val="0"/>
          <w:lang w:val="en-US"/>
        </w:rPr>
        <w:t>Soul, Symbol and Imagination</w:t>
      </w:r>
      <w:r>
        <w:rPr>
          <w:rStyle w:val="Ninguno"/>
          <w:i w:val="1"/>
          <w:iCs w:val="1"/>
          <w:sz w:val="24"/>
          <w:szCs w:val="24"/>
          <w:rtl w:val="0"/>
          <w:lang w:val="de-DE"/>
        </w:rPr>
        <w:t>´</w:t>
      </w:r>
      <w:r>
        <w:rPr>
          <w:rStyle w:val="Ninguno"/>
          <w:sz w:val="24"/>
          <w:szCs w:val="24"/>
          <w:rtl w:val="0"/>
          <w:lang w:val="en-US"/>
        </w:rPr>
        <w:t>, (Australia: Astro*Synthesis. Kindle Edition, 2019)</w:t>
      </w:r>
      <w:r>
        <w:rPr>
          <w:rStyle w:val="Ninguno A"/>
          <w:sz w:val="24"/>
          <w:szCs w:val="24"/>
        </w:rPr>
        <w:br w:type="textWrapping"/>
      </w:r>
    </w:p>
    <w:p>
      <w:pPr>
        <w:pStyle w:val="Cuerpo A"/>
        <w:numPr>
          <w:ilvl w:val="0"/>
          <w:numId w:val="2"/>
        </w:numPr>
        <w:bidi w:val="0"/>
        <w:ind w:right="0"/>
        <w:jc w:val="left"/>
        <w:rPr>
          <w:sz w:val="24"/>
          <w:szCs w:val="24"/>
          <w:rtl w:val="0"/>
          <w:lang w:val="fr-FR"/>
        </w:rPr>
      </w:pPr>
      <w:r>
        <w:rPr>
          <w:rStyle w:val="Ninguno"/>
          <w:sz w:val="24"/>
          <w:szCs w:val="24"/>
          <w:rtl w:val="0"/>
          <w:lang w:val="fr-FR"/>
        </w:rPr>
        <w:t xml:space="preserve">Corbin, Henry, </w:t>
      </w:r>
      <w:r>
        <w:rPr>
          <w:rStyle w:val="Ninguno"/>
          <w:rFonts w:ascii="Arial Unicode MS" w:hAnsi="Arial Unicode MS" w:hint="default"/>
          <w:sz w:val="24"/>
          <w:szCs w:val="24"/>
          <w:rtl w:val="1"/>
          <w:lang w:val="ar-SA" w:bidi="ar-SA"/>
        </w:rPr>
        <w:t>“</w:t>
      </w:r>
      <w:r>
        <w:rPr>
          <w:rStyle w:val="Ninguno"/>
          <w:sz w:val="24"/>
          <w:szCs w:val="24"/>
          <w:rtl w:val="0"/>
          <w:lang w:val="en-US"/>
        </w:rPr>
        <w:t>Mundus Imaginalis or the Imaginary and the Imaginal,</w:t>
      </w:r>
      <w:r>
        <w:rPr>
          <w:rStyle w:val="Ninguno A"/>
          <w:sz w:val="24"/>
          <w:szCs w:val="24"/>
          <w:rtl w:val="0"/>
        </w:rPr>
        <w:t xml:space="preserve">” </w:t>
      </w:r>
      <w:r>
        <w:rPr>
          <w:rStyle w:val="Ninguno A"/>
          <w:sz w:val="24"/>
          <w:szCs w:val="24"/>
          <w:rtl w:val="0"/>
        </w:rPr>
        <w:t>in: Spring (1975)</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Cornelius, Geoffrey, `The Moment of Astrology`, (England: The Wessex Astrologer Ltd, 2003)</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Curry, Patrick, </w:t>
      </w:r>
      <w:r>
        <w:rPr>
          <w:rStyle w:val="Ninguno"/>
          <w:i w:val="1"/>
          <w:iCs w:val="1"/>
          <w:sz w:val="24"/>
          <w:szCs w:val="24"/>
          <w:rtl w:val="0"/>
          <w:lang w:val="en-US"/>
        </w:rPr>
        <w:t xml:space="preserve">Prophecy and Power: Astrology in Early Modern England </w:t>
      </w:r>
      <w:r>
        <w:rPr>
          <w:rStyle w:val="Ninguno"/>
          <w:sz w:val="24"/>
          <w:szCs w:val="24"/>
          <w:rtl w:val="0"/>
          <w:lang w:val="en-US"/>
        </w:rPr>
        <w:t>(USA: Princeton University Press, 1989)</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Dennis, Lawrence J. and Powers, J. Francis, `</w:t>
      </w:r>
      <w:r>
        <w:rPr>
          <w:rStyle w:val="Ninguno"/>
          <w:i w:val="1"/>
          <w:iCs w:val="1"/>
          <w:sz w:val="24"/>
          <w:szCs w:val="24"/>
          <w:rtl w:val="0"/>
          <w:lang w:val="en-US"/>
        </w:rPr>
        <w:t xml:space="preserve">Dewey, Maslow, and Consummatory Experience`, </w:t>
      </w:r>
      <w:r>
        <w:rPr>
          <w:rStyle w:val="Ninguno"/>
          <w:sz w:val="24"/>
          <w:szCs w:val="24"/>
          <w:rtl w:val="0"/>
          <w:lang w:val="en-US"/>
        </w:rPr>
        <w:t>Journal of Aesthetic Education, Vol. 8, No. 4 (1974)</w:t>
      </w:r>
      <w:r>
        <w:rPr>
          <w:rStyle w:val="Ninguno A"/>
          <w:sz w:val="24"/>
          <w:szCs w:val="24"/>
        </w:rPr>
        <w:br w:type="textWrapping"/>
      </w:r>
    </w:p>
    <w:p>
      <w:pPr>
        <w:pStyle w:val="Cuerpo A"/>
        <w:numPr>
          <w:ilvl w:val="0"/>
          <w:numId w:val="2"/>
        </w:numPr>
        <w:bidi w:val="0"/>
        <w:ind w:right="0"/>
        <w:jc w:val="left"/>
        <w:rPr>
          <w:sz w:val="24"/>
          <w:szCs w:val="24"/>
          <w:rtl w:val="0"/>
        </w:rPr>
      </w:pPr>
      <w:r>
        <w:rPr>
          <w:rStyle w:val="Ninguno A"/>
          <w:sz w:val="24"/>
          <w:szCs w:val="24"/>
          <w:rtl w:val="0"/>
        </w:rPr>
        <w:t xml:space="preserve">Eliade, Mircea, </w:t>
      </w:r>
      <w:r>
        <w:rPr>
          <w:rStyle w:val="Ninguno"/>
          <w:i w:val="1"/>
          <w:iCs w:val="1"/>
          <w:sz w:val="24"/>
          <w:szCs w:val="24"/>
          <w:rtl w:val="0"/>
          <w:lang w:val="en-US"/>
        </w:rPr>
        <w:t>`Images and Symbols</w:t>
      </w:r>
      <w:r>
        <w:rPr>
          <w:rStyle w:val="Ninguno"/>
          <w:sz w:val="24"/>
          <w:szCs w:val="24"/>
          <w:rtl w:val="0"/>
          <w:lang w:val="en-US"/>
        </w:rPr>
        <w:t>`, (USA: Princeton University Press. Kindle Edition, 1991)</w:t>
      </w:r>
      <w:r>
        <w:rPr>
          <w:rStyle w:val="Ninguno A"/>
          <w:sz w:val="24"/>
          <w:szCs w:val="24"/>
        </w:rPr>
        <w:br w:type="textWrapping"/>
      </w:r>
    </w:p>
    <w:p>
      <w:pPr>
        <w:pStyle w:val="Cuerpo A"/>
        <w:numPr>
          <w:ilvl w:val="0"/>
          <w:numId w:val="2"/>
        </w:numPr>
        <w:bidi w:val="0"/>
        <w:ind w:right="0"/>
        <w:jc w:val="left"/>
        <w:rPr>
          <w:sz w:val="24"/>
          <w:szCs w:val="24"/>
          <w:rtl w:val="0"/>
        </w:rPr>
      </w:pPr>
      <w:r>
        <w:rPr>
          <w:rStyle w:val="Ninguno A"/>
          <w:sz w:val="24"/>
          <w:szCs w:val="24"/>
          <w:rtl w:val="0"/>
        </w:rPr>
        <w:t xml:space="preserve">Eliade, Mircea, </w:t>
      </w:r>
      <w:r>
        <w:rPr>
          <w:rStyle w:val="Ninguno"/>
          <w:sz w:val="24"/>
          <w:szCs w:val="24"/>
          <w:rtl w:val="0"/>
          <w:lang w:val="de-DE"/>
        </w:rPr>
        <w:t>´</w:t>
      </w:r>
      <w:r>
        <w:rPr>
          <w:rStyle w:val="Ninguno"/>
          <w:i w:val="1"/>
          <w:iCs w:val="1"/>
          <w:sz w:val="24"/>
          <w:szCs w:val="24"/>
          <w:rtl w:val="0"/>
          <w:lang w:val="en-US"/>
        </w:rPr>
        <w:t>The Sacred and the Profane: The Nature of Religion</w:t>
      </w:r>
      <w:r>
        <w:rPr>
          <w:rStyle w:val="Ninguno"/>
          <w:sz w:val="24"/>
          <w:szCs w:val="24"/>
          <w:rtl w:val="0"/>
          <w:lang w:val="de-DE"/>
        </w:rPr>
        <w:t>´</w:t>
      </w:r>
      <w:r>
        <w:rPr>
          <w:rStyle w:val="Ninguno"/>
          <w:sz w:val="24"/>
          <w:szCs w:val="24"/>
          <w:rtl w:val="0"/>
          <w:lang w:val="en-US"/>
        </w:rPr>
        <w:t>, (New York: A Harvest Book, 1968)</w:t>
      </w:r>
      <w:r>
        <w:rPr>
          <w:rStyle w:val="Ninguno A"/>
          <w:sz w:val="24"/>
          <w:szCs w:val="24"/>
        </w:rPr>
        <w:br w:type="textWrapping"/>
      </w:r>
    </w:p>
    <w:p>
      <w:pPr>
        <w:pStyle w:val="Cuerpo A"/>
        <w:numPr>
          <w:ilvl w:val="0"/>
          <w:numId w:val="2"/>
        </w:numPr>
        <w:bidi w:val="0"/>
        <w:ind w:right="0"/>
        <w:jc w:val="left"/>
        <w:rPr>
          <w:sz w:val="24"/>
          <w:szCs w:val="24"/>
          <w:rtl w:val="0"/>
        </w:rPr>
      </w:pPr>
      <w:r>
        <w:rPr>
          <w:rStyle w:val="Ninguno A"/>
          <w:sz w:val="24"/>
          <w:szCs w:val="24"/>
          <w:rtl w:val="0"/>
        </w:rPr>
        <w:t xml:space="preserve">Eliade, Mircea, </w:t>
      </w:r>
      <w:r>
        <w:rPr>
          <w:rStyle w:val="Ninguno"/>
          <w:i w:val="1"/>
          <w:iCs w:val="1"/>
          <w:sz w:val="24"/>
          <w:szCs w:val="24"/>
          <w:rtl w:val="0"/>
          <w:lang w:val="es-ES_tradnl"/>
        </w:rPr>
        <w:t>Mitos, Sue</w:t>
      </w:r>
      <w:r>
        <w:rPr>
          <w:rStyle w:val="Ninguno"/>
          <w:i w:val="1"/>
          <w:iCs w:val="1"/>
          <w:sz w:val="24"/>
          <w:szCs w:val="24"/>
          <w:rtl w:val="0"/>
          <w:lang w:val="es-ES_tradnl"/>
        </w:rPr>
        <w:t>ñ</w:t>
      </w:r>
      <w:r>
        <w:rPr>
          <w:rStyle w:val="Ninguno"/>
          <w:i w:val="1"/>
          <w:iCs w:val="1"/>
          <w:sz w:val="24"/>
          <w:szCs w:val="24"/>
          <w:rtl w:val="0"/>
          <w:lang w:val="es-ES_tradnl"/>
        </w:rPr>
        <w:t>os y Misterios</w:t>
      </w:r>
      <w:r>
        <w:rPr>
          <w:rStyle w:val="Ninguno"/>
          <w:sz w:val="24"/>
          <w:szCs w:val="24"/>
          <w:rtl w:val="0"/>
          <w:lang w:val="pt-PT"/>
        </w:rPr>
        <w:t xml:space="preserve"> (Spain: Editorial Kairos, 2001)</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Encyclopedia Britannica,`Abraham Maslow` https://www.britannica.com/biography/Abraham-H-Maslow, [accessed 02 January 2019]</w:t>
      </w:r>
      <w:r>
        <w:rPr>
          <w:rStyle w:val="Ninguno A"/>
          <w:sz w:val="24"/>
          <w:szCs w:val="24"/>
        </w:rPr>
        <w:br w:type="textWrapping"/>
      </w:r>
    </w:p>
    <w:p>
      <w:pPr>
        <w:pStyle w:val="Cuerpo A"/>
        <w:numPr>
          <w:ilvl w:val="0"/>
          <w:numId w:val="2"/>
        </w:numPr>
        <w:bidi w:val="0"/>
        <w:ind w:right="0"/>
        <w:jc w:val="left"/>
        <w:rPr>
          <w:sz w:val="24"/>
          <w:szCs w:val="24"/>
          <w:rtl w:val="0"/>
          <w:lang w:val="fr-FR"/>
        </w:rPr>
      </w:pPr>
      <w:r>
        <w:rPr>
          <w:rStyle w:val="Ninguno"/>
          <w:sz w:val="24"/>
          <w:szCs w:val="24"/>
          <w:rtl w:val="0"/>
          <w:lang w:val="fr-FR"/>
        </w:rPr>
        <w:t xml:space="preserve">Faivre, Antoine, </w:t>
      </w:r>
      <w:r>
        <w:rPr>
          <w:rStyle w:val="Ninguno"/>
          <w:i w:val="1"/>
          <w:iCs w:val="1"/>
          <w:sz w:val="24"/>
          <w:szCs w:val="24"/>
          <w:rtl w:val="0"/>
          <w:lang w:val="de-DE"/>
        </w:rPr>
        <w:t>´</w:t>
      </w:r>
      <w:r>
        <w:rPr>
          <w:rStyle w:val="Ninguno"/>
          <w:i w:val="1"/>
          <w:iCs w:val="1"/>
          <w:sz w:val="24"/>
          <w:szCs w:val="24"/>
          <w:rtl w:val="0"/>
          <w:lang w:val="it-IT"/>
        </w:rPr>
        <w:t>Western Esotericism: A Concise History`</w:t>
      </w:r>
      <w:r>
        <w:rPr>
          <w:rStyle w:val="Ninguno"/>
          <w:sz w:val="24"/>
          <w:szCs w:val="24"/>
          <w:rtl w:val="0"/>
          <w:lang w:val="en-US"/>
        </w:rPr>
        <w:t>, trans. by Christine Rhone (New York: Sunny Press, 2010)</w:t>
      </w:r>
      <w:r>
        <w:rPr>
          <w:rStyle w:val="Ninguno A"/>
          <w:sz w:val="24"/>
          <w:szCs w:val="24"/>
        </w:rPr>
        <w:br w:type="textWrapping"/>
      </w:r>
    </w:p>
    <w:p>
      <w:pPr>
        <w:pStyle w:val="Cuerpo A"/>
        <w:numPr>
          <w:ilvl w:val="0"/>
          <w:numId w:val="2"/>
        </w:numPr>
        <w:bidi w:val="0"/>
        <w:ind w:right="0"/>
        <w:jc w:val="left"/>
        <w:rPr>
          <w:sz w:val="24"/>
          <w:szCs w:val="24"/>
          <w:rtl w:val="0"/>
          <w:lang w:val="pt-PT"/>
        </w:rPr>
      </w:pPr>
      <w:r>
        <w:rPr>
          <w:rStyle w:val="Ninguno"/>
          <w:sz w:val="24"/>
          <w:szCs w:val="24"/>
          <w:rtl w:val="0"/>
          <w:lang w:val="pt-PT"/>
        </w:rPr>
        <w:t>Ferrer, Jorge, `</w:t>
      </w:r>
      <w:r>
        <w:rPr>
          <w:rStyle w:val="Ninguno"/>
          <w:i w:val="1"/>
          <w:iCs w:val="1"/>
          <w:sz w:val="24"/>
          <w:szCs w:val="24"/>
          <w:rtl w:val="0"/>
          <w:lang w:val="en-US"/>
        </w:rPr>
        <w:t>Participatory Spirituality and Transpersonal Theory</w:t>
      </w:r>
      <w:r>
        <w:rPr>
          <w:rStyle w:val="Ninguno"/>
          <w:sz w:val="24"/>
          <w:szCs w:val="24"/>
          <w:rtl w:val="0"/>
          <w:lang w:val="en-US"/>
        </w:rPr>
        <w:t>`, The Journal of Transpersonal Psychology,, Vol. 43, No. 1 (2011)</w:t>
      </w:r>
      <w:r>
        <w:rPr>
          <w:rStyle w:val="Ninguno A"/>
          <w:sz w:val="24"/>
          <w:szCs w:val="24"/>
        </w:rPr>
        <w:br w:type="textWrapping"/>
      </w:r>
    </w:p>
    <w:p>
      <w:pPr>
        <w:pStyle w:val="Cuerpo A"/>
        <w:numPr>
          <w:ilvl w:val="0"/>
          <w:numId w:val="2"/>
        </w:numPr>
        <w:bidi w:val="0"/>
        <w:ind w:right="0"/>
        <w:jc w:val="left"/>
        <w:rPr>
          <w:sz w:val="24"/>
          <w:szCs w:val="24"/>
          <w:rtl w:val="0"/>
          <w:lang w:val="pt-PT"/>
        </w:rPr>
      </w:pPr>
      <w:r>
        <w:rPr>
          <w:rStyle w:val="Ninguno"/>
          <w:sz w:val="24"/>
          <w:szCs w:val="24"/>
          <w:rtl w:val="0"/>
          <w:lang w:val="pt-PT"/>
        </w:rPr>
        <w:t xml:space="preserve">Ferrer, Jorge, </w:t>
      </w:r>
      <w:r>
        <w:rPr>
          <w:rStyle w:val="Ninguno"/>
          <w:i w:val="1"/>
          <w:iCs w:val="1"/>
          <w:sz w:val="24"/>
          <w:szCs w:val="24"/>
          <w:rtl w:val="0"/>
          <w:lang w:val="it-IT"/>
        </w:rPr>
        <w:t>`Psicolog</w:t>
      </w:r>
      <w:r>
        <w:rPr>
          <w:rStyle w:val="Ninguno"/>
          <w:i w:val="1"/>
          <w:iCs w:val="1"/>
          <w:sz w:val="24"/>
          <w:szCs w:val="24"/>
          <w:rtl w:val="0"/>
        </w:rPr>
        <w:t>í</w:t>
      </w:r>
      <w:r>
        <w:rPr>
          <w:rStyle w:val="Ninguno"/>
          <w:i w:val="1"/>
          <w:iCs w:val="1"/>
          <w:sz w:val="24"/>
          <w:szCs w:val="24"/>
          <w:rtl w:val="0"/>
          <w:lang w:val="es-ES_tradnl"/>
        </w:rPr>
        <w:t xml:space="preserve">a Transpersonal y Espiritualidad Participativa`, </w:t>
      </w:r>
      <w:r>
        <w:rPr>
          <w:rStyle w:val="Ninguno"/>
          <w:outline w:val="0"/>
          <w:color w:val="1155cc"/>
          <w:sz w:val="24"/>
          <w:szCs w:val="24"/>
          <w:u w:val="single" w:color="1155cc"/>
          <w:rtl w:val="0"/>
          <w:lang w:val="en-US"/>
          <w14:textFill>
            <w14:solidFill>
              <w14:srgbClr w14:val="1155CC"/>
            </w14:solidFill>
          </w14:textFill>
        </w:rPr>
        <w:t>https://youtu.be/TISHqqXZ6C0</w:t>
      </w:r>
      <w:r>
        <w:rPr>
          <w:rStyle w:val="Ninguno"/>
          <w:sz w:val="24"/>
          <w:szCs w:val="24"/>
          <w:rtl w:val="0"/>
          <w:lang w:val="en-US"/>
        </w:rPr>
        <w:t xml:space="preserve"> [accessed 13 February 2021]</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Forshaw, Peter J., </w:t>
      </w:r>
      <w:r>
        <w:rPr>
          <w:rStyle w:val="Ninguno"/>
          <w:i w:val="1"/>
          <w:iCs w:val="1"/>
          <w:sz w:val="24"/>
          <w:szCs w:val="24"/>
          <w:rtl w:val="0"/>
          <w:lang w:val="ru-RU"/>
        </w:rPr>
        <w:t>`</w:t>
      </w:r>
      <w:r>
        <w:rPr>
          <w:rStyle w:val="Ninguno"/>
          <w:sz w:val="24"/>
          <w:szCs w:val="24"/>
          <w:rtl w:val="0"/>
          <w:lang w:val="en-US"/>
        </w:rPr>
        <w:t>Introduction: The Visual and the Symbolic in Western Esotericism`</w:t>
      </w:r>
      <w:r>
        <w:rPr>
          <w:rStyle w:val="Ninguno"/>
          <w:i w:val="1"/>
          <w:iCs w:val="1"/>
          <w:sz w:val="24"/>
          <w:szCs w:val="24"/>
          <w:rtl w:val="0"/>
        </w:rPr>
        <w:t xml:space="preserve">, </w:t>
      </w:r>
      <w:r>
        <w:rPr>
          <w:rStyle w:val="Ninguno A"/>
          <w:sz w:val="24"/>
          <w:szCs w:val="24"/>
          <w:rtl w:val="0"/>
        </w:rPr>
        <w:t xml:space="preserve">in </w:t>
      </w:r>
      <w:r>
        <w:rPr>
          <w:rStyle w:val="Ninguno"/>
          <w:i w:val="1"/>
          <w:iCs w:val="1"/>
          <w:sz w:val="24"/>
          <w:szCs w:val="24"/>
          <w:rtl w:val="0"/>
          <w:lang w:val="fr-FR"/>
        </w:rPr>
        <w:t xml:space="preserve">Lux in Tenebris, Aries Book Series, Vol. 23, </w:t>
      </w:r>
      <w:r>
        <w:rPr>
          <w:rStyle w:val="Ninguno"/>
          <w:sz w:val="24"/>
          <w:szCs w:val="24"/>
          <w:rtl w:val="0"/>
          <w:lang w:val="en-US"/>
        </w:rPr>
        <w:t>(Netherlands: Brill, 2017)</w:t>
      </w:r>
      <w:r>
        <w:rPr>
          <w:rStyle w:val="Ninguno A"/>
          <w:sz w:val="24"/>
          <w:szCs w:val="24"/>
        </w:rPr>
        <w:br w:type="textWrapping"/>
      </w:r>
    </w:p>
    <w:p>
      <w:pPr>
        <w:pStyle w:val="Cuerpo A"/>
        <w:numPr>
          <w:ilvl w:val="0"/>
          <w:numId w:val="2"/>
        </w:numPr>
        <w:bidi w:val="0"/>
        <w:ind w:right="0"/>
        <w:jc w:val="left"/>
        <w:rPr>
          <w:sz w:val="24"/>
          <w:szCs w:val="24"/>
          <w:rtl w:val="0"/>
        </w:rPr>
      </w:pPr>
      <w:r>
        <w:rPr>
          <w:rStyle w:val="Ninguno A"/>
          <w:sz w:val="24"/>
          <w:szCs w:val="24"/>
          <w:rtl w:val="0"/>
        </w:rPr>
        <w:t>Greene,  Liz, `</w:t>
      </w:r>
      <w:r>
        <w:rPr>
          <w:rStyle w:val="Ninguno"/>
          <w:i w:val="1"/>
          <w:iCs w:val="1"/>
          <w:sz w:val="24"/>
          <w:szCs w:val="24"/>
          <w:rtl w:val="0"/>
          <w:lang w:val="en-US"/>
        </w:rPr>
        <w:t>Mystical Experiences Among Astrologers</w:t>
      </w:r>
      <w:r>
        <w:rPr>
          <w:rStyle w:val="Ninguno"/>
          <w:sz w:val="24"/>
          <w:szCs w:val="24"/>
          <w:rtl w:val="0"/>
          <w:lang w:val="pt-PT"/>
        </w:rPr>
        <w:t>`, Culture and Cosmos Vol.13, No. 2 (2009)</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Greene, Liz, `</w:t>
      </w:r>
      <w:r>
        <w:rPr>
          <w:rStyle w:val="Ninguno"/>
          <w:i w:val="1"/>
          <w:iCs w:val="1"/>
          <w:sz w:val="24"/>
          <w:szCs w:val="24"/>
          <w:rtl w:val="0"/>
          <w:lang w:val="en-US"/>
        </w:rPr>
        <w:t>Receiving the Messengers: The Astrology of Jung's Liber Novus</w:t>
      </w:r>
      <w:r>
        <w:rPr>
          <w:rStyle w:val="Ninguno"/>
          <w:sz w:val="24"/>
          <w:szCs w:val="24"/>
          <w:rtl w:val="0"/>
          <w:lang w:val="en-US"/>
        </w:rPr>
        <w:t>`, (paper presented at Sky &amp; Psyche Module, University Trinity Saint David, November 2018)</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Greene, Liz, </w:t>
      </w:r>
      <w:r>
        <w:rPr>
          <w:rStyle w:val="Ninguno"/>
          <w:i w:val="1"/>
          <w:iCs w:val="1"/>
          <w:sz w:val="24"/>
          <w:szCs w:val="24"/>
          <w:rtl w:val="0"/>
          <w:lang w:val="de-DE"/>
        </w:rPr>
        <w:t>`Jung</w:t>
      </w:r>
      <w:r>
        <w:rPr>
          <w:rStyle w:val="Ninguno"/>
          <w:i w:val="1"/>
          <w:iCs w:val="1"/>
          <w:sz w:val="24"/>
          <w:szCs w:val="24"/>
          <w:rtl w:val="0"/>
          <w:lang w:val="de-DE"/>
        </w:rPr>
        <w:t>´</w:t>
      </w:r>
      <w:r>
        <w:rPr>
          <w:rStyle w:val="Ninguno"/>
          <w:i w:val="1"/>
          <w:iCs w:val="1"/>
          <w:sz w:val="24"/>
          <w:szCs w:val="24"/>
          <w:rtl w:val="0"/>
          <w:lang w:val="en-US"/>
        </w:rPr>
        <w:t xml:space="preserve">s Studies in Astrology`, </w:t>
      </w:r>
      <w:r>
        <w:rPr>
          <w:rStyle w:val="Ninguno"/>
          <w:sz w:val="24"/>
          <w:szCs w:val="24"/>
          <w:rtl w:val="0"/>
          <w:lang w:val="en-US"/>
        </w:rPr>
        <w:t>(UK: Routledge, 2018)</w:t>
      </w:r>
      <w:r>
        <w:rPr>
          <w:rStyle w:val="Ninguno A"/>
          <w:sz w:val="24"/>
          <w:szCs w:val="24"/>
        </w:rPr>
        <w:br w:type="textWrapping"/>
      </w:r>
    </w:p>
    <w:p>
      <w:pPr>
        <w:pStyle w:val="Cuerpo A"/>
        <w:numPr>
          <w:ilvl w:val="0"/>
          <w:numId w:val="2"/>
        </w:numPr>
        <w:bidi w:val="0"/>
        <w:ind w:right="0"/>
        <w:jc w:val="left"/>
        <w:rPr>
          <w:sz w:val="24"/>
          <w:szCs w:val="24"/>
          <w:rtl w:val="0"/>
          <w:lang w:val="de-DE"/>
        </w:rPr>
      </w:pPr>
      <w:r>
        <w:rPr>
          <w:rStyle w:val="Ninguno"/>
          <w:sz w:val="24"/>
          <w:szCs w:val="24"/>
          <w:rtl w:val="0"/>
          <w:lang w:val="de-DE"/>
        </w:rPr>
        <w:t xml:space="preserve">Griffin,  David Ray, </w:t>
      </w:r>
      <w:r>
        <w:rPr>
          <w:rStyle w:val="Ninguno"/>
          <w:rFonts w:ascii="Arial Unicode MS" w:hAnsi="Arial Unicode MS" w:hint="default"/>
          <w:sz w:val="24"/>
          <w:szCs w:val="24"/>
          <w:rtl w:val="1"/>
        </w:rPr>
        <w:t>‘</w:t>
      </w:r>
      <w:r>
        <w:rPr>
          <w:rStyle w:val="Ninguno"/>
          <w:i w:val="1"/>
          <w:iCs w:val="1"/>
          <w:sz w:val="24"/>
          <w:szCs w:val="24"/>
          <w:rtl w:val="0"/>
          <w:lang w:val="en-US"/>
        </w:rPr>
        <w:t>Archetypal Process</w:t>
      </w:r>
      <w:r>
        <w:rPr>
          <w:rStyle w:val="Ninguno"/>
          <w:sz w:val="24"/>
          <w:szCs w:val="24"/>
          <w:rtl w:val="0"/>
          <w:lang w:val="en-US"/>
        </w:rPr>
        <w:t>`, (USA: Northwestern University Press, 1989)</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Grof,  Stanislav, `Revision and Re-Enchantment of Psychology`, The Journal of Transpersonal Psychology, Vol. 44, No. 2 (2012)</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Harpur, Patrick, </w:t>
      </w:r>
      <w:r>
        <w:rPr>
          <w:rStyle w:val="Ninguno"/>
          <w:i w:val="1"/>
          <w:iCs w:val="1"/>
          <w:sz w:val="24"/>
          <w:szCs w:val="24"/>
          <w:rtl w:val="0"/>
          <w:lang w:val="en-US"/>
        </w:rPr>
        <w:t>A Complete Guide to the Soul</w:t>
      </w:r>
      <w:r>
        <w:rPr>
          <w:rStyle w:val="Ninguno A"/>
          <w:sz w:val="24"/>
          <w:szCs w:val="24"/>
          <w:rtl w:val="0"/>
        </w:rPr>
        <w:t xml:space="preserve"> (UK: Ride. Edici</w:t>
      </w:r>
      <w:r>
        <w:rPr>
          <w:rStyle w:val="Ninguno"/>
          <w:sz w:val="24"/>
          <w:szCs w:val="24"/>
          <w:rtl w:val="0"/>
          <w:lang w:val="es-ES_tradnl"/>
        </w:rPr>
        <w:t>ó</w:t>
      </w:r>
      <w:r>
        <w:rPr>
          <w:rStyle w:val="Ninguno"/>
          <w:sz w:val="24"/>
          <w:szCs w:val="24"/>
          <w:rtl w:val="0"/>
          <w:lang w:val="de-DE"/>
        </w:rPr>
        <w:t>n de Kindle, 2010)</w:t>
      </w:r>
    </w:p>
    <w:p>
      <w:pPr>
        <w:pStyle w:val="Cuerpo A"/>
        <w:rPr>
          <w:rStyle w:val="Ninguno A"/>
          <w:sz w:val="24"/>
          <w:szCs w:val="24"/>
        </w:rPr>
      </w:pPr>
    </w:p>
    <w:p>
      <w:pPr>
        <w:pStyle w:val="Cuerpo A"/>
        <w:numPr>
          <w:ilvl w:val="0"/>
          <w:numId w:val="2"/>
        </w:numPr>
        <w:bidi w:val="0"/>
        <w:ind w:right="0"/>
        <w:jc w:val="left"/>
        <w:rPr>
          <w:sz w:val="24"/>
          <w:szCs w:val="24"/>
          <w:rtl w:val="0"/>
          <w:lang w:val="de-DE"/>
        </w:rPr>
      </w:pPr>
      <w:r>
        <w:rPr>
          <w:rStyle w:val="Ninguno"/>
          <w:sz w:val="24"/>
          <w:szCs w:val="24"/>
          <w:rtl w:val="0"/>
          <w:lang w:val="de-DE"/>
        </w:rPr>
        <w:t>Iamblichus,</w:t>
      </w:r>
      <w:r>
        <w:rPr>
          <w:rStyle w:val="Ninguno"/>
          <w:i w:val="1"/>
          <w:iCs w:val="1"/>
          <w:sz w:val="24"/>
          <w:szCs w:val="24"/>
          <w:rtl w:val="0"/>
          <w:lang w:val="en-US"/>
        </w:rPr>
        <w:t xml:space="preserve"> On the Mysteries of the Egyptians, Chaldeans, and Assyrians, </w:t>
      </w:r>
      <w:r>
        <w:rPr>
          <w:rStyle w:val="Ninguno"/>
          <w:sz w:val="24"/>
          <w:szCs w:val="24"/>
          <w:rtl w:val="0"/>
          <w:lang w:val="en-US"/>
        </w:rPr>
        <w:t>trans. by Thomas Taylor (Canada: Kshetra Books, Kindle Edition, 2015)</w:t>
      </w:r>
      <w:r>
        <w:rPr>
          <w:rStyle w:val="Ninguno A"/>
          <w:sz w:val="24"/>
          <w:szCs w:val="24"/>
        </w:rPr>
        <w:br w:type="textWrapping"/>
      </w:r>
    </w:p>
    <w:p>
      <w:pPr>
        <w:pStyle w:val="Cuerpo A"/>
        <w:numPr>
          <w:ilvl w:val="0"/>
          <w:numId w:val="2"/>
        </w:numPr>
        <w:bidi w:val="0"/>
        <w:ind w:right="0"/>
        <w:jc w:val="left"/>
        <w:rPr>
          <w:sz w:val="24"/>
          <w:szCs w:val="24"/>
          <w:rtl w:val="0"/>
          <w:lang w:val="de-DE"/>
        </w:rPr>
      </w:pPr>
      <w:r>
        <w:rPr>
          <w:rStyle w:val="Ninguno"/>
          <w:sz w:val="24"/>
          <w:szCs w:val="24"/>
          <w:rtl w:val="0"/>
          <w:lang w:val="de-DE"/>
        </w:rPr>
        <w:t>Jung, Carl G., `</w:t>
      </w:r>
      <w:r>
        <w:rPr>
          <w:rStyle w:val="Ninguno"/>
          <w:i w:val="1"/>
          <w:iCs w:val="1"/>
          <w:sz w:val="24"/>
          <w:szCs w:val="24"/>
          <w:rtl w:val="0"/>
          <w:lang w:val="en-US"/>
        </w:rPr>
        <w:t>Aion: Researches into the Phenomenology of the Self`</w:t>
      </w:r>
      <w:r>
        <w:rPr>
          <w:rStyle w:val="Ninguno"/>
          <w:sz w:val="24"/>
          <w:szCs w:val="24"/>
          <w:rtl w:val="0"/>
          <w:lang w:val="en-US"/>
        </w:rPr>
        <w:t xml:space="preserve">, Collected Works Vol. 9 Part II, (USA: Princeton University Press, 1979. Kindle Edition), </w:t>
      </w:r>
    </w:p>
    <w:p>
      <w:pPr>
        <w:pStyle w:val="Cuerpo A"/>
        <w:rPr>
          <w:rStyle w:val="Ninguno A"/>
          <w:sz w:val="24"/>
          <w:szCs w:val="24"/>
        </w:rPr>
      </w:pPr>
    </w:p>
    <w:p>
      <w:pPr>
        <w:pStyle w:val="Cuerpo A"/>
        <w:numPr>
          <w:ilvl w:val="0"/>
          <w:numId w:val="2"/>
        </w:numPr>
        <w:bidi w:val="0"/>
        <w:ind w:right="0"/>
        <w:jc w:val="left"/>
        <w:rPr>
          <w:sz w:val="24"/>
          <w:szCs w:val="24"/>
          <w:rtl w:val="0"/>
          <w:lang w:val="de-DE"/>
        </w:rPr>
      </w:pPr>
      <w:r>
        <w:rPr>
          <w:rStyle w:val="Ninguno"/>
          <w:sz w:val="24"/>
          <w:szCs w:val="24"/>
          <w:rtl w:val="0"/>
          <w:lang w:val="de-DE"/>
        </w:rPr>
        <w:t>Jung, Carl G., `</w:t>
      </w:r>
      <w:r>
        <w:rPr>
          <w:rStyle w:val="Ninguno"/>
          <w:i w:val="1"/>
          <w:iCs w:val="1"/>
          <w:sz w:val="24"/>
          <w:szCs w:val="24"/>
          <w:rtl w:val="0"/>
          <w:lang w:val="en-US"/>
        </w:rPr>
        <w:t>Synchronicity: An Acausal Connecting Principle</w:t>
      </w:r>
      <w:r>
        <w:rPr>
          <w:rStyle w:val="Ninguno"/>
          <w:sz w:val="24"/>
          <w:szCs w:val="24"/>
          <w:rtl w:val="0"/>
          <w:lang w:val="de-DE"/>
        </w:rPr>
        <w:t>´</w:t>
      </w:r>
      <w:r>
        <w:rPr>
          <w:rStyle w:val="Ninguno"/>
          <w:sz w:val="24"/>
          <w:szCs w:val="24"/>
          <w:rtl w:val="0"/>
          <w:lang w:val="en-US"/>
        </w:rPr>
        <w:t>, (USA: Princeton University Press)</w:t>
      </w:r>
      <w:r>
        <w:rPr>
          <w:rStyle w:val="Ninguno A"/>
          <w:sz w:val="24"/>
          <w:szCs w:val="24"/>
        </w:rPr>
        <w:br w:type="textWrapping"/>
      </w:r>
    </w:p>
    <w:p>
      <w:pPr>
        <w:pStyle w:val="Cuerpo A"/>
        <w:numPr>
          <w:ilvl w:val="0"/>
          <w:numId w:val="2"/>
        </w:numPr>
        <w:bidi w:val="0"/>
        <w:ind w:right="0"/>
        <w:jc w:val="left"/>
        <w:rPr>
          <w:sz w:val="24"/>
          <w:szCs w:val="24"/>
          <w:rtl w:val="0"/>
          <w:lang w:val="de-DE"/>
        </w:rPr>
      </w:pPr>
      <w:r>
        <w:rPr>
          <w:rStyle w:val="Ninguno"/>
          <w:sz w:val="24"/>
          <w:szCs w:val="24"/>
          <w:rtl w:val="0"/>
          <w:lang w:val="de-DE"/>
        </w:rPr>
        <w:t>Jung, Carl G,</w:t>
      </w:r>
      <w:r>
        <w:rPr>
          <w:rStyle w:val="Ninguno"/>
          <w:i w:val="1"/>
          <w:iCs w:val="1"/>
          <w:sz w:val="24"/>
          <w:szCs w:val="24"/>
          <w:rtl w:val="0"/>
          <w:lang w:val="en-US"/>
        </w:rPr>
        <w:t xml:space="preserve"> Psychological Types</w:t>
      </w:r>
      <w:r>
        <w:rPr>
          <w:rStyle w:val="Ninguno"/>
          <w:sz w:val="24"/>
          <w:szCs w:val="24"/>
          <w:rtl w:val="0"/>
          <w:lang w:val="en-US"/>
        </w:rPr>
        <w:t>, Collected Works Vol. 6 (USA: Princeton University Press, 1971),</w:t>
      </w:r>
      <w:r>
        <w:rPr>
          <w:rStyle w:val="Ninguno A"/>
          <w:sz w:val="24"/>
          <w:szCs w:val="24"/>
        </w:rPr>
        <w:br w:type="textWrapping"/>
      </w:r>
    </w:p>
    <w:p>
      <w:pPr>
        <w:pStyle w:val="Cuerpo A"/>
        <w:numPr>
          <w:ilvl w:val="0"/>
          <w:numId w:val="2"/>
        </w:numPr>
        <w:bidi w:val="0"/>
        <w:ind w:right="0"/>
        <w:jc w:val="left"/>
        <w:rPr>
          <w:sz w:val="24"/>
          <w:szCs w:val="24"/>
          <w:rtl w:val="0"/>
          <w:lang w:val="de-DE"/>
        </w:rPr>
      </w:pPr>
      <w:r>
        <w:rPr>
          <w:rStyle w:val="Ninguno"/>
          <w:sz w:val="24"/>
          <w:szCs w:val="24"/>
          <w:rtl w:val="0"/>
          <w:lang w:val="de-DE"/>
        </w:rPr>
        <w:t xml:space="preserve">Jung, Carl, </w:t>
      </w:r>
      <w:r>
        <w:rPr>
          <w:rStyle w:val="Ninguno"/>
          <w:i w:val="1"/>
          <w:iCs w:val="1"/>
          <w:sz w:val="24"/>
          <w:szCs w:val="24"/>
          <w:rtl w:val="0"/>
        </w:rPr>
        <w:t xml:space="preserve">`Mysterium Coniunctionis`, </w:t>
      </w:r>
      <w:r>
        <w:rPr>
          <w:rStyle w:val="Ninguno"/>
          <w:sz w:val="24"/>
          <w:szCs w:val="24"/>
          <w:rtl w:val="0"/>
          <w:lang w:val="en-US"/>
        </w:rPr>
        <w:t>Collected Works Vol. 14, (USA: Princeton University Press, 1970)</w:t>
      </w:r>
      <w:r>
        <w:rPr>
          <w:rStyle w:val="Ninguno A"/>
          <w:sz w:val="24"/>
          <w:szCs w:val="24"/>
        </w:rPr>
        <w:br w:type="textWrapping"/>
      </w:r>
    </w:p>
    <w:p>
      <w:pPr>
        <w:pStyle w:val="Cuerpo A"/>
        <w:numPr>
          <w:ilvl w:val="0"/>
          <w:numId w:val="2"/>
        </w:numPr>
        <w:bidi w:val="0"/>
        <w:ind w:right="0"/>
        <w:jc w:val="left"/>
        <w:rPr>
          <w:sz w:val="24"/>
          <w:szCs w:val="24"/>
          <w:rtl w:val="0"/>
          <w:lang w:val="de-DE"/>
        </w:rPr>
      </w:pPr>
      <w:r>
        <w:rPr>
          <w:rStyle w:val="Ninguno"/>
          <w:sz w:val="24"/>
          <w:szCs w:val="24"/>
          <w:rtl w:val="0"/>
          <w:lang w:val="de-DE"/>
        </w:rPr>
        <w:t xml:space="preserve">Jung, Carl, </w:t>
      </w:r>
      <w:r>
        <w:rPr>
          <w:rStyle w:val="Ninguno"/>
          <w:sz w:val="24"/>
          <w:szCs w:val="24"/>
          <w:rtl w:val="0"/>
          <w:lang w:val="de-DE"/>
        </w:rPr>
        <w:t>´</w:t>
      </w:r>
      <w:r>
        <w:rPr>
          <w:rStyle w:val="Ninguno"/>
          <w:i w:val="1"/>
          <w:iCs w:val="1"/>
          <w:sz w:val="24"/>
          <w:szCs w:val="24"/>
          <w:rtl w:val="0"/>
          <w:lang w:val="en-US"/>
        </w:rPr>
        <w:t>Jung on Active Imagination</w:t>
      </w:r>
      <w:r>
        <w:rPr>
          <w:rStyle w:val="Ninguno"/>
          <w:i w:val="1"/>
          <w:iCs w:val="1"/>
          <w:sz w:val="24"/>
          <w:szCs w:val="24"/>
          <w:rtl w:val="0"/>
          <w:lang w:val="de-DE"/>
        </w:rPr>
        <w:t>´</w:t>
      </w:r>
      <w:r>
        <w:rPr>
          <w:rStyle w:val="Ninguno"/>
          <w:sz w:val="24"/>
          <w:szCs w:val="24"/>
          <w:rtl w:val="0"/>
          <w:lang w:val="en-US"/>
        </w:rPr>
        <w:t>, ed. by Joan Chodorow, (USA: Princeton University Press, 1997)</w:t>
      </w:r>
      <w:r>
        <w:rPr>
          <w:rStyle w:val="Ninguno A"/>
          <w:sz w:val="24"/>
          <w:szCs w:val="24"/>
        </w:rPr>
        <w:br w:type="textWrapping"/>
      </w:r>
    </w:p>
    <w:p>
      <w:pPr>
        <w:pStyle w:val="Cuerpo A"/>
        <w:numPr>
          <w:ilvl w:val="0"/>
          <w:numId w:val="2"/>
        </w:numPr>
        <w:bidi w:val="0"/>
        <w:ind w:right="0"/>
        <w:jc w:val="left"/>
        <w:rPr>
          <w:sz w:val="24"/>
          <w:szCs w:val="24"/>
          <w:rtl w:val="0"/>
        </w:rPr>
      </w:pPr>
      <w:r>
        <w:rPr>
          <w:rStyle w:val="Ninguno A"/>
          <w:sz w:val="24"/>
          <w:szCs w:val="24"/>
          <w:rtl w:val="0"/>
        </w:rPr>
        <w:t>L</w:t>
      </w:r>
      <w:r>
        <w:rPr>
          <w:rStyle w:val="Ninguno"/>
          <w:sz w:val="24"/>
          <w:szCs w:val="24"/>
          <w:rtl w:val="0"/>
          <w:lang w:val="fr-FR"/>
        </w:rPr>
        <w:t>é</w:t>
      </w:r>
      <w:r>
        <w:rPr>
          <w:rStyle w:val="Ninguno"/>
          <w:sz w:val="24"/>
          <w:szCs w:val="24"/>
          <w:rtl w:val="0"/>
          <w:lang w:val="de-DE"/>
        </w:rPr>
        <w:t>vy-Bruhl, Lucien, `</w:t>
      </w:r>
      <w:r>
        <w:rPr>
          <w:rStyle w:val="Ninguno"/>
          <w:i w:val="1"/>
          <w:iCs w:val="1"/>
          <w:sz w:val="24"/>
          <w:szCs w:val="24"/>
          <w:rtl w:val="0"/>
          <w:lang w:val="en-US"/>
        </w:rPr>
        <w:t>How Natives Think`</w:t>
      </w:r>
      <w:r>
        <w:rPr>
          <w:rStyle w:val="Ninguno"/>
          <w:sz w:val="24"/>
          <w:szCs w:val="24"/>
          <w:rtl w:val="0"/>
          <w:lang w:val="en-US"/>
        </w:rPr>
        <w:t>, (Ravenio Books, Kindle Edition, 2015)</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Lukoff,  David, `The Diagnosis of Mystical Experiences with Psychotic Features`, Journal of Transpersonal Psychology, Vol. 17, No. 2 (1985)</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Main, Roderick, </w:t>
      </w:r>
      <w:r>
        <w:rPr>
          <w:rStyle w:val="Ninguno"/>
          <w:i w:val="1"/>
          <w:iCs w:val="1"/>
          <w:sz w:val="24"/>
          <w:szCs w:val="24"/>
          <w:rtl w:val="0"/>
          <w:lang w:val="en-US"/>
        </w:rPr>
        <w:t xml:space="preserve">`Jung on Synchronicity and the Paranormal`. </w:t>
      </w:r>
      <w:r>
        <w:rPr>
          <w:rStyle w:val="Ninguno"/>
          <w:sz w:val="24"/>
          <w:szCs w:val="24"/>
          <w:rtl w:val="0"/>
          <w:lang w:val="en-US"/>
        </w:rPr>
        <w:t xml:space="preserve">(USA: Princeton University Press, 1997) </w:t>
      </w:r>
      <w:r>
        <w:rPr>
          <w:rStyle w:val="Ninguno A"/>
          <w:sz w:val="24"/>
          <w:szCs w:val="24"/>
        </w:rPr>
        <w:br w:type="textWrapping"/>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Maslow,  Abraham, `Toward a Psychology of Being`,  (New York: Van Nostrand Reinhold Company, 1968), cited in Lawrence J. Dennis and J. Francis Powers, `Dewey, Maslow, and Consummatory Experience`, Journal of Aesthetic Education, Vol. 8, No. 4 (1974)</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Maslow, Abraham, </w:t>
      </w:r>
      <w:r>
        <w:rPr>
          <w:rStyle w:val="Ninguno"/>
          <w:i w:val="1"/>
          <w:iCs w:val="1"/>
          <w:sz w:val="24"/>
          <w:szCs w:val="24"/>
          <w:rtl w:val="0"/>
          <w:lang w:val="en-US"/>
        </w:rPr>
        <w:t>Religion, Values and Peak Experiences</w:t>
      </w:r>
      <w:r>
        <w:rPr>
          <w:rStyle w:val="Ninguno"/>
          <w:sz w:val="24"/>
          <w:szCs w:val="24"/>
          <w:rtl w:val="0"/>
          <w:lang w:val="en-US"/>
        </w:rPr>
        <w:t xml:space="preserve"> (Canada: Rare Treasures, Kindle Edition, 1964)</w:t>
      </w:r>
      <w:r>
        <w:rPr>
          <w:rStyle w:val="Ninguno A"/>
          <w:sz w:val="24"/>
          <w:szCs w:val="24"/>
        </w:rPr>
        <w:br w:type="textWrapping"/>
      </w:r>
    </w:p>
    <w:p>
      <w:pPr>
        <w:pStyle w:val="Cuerpo A"/>
        <w:numPr>
          <w:ilvl w:val="0"/>
          <w:numId w:val="2"/>
        </w:numPr>
        <w:bidi w:val="0"/>
        <w:ind w:right="0"/>
        <w:jc w:val="left"/>
        <w:rPr>
          <w:sz w:val="24"/>
          <w:szCs w:val="24"/>
          <w:rtl w:val="0"/>
          <w:lang w:val="it-IT"/>
        </w:rPr>
      </w:pPr>
      <w:r>
        <w:rPr>
          <w:rStyle w:val="Ninguno"/>
          <w:sz w:val="24"/>
          <w:szCs w:val="24"/>
          <w:rtl w:val="0"/>
          <w:lang w:val="it-IT"/>
        </w:rPr>
        <w:t>Plato, `</w:t>
      </w:r>
      <w:r>
        <w:rPr>
          <w:rStyle w:val="Ninguno"/>
          <w:i w:val="1"/>
          <w:iCs w:val="1"/>
          <w:sz w:val="24"/>
          <w:szCs w:val="24"/>
          <w:rtl w:val="0"/>
          <w:lang w:val="en-US"/>
        </w:rPr>
        <w:t>Timaeus and Critias</w:t>
      </w:r>
      <w:r>
        <w:rPr>
          <w:rStyle w:val="Ninguno"/>
          <w:sz w:val="24"/>
          <w:szCs w:val="24"/>
          <w:rtl w:val="0"/>
          <w:lang w:val="en-US"/>
        </w:rPr>
        <w:t>`, trans. by Benjamin Jowett (USA: IAP, Kindle Edition, 2009)</w:t>
      </w:r>
      <w:r>
        <w:rPr>
          <w:rStyle w:val="Ninguno A"/>
          <w:sz w:val="24"/>
          <w:szCs w:val="24"/>
        </w:rPr>
        <w:br w:type="textWrapping"/>
      </w:r>
    </w:p>
    <w:p>
      <w:pPr>
        <w:pStyle w:val="Cuerpo A"/>
        <w:numPr>
          <w:ilvl w:val="0"/>
          <w:numId w:val="2"/>
        </w:numPr>
        <w:bidi w:val="0"/>
        <w:ind w:right="0"/>
        <w:jc w:val="left"/>
        <w:rPr>
          <w:sz w:val="24"/>
          <w:szCs w:val="24"/>
          <w:rtl w:val="0"/>
          <w:lang w:val="it-IT"/>
        </w:rPr>
      </w:pPr>
      <w:r>
        <w:rPr>
          <w:rStyle w:val="Ninguno"/>
          <w:sz w:val="24"/>
          <w:szCs w:val="24"/>
          <w:rtl w:val="0"/>
          <w:lang w:val="it-IT"/>
        </w:rPr>
        <w:t>Plato, `</w:t>
      </w:r>
      <w:r>
        <w:rPr>
          <w:rStyle w:val="Ninguno"/>
          <w:i w:val="1"/>
          <w:iCs w:val="1"/>
          <w:sz w:val="24"/>
          <w:szCs w:val="24"/>
          <w:rtl w:val="0"/>
        </w:rPr>
        <w:t>Republic</w:t>
      </w:r>
      <w:r>
        <w:rPr>
          <w:rStyle w:val="Ninguno"/>
          <w:sz w:val="24"/>
          <w:szCs w:val="24"/>
          <w:rtl w:val="0"/>
          <w:lang w:val="en-US"/>
        </w:rPr>
        <w:t>`, trans. by Christopher Rowe (USA:Penguin Books Ltd, Kindle Edition, 2012)</w:t>
      </w:r>
      <w:r>
        <w:rPr>
          <w:rStyle w:val="Ninguno A"/>
          <w:sz w:val="24"/>
          <w:szCs w:val="24"/>
        </w:rPr>
        <w:br w:type="textWrapping"/>
      </w:r>
    </w:p>
    <w:p>
      <w:pPr>
        <w:pStyle w:val="Cuerpo A"/>
        <w:numPr>
          <w:ilvl w:val="0"/>
          <w:numId w:val="2"/>
        </w:numPr>
        <w:bidi w:val="0"/>
        <w:spacing w:line="240" w:lineRule="auto"/>
        <w:ind w:right="0"/>
        <w:jc w:val="left"/>
        <w:rPr>
          <w:sz w:val="24"/>
          <w:szCs w:val="24"/>
          <w:rtl w:val="0"/>
        </w:rPr>
      </w:pPr>
      <w:r>
        <w:rPr>
          <w:rStyle w:val="Ninguno A"/>
          <w:sz w:val="24"/>
          <w:szCs w:val="24"/>
          <w:rtl w:val="0"/>
        </w:rPr>
        <w:t>Proclus, `</w:t>
      </w:r>
      <w:r>
        <w:rPr>
          <w:rStyle w:val="Ninguno"/>
          <w:i w:val="1"/>
          <w:iCs w:val="1"/>
          <w:sz w:val="24"/>
          <w:szCs w:val="24"/>
          <w:rtl w:val="0"/>
          <w:lang w:val="en-US"/>
        </w:rPr>
        <w:t>The elements of Theology`</w:t>
      </w:r>
      <w:r>
        <w:rPr>
          <w:rStyle w:val="Ninguno A"/>
          <w:sz w:val="24"/>
          <w:szCs w:val="24"/>
          <w:rtl w:val="0"/>
        </w:rPr>
        <w:t>, trans. by E.R. Dodds, (UK: Oxford University Press, 1963)</w:t>
      </w:r>
    </w:p>
    <w:p>
      <w:pPr>
        <w:pStyle w:val="Cuerpo A"/>
        <w:ind w:left="720" w:firstLine="0"/>
        <w:rPr>
          <w:rStyle w:val="Ninguno A"/>
          <w:sz w:val="24"/>
          <w:szCs w:val="24"/>
        </w:rPr>
      </w:pPr>
    </w:p>
    <w:p>
      <w:pPr>
        <w:pStyle w:val="Cuerpo A"/>
        <w:numPr>
          <w:ilvl w:val="0"/>
          <w:numId w:val="2"/>
        </w:numPr>
        <w:bidi w:val="0"/>
        <w:ind w:right="0"/>
        <w:jc w:val="left"/>
        <w:rPr>
          <w:sz w:val="24"/>
          <w:szCs w:val="24"/>
          <w:rtl w:val="0"/>
          <w:lang w:val="nl-NL"/>
        </w:rPr>
      </w:pPr>
      <w:r>
        <w:rPr>
          <w:rStyle w:val="Ninguno"/>
          <w:sz w:val="24"/>
          <w:szCs w:val="24"/>
          <w:rtl w:val="0"/>
          <w:lang w:val="nl-NL"/>
        </w:rPr>
        <w:t xml:space="preserve">Rennie, Bryan S., </w:t>
      </w:r>
      <w:r>
        <w:rPr>
          <w:rStyle w:val="Ninguno"/>
          <w:i w:val="1"/>
          <w:iCs w:val="1"/>
          <w:sz w:val="24"/>
          <w:szCs w:val="24"/>
          <w:rtl w:val="0"/>
          <w:lang w:val="en-US"/>
        </w:rPr>
        <w:t>Mircea Eliade and the Perception of the Sacred un the Profane: Intention, Reduction and Cognitive Theory</w:t>
      </w:r>
      <w:r>
        <w:rPr>
          <w:rStyle w:val="Ninguno A"/>
          <w:sz w:val="24"/>
          <w:szCs w:val="24"/>
          <w:rtl w:val="0"/>
        </w:rPr>
        <w:t xml:space="preserve">, Temenos Vol. 43 No. 1 (2007) </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Rossi, Safron and Keiron LeGrice, </w:t>
      </w:r>
      <w:r>
        <w:rPr>
          <w:rStyle w:val="Ninguno"/>
          <w:i w:val="1"/>
          <w:iCs w:val="1"/>
          <w:sz w:val="24"/>
          <w:szCs w:val="24"/>
          <w:rtl w:val="0"/>
          <w:lang w:val="en-US"/>
        </w:rPr>
        <w:t xml:space="preserve">Book signing event for Jung on Astrology, </w:t>
      </w:r>
      <w:r>
        <w:rPr>
          <w:rStyle w:val="Ninguno"/>
          <w:outline w:val="0"/>
          <w:color w:val="1155cc"/>
          <w:sz w:val="24"/>
          <w:szCs w:val="24"/>
          <w:u w:val="single" w:color="1155cc"/>
          <w:rtl w:val="0"/>
          <w:lang w:val="en-US"/>
          <w14:textFill>
            <w14:solidFill>
              <w14:srgbClr w14:val="1155CC"/>
            </w14:solidFill>
          </w14:textFill>
        </w:rPr>
        <w:t>https://youtu.be/15PoPHsLjA0</w:t>
      </w:r>
      <w:r>
        <w:rPr>
          <w:rStyle w:val="Ninguno"/>
          <w:sz w:val="24"/>
          <w:szCs w:val="24"/>
          <w:rtl w:val="0"/>
          <w:lang w:val="en-US"/>
        </w:rPr>
        <w:t xml:space="preserve"> [accessed 12 June 2020]</w:t>
      </w:r>
      <w:r>
        <w:rPr>
          <w:rStyle w:val="Ninguno A"/>
          <w:sz w:val="24"/>
          <w:szCs w:val="24"/>
        </w:rPr>
        <w:br w:type="textWrapping"/>
      </w:r>
    </w:p>
    <w:p>
      <w:pPr>
        <w:pStyle w:val="Cuerpo A"/>
        <w:numPr>
          <w:ilvl w:val="0"/>
          <w:numId w:val="2"/>
        </w:numPr>
        <w:bidi w:val="0"/>
        <w:ind w:right="0"/>
        <w:jc w:val="left"/>
        <w:rPr>
          <w:sz w:val="24"/>
          <w:szCs w:val="24"/>
          <w:rtl w:val="0"/>
        </w:rPr>
      </w:pPr>
      <w:r>
        <w:rPr>
          <w:rStyle w:val="Ninguno A"/>
          <w:sz w:val="24"/>
          <w:szCs w:val="24"/>
          <w:rtl w:val="0"/>
        </w:rPr>
        <w:t xml:space="preserve">Rudhyar, Dane, </w:t>
      </w:r>
      <w:r>
        <w:rPr>
          <w:rStyle w:val="Ninguno"/>
          <w:i w:val="1"/>
          <w:iCs w:val="1"/>
          <w:sz w:val="24"/>
          <w:szCs w:val="24"/>
          <w:rtl w:val="0"/>
          <w:lang w:val="de-DE"/>
        </w:rPr>
        <w:t>´</w:t>
      </w:r>
      <w:r>
        <w:rPr>
          <w:rStyle w:val="Ninguno"/>
          <w:i w:val="1"/>
          <w:iCs w:val="1"/>
          <w:sz w:val="24"/>
          <w:szCs w:val="24"/>
          <w:rtl w:val="0"/>
          <w:lang w:val="en-US"/>
        </w:rPr>
        <w:t>Astrology of Personality</w:t>
      </w:r>
      <w:r>
        <w:rPr>
          <w:rStyle w:val="Ninguno"/>
          <w:i w:val="1"/>
          <w:iCs w:val="1"/>
          <w:sz w:val="24"/>
          <w:szCs w:val="24"/>
          <w:rtl w:val="0"/>
          <w:lang w:val="de-DE"/>
        </w:rPr>
        <w:t>´</w:t>
      </w:r>
      <w:r>
        <w:rPr>
          <w:rStyle w:val="Ninguno"/>
          <w:sz w:val="24"/>
          <w:szCs w:val="24"/>
          <w:rtl w:val="0"/>
          <w:lang w:val="it-IT"/>
        </w:rPr>
        <w:t>, (USA: Aurora Press, 1991)</w:t>
      </w:r>
      <w:r>
        <w:rPr>
          <w:rStyle w:val="Ninguno A"/>
          <w:sz w:val="24"/>
          <w:szCs w:val="24"/>
        </w:rPr>
        <w:br w:type="textWrapping"/>
      </w:r>
    </w:p>
    <w:p>
      <w:pPr>
        <w:pStyle w:val="Cuerpo A"/>
        <w:numPr>
          <w:ilvl w:val="0"/>
          <w:numId w:val="2"/>
        </w:numPr>
        <w:bidi w:val="0"/>
        <w:ind w:right="0"/>
        <w:jc w:val="left"/>
        <w:rPr>
          <w:sz w:val="24"/>
          <w:szCs w:val="24"/>
          <w:rtl w:val="0"/>
        </w:rPr>
      </w:pPr>
      <w:r>
        <w:rPr>
          <w:rStyle w:val="Ninguno A"/>
          <w:sz w:val="24"/>
          <w:szCs w:val="24"/>
          <w:rtl w:val="0"/>
        </w:rPr>
        <w:t xml:space="preserve">Rudhyar, Dane, </w:t>
      </w:r>
      <w:r>
        <w:rPr>
          <w:rStyle w:val="Ninguno"/>
          <w:sz w:val="24"/>
          <w:szCs w:val="24"/>
          <w:rtl w:val="0"/>
          <w:lang w:val="de-DE"/>
        </w:rPr>
        <w:t>´</w:t>
      </w:r>
      <w:r>
        <w:rPr>
          <w:rStyle w:val="Ninguno"/>
          <w:i w:val="1"/>
          <w:iCs w:val="1"/>
          <w:sz w:val="24"/>
          <w:szCs w:val="24"/>
          <w:rtl w:val="0"/>
          <w:lang w:val="en-US"/>
        </w:rPr>
        <w:t>Person Centered Astrology`,</w:t>
      </w:r>
      <w:r>
        <w:rPr>
          <w:rStyle w:val="Ninguno"/>
          <w:sz w:val="24"/>
          <w:szCs w:val="24"/>
          <w:rtl w:val="0"/>
          <w:lang w:val="de-DE"/>
        </w:rPr>
        <w:t xml:space="preserve"> (USA: Aurora Press, Kindle Edition. 1980)</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Shaw, Gregory, </w:t>
      </w:r>
      <w:r>
        <w:rPr>
          <w:rStyle w:val="Ninguno"/>
          <w:sz w:val="24"/>
          <w:szCs w:val="24"/>
          <w:rtl w:val="0"/>
          <w:lang w:val="de-DE"/>
        </w:rPr>
        <w:t>´</w:t>
      </w:r>
      <w:r>
        <w:rPr>
          <w:rStyle w:val="Ninguno"/>
          <w:i w:val="1"/>
          <w:iCs w:val="1"/>
          <w:sz w:val="24"/>
          <w:szCs w:val="24"/>
          <w:rtl w:val="0"/>
          <w:lang w:val="en-US"/>
        </w:rPr>
        <w:t>Theurgy: Rituals of Unification in the Neoplatonism of Iamblichus</w:t>
      </w:r>
      <w:r>
        <w:rPr>
          <w:rStyle w:val="Ninguno"/>
          <w:sz w:val="24"/>
          <w:szCs w:val="24"/>
          <w:rtl w:val="0"/>
          <w:lang w:val="de-DE"/>
        </w:rPr>
        <w:t>´</w:t>
      </w:r>
      <w:r>
        <w:rPr>
          <w:rStyle w:val="Ninguno"/>
          <w:sz w:val="24"/>
          <w:szCs w:val="24"/>
          <w:rtl w:val="0"/>
          <w:lang w:val="it-IT"/>
        </w:rPr>
        <w:t>, Traditio, Vol. 41 (1985)</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Shaw, Gregory, `</w:t>
      </w:r>
      <w:r>
        <w:rPr>
          <w:rStyle w:val="Ninguno"/>
          <w:i w:val="1"/>
          <w:iCs w:val="1"/>
          <w:sz w:val="24"/>
          <w:szCs w:val="24"/>
          <w:rtl w:val="0"/>
          <w:lang w:val="en-US"/>
        </w:rPr>
        <w:t>Theurgy and the Soul: The Neoplatonism of Iamblichus`</w:t>
      </w:r>
      <w:r>
        <w:rPr>
          <w:rStyle w:val="Ninguno"/>
          <w:sz w:val="24"/>
          <w:szCs w:val="24"/>
          <w:rtl w:val="0"/>
          <w:lang w:val="it-IT"/>
        </w:rPr>
        <w:t>, (Angelico Press/Sophia Perennis. Kindle Edition, 2014)</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Shaw,  Gregory, </w:t>
      </w:r>
      <w:r>
        <w:rPr>
          <w:rStyle w:val="Ninguno"/>
          <w:sz w:val="24"/>
          <w:szCs w:val="24"/>
          <w:rtl w:val="0"/>
          <w:lang w:val="de-DE"/>
        </w:rPr>
        <w:t>´</w:t>
      </w:r>
      <w:r>
        <w:rPr>
          <w:rStyle w:val="Ninguno"/>
          <w:i w:val="1"/>
          <w:iCs w:val="1"/>
          <w:sz w:val="24"/>
          <w:szCs w:val="24"/>
          <w:rtl w:val="0"/>
          <w:lang w:val="en-US"/>
        </w:rPr>
        <w:t>Archetypal Psychology, Dreamwork, and Neoplatonism</w:t>
      </w:r>
      <w:r>
        <w:rPr>
          <w:rStyle w:val="Ninguno"/>
          <w:sz w:val="24"/>
          <w:szCs w:val="24"/>
          <w:rtl w:val="0"/>
          <w:lang w:val="de-DE"/>
        </w:rPr>
        <w:t xml:space="preserve">´ </w:t>
      </w:r>
      <w:r>
        <w:rPr>
          <w:rStyle w:val="Ninguno"/>
          <w:sz w:val="24"/>
          <w:szCs w:val="24"/>
          <w:rtl w:val="0"/>
          <w:lang w:val="de-DE"/>
        </w:rPr>
        <w:t>in Octagon: The Quest for Wholeness, Volume 2, edited by Hans Thomas Hakl (Gaggenau, Germany: H. Frietsch Verlag, 2016)</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Stanford Encyclopedia of Philosophy, </w:t>
      </w:r>
      <w:r>
        <w:rPr>
          <w:rStyle w:val="Ninguno"/>
          <w:sz w:val="24"/>
          <w:szCs w:val="24"/>
          <w:u w:val="single"/>
          <w:rtl w:val="0"/>
          <w:lang w:val="en-US"/>
        </w:rPr>
        <w:t>https://plato.stanford.edu/entries/qt-consciousness/</w:t>
      </w:r>
      <w:r>
        <w:rPr>
          <w:rStyle w:val="Ninguno"/>
          <w:sz w:val="24"/>
          <w:szCs w:val="24"/>
          <w:rtl w:val="0"/>
          <w:lang w:val="en-US"/>
        </w:rPr>
        <w:t xml:space="preserve"> [accessed 22 November 2018]</w:t>
      </w:r>
      <w:r>
        <w:rPr>
          <w:rStyle w:val="Ninguno A"/>
          <w:sz w:val="24"/>
          <w:szCs w:val="24"/>
        </w:rPr>
        <w:br w:type="textWrapping"/>
      </w:r>
    </w:p>
    <w:p>
      <w:pPr>
        <w:pStyle w:val="Cuerpo A"/>
        <w:numPr>
          <w:ilvl w:val="0"/>
          <w:numId w:val="2"/>
        </w:numPr>
        <w:bidi w:val="0"/>
        <w:ind w:right="0"/>
        <w:jc w:val="left"/>
        <w:rPr>
          <w:sz w:val="24"/>
          <w:szCs w:val="24"/>
          <w:rtl w:val="0"/>
          <w:lang w:val="en-US"/>
        </w:rPr>
      </w:pPr>
      <w:r>
        <w:rPr>
          <w:rStyle w:val="Ninguno"/>
          <w:sz w:val="24"/>
          <w:szCs w:val="24"/>
          <w:rtl w:val="0"/>
          <w:lang w:val="en-US"/>
        </w:rPr>
        <w:t xml:space="preserve">Struck, Peter, </w:t>
      </w:r>
      <w:r>
        <w:rPr>
          <w:rStyle w:val="Ninguno"/>
          <w:i w:val="1"/>
          <w:iCs w:val="1"/>
          <w:sz w:val="24"/>
          <w:szCs w:val="24"/>
          <w:rtl w:val="0"/>
          <w:lang w:val="de-DE"/>
        </w:rPr>
        <w:t>´</w:t>
      </w:r>
      <w:r>
        <w:rPr>
          <w:rStyle w:val="Ninguno"/>
          <w:i w:val="1"/>
          <w:iCs w:val="1"/>
          <w:sz w:val="24"/>
          <w:szCs w:val="24"/>
          <w:rtl w:val="0"/>
          <w:lang w:val="en-US"/>
        </w:rPr>
        <w:t>Birth of the Symbol</w:t>
      </w:r>
      <w:r>
        <w:rPr>
          <w:rStyle w:val="Ninguno"/>
          <w:i w:val="1"/>
          <w:iCs w:val="1"/>
          <w:sz w:val="24"/>
          <w:szCs w:val="24"/>
          <w:rtl w:val="0"/>
          <w:lang w:val="de-DE"/>
        </w:rPr>
        <w:t>´</w:t>
      </w:r>
      <w:r>
        <w:rPr>
          <w:rStyle w:val="Ninguno"/>
          <w:sz w:val="24"/>
          <w:szCs w:val="24"/>
          <w:rtl w:val="0"/>
          <w:lang w:val="en-US"/>
        </w:rPr>
        <w:t>, (USA: Princeton University Press. Kindle Edition), Loc. 1730</w:t>
      </w:r>
      <w:r>
        <w:rPr>
          <w:rStyle w:val="Ninguno A"/>
          <w:sz w:val="24"/>
          <w:szCs w:val="24"/>
        </w:rPr>
        <w:br w:type="textWrapping"/>
      </w:r>
    </w:p>
    <w:p>
      <w:pPr>
        <w:pStyle w:val="Cuerpo A"/>
        <w:numPr>
          <w:ilvl w:val="0"/>
          <w:numId w:val="2"/>
        </w:numPr>
        <w:bidi w:val="0"/>
        <w:ind w:right="0"/>
        <w:jc w:val="left"/>
        <w:rPr>
          <w:sz w:val="24"/>
          <w:szCs w:val="24"/>
          <w:rtl w:val="0"/>
          <w:lang w:val="it-IT"/>
        </w:rPr>
      </w:pPr>
      <w:r>
        <w:rPr>
          <w:rStyle w:val="Ninguno"/>
          <w:sz w:val="24"/>
          <w:szCs w:val="24"/>
          <w:rtl w:val="0"/>
          <w:lang w:val="it-IT"/>
        </w:rPr>
        <w:t>Tarnas, Becca, `</w:t>
      </w:r>
      <w:r>
        <w:rPr>
          <w:rStyle w:val="Ninguno"/>
          <w:i w:val="1"/>
          <w:iCs w:val="1"/>
          <w:sz w:val="24"/>
          <w:szCs w:val="24"/>
          <w:rtl w:val="0"/>
          <w:lang w:val="en-US"/>
        </w:rPr>
        <w:t>The Back of Beyond: The Red Books of C.G. Jung and J.R.R. Tolkien</w:t>
      </w:r>
      <w:r>
        <w:rPr>
          <w:rStyle w:val="Ninguno"/>
          <w:sz w:val="24"/>
          <w:szCs w:val="24"/>
          <w:rtl w:val="0"/>
          <w:lang w:val="de-DE"/>
        </w:rPr>
        <w:t xml:space="preserve">´ </w:t>
      </w:r>
      <w:r>
        <w:rPr>
          <w:rStyle w:val="Ninguno"/>
          <w:outline w:val="0"/>
          <w:color w:val="1155cc"/>
          <w:sz w:val="24"/>
          <w:szCs w:val="24"/>
          <w:u w:val="single" w:color="1155cc"/>
          <w:rtl w:val="0"/>
          <w:lang w:val="en-US"/>
          <w14:textFill>
            <w14:solidFill>
              <w14:srgbClr w14:val="1155CC"/>
            </w14:solidFill>
          </w14:textFill>
        </w:rPr>
        <w:t>https://youtu.be/3soOYajHUBM</w:t>
      </w:r>
      <w:r>
        <w:rPr>
          <w:rStyle w:val="Ninguno A"/>
          <w:sz w:val="24"/>
          <w:szCs w:val="24"/>
        </w:rPr>
        <w:br w:type="textWrapping"/>
      </w:r>
    </w:p>
    <w:p>
      <w:pPr>
        <w:pStyle w:val="Cuerpo A"/>
        <w:numPr>
          <w:ilvl w:val="0"/>
          <w:numId w:val="2"/>
        </w:numPr>
        <w:bidi w:val="0"/>
        <w:ind w:right="0"/>
        <w:jc w:val="left"/>
        <w:rPr>
          <w:sz w:val="24"/>
          <w:szCs w:val="24"/>
          <w:rtl w:val="0"/>
          <w:lang w:val="pt-PT"/>
        </w:rPr>
      </w:pPr>
      <w:r>
        <w:rPr>
          <w:rStyle w:val="Ninguno"/>
          <w:sz w:val="24"/>
          <w:szCs w:val="24"/>
          <w:rtl w:val="0"/>
          <w:lang w:val="pt-PT"/>
        </w:rPr>
        <w:t xml:space="preserve">Tarnas, Richard, </w:t>
      </w:r>
      <w:r>
        <w:rPr>
          <w:rStyle w:val="Ninguno"/>
          <w:i w:val="1"/>
          <w:iCs w:val="1"/>
          <w:sz w:val="24"/>
          <w:szCs w:val="24"/>
          <w:rtl w:val="0"/>
          <w:lang w:val="en-US"/>
        </w:rPr>
        <w:t>`The Passion of the Western Mind</w:t>
      </w:r>
      <w:r>
        <w:rPr>
          <w:rStyle w:val="Ninguno"/>
          <w:sz w:val="24"/>
          <w:szCs w:val="24"/>
          <w:rtl w:val="0"/>
          <w:lang w:val="en-US"/>
        </w:rPr>
        <w:t>`, (New York:Random House Publishing Group, Kindle Edition,1991)</w:t>
      </w:r>
      <w:r>
        <w:rPr>
          <w:rStyle w:val="Ninguno A"/>
          <w:sz w:val="24"/>
          <w:szCs w:val="24"/>
        </w:rPr>
        <w:br w:type="textWrapping"/>
      </w:r>
    </w:p>
    <w:p>
      <w:pPr>
        <w:pStyle w:val="Cuerpo A"/>
        <w:numPr>
          <w:ilvl w:val="0"/>
          <w:numId w:val="2"/>
        </w:numPr>
        <w:bidi w:val="0"/>
        <w:ind w:right="0"/>
        <w:jc w:val="left"/>
        <w:rPr>
          <w:sz w:val="24"/>
          <w:szCs w:val="24"/>
          <w:rtl w:val="0"/>
          <w:lang w:val="sv-SE"/>
        </w:rPr>
      </w:pPr>
      <w:r>
        <w:rPr>
          <w:rStyle w:val="Ninguno"/>
          <w:sz w:val="24"/>
          <w:szCs w:val="24"/>
          <w:rtl w:val="0"/>
          <w:lang w:val="sv-SE"/>
        </w:rPr>
        <w:t xml:space="preserve">Tarnas, </w:t>
      </w:r>
      <w:r>
        <w:rPr>
          <w:rStyle w:val="Ninguno"/>
          <w:sz w:val="24"/>
          <w:szCs w:val="24"/>
          <w:rtl w:val="0"/>
          <w:lang w:val="es-ES_tradnl"/>
        </w:rPr>
        <w:t>​​</w:t>
      </w:r>
      <w:r>
        <w:rPr>
          <w:rStyle w:val="Ninguno"/>
          <w:sz w:val="24"/>
          <w:szCs w:val="24"/>
          <w:rtl w:val="0"/>
          <w:lang w:val="de-DE"/>
        </w:rPr>
        <w:t xml:space="preserve">Richard, </w:t>
      </w:r>
      <w:r>
        <w:rPr>
          <w:rStyle w:val="Ninguno"/>
          <w:sz w:val="24"/>
          <w:szCs w:val="24"/>
          <w:rtl w:val="0"/>
          <w:lang w:val="de-DE"/>
        </w:rPr>
        <w:t>´</w:t>
      </w:r>
      <w:r>
        <w:rPr>
          <w:rStyle w:val="Ninguno"/>
          <w:i w:val="1"/>
          <w:iCs w:val="1"/>
          <w:sz w:val="24"/>
          <w:szCs w:val="24"/>
          <w:rtl w:val="0"/>
          <w:lang w:val="en-US"/>
        </w:rPr>
        <w:t>Cosmos and Psyche`</w:t>
      </w:r>
      <w:r>
        <w:rPr>
          <w:rStyle w:val="Ninguno"/>
          <w:sz w:val="24"/>
          <w:szCs w:val="24"/>
          <w:rtl w:val="0"/>
          <w:lang w:val="en-US"/>
        </w:rPr>
        <w:t>, (New York: Penguin Publishing Group, 2006)</w:t>
      </w:r>
    </w:p>
    <w:p>
      <w:pPr>
        <w:pStyle w:val="Cuerpo A"/>
        <w:ind w:left="720" w:firstLine="0"/>
        <w:rPr>
          <w:rStyle w:val="Ninguno A"/>
          <w:sz w:val="24"/>
          <w:szCs w:val="24"/>
        </w:rPr>
      </w:pPr>
    </w:p>
    <w:p>
      <w:pPr>
        <w:pStyle w:val="Cuerpo A"/>
        <w:numPr>
          <w:ilvl w:val="0"/>
          <w:numId w:val="2"/>
        </w:numPr>
        <w:bidi w:val="0"/>
        <w:ind w:right="0"/>
        <w:jc w:val="left"/>
        <w:rPr>
          <w:sz w:val="24"/>
          <w:szCs w:val="24"/>
          <w:rtl w:val="0"/>
          <w:lang w:val="it-IT"/>
        </w:rPr>
      </w:pPr>
      <w:r>
        <w:rPr>
          <w:rStyle w:val="Ninguno"/>
          <w:sz w:val="24"/>
          <w:szCs w:val="24"/>
          <w:rtl w:val="0"/>
          <w:lang w:val="it-IT"/>
        </w:rPr>
        <w:t>Taylor, Carole, `</w:t>
      </w:r>
      <w:r>
        <w:rPr>
          <w:rStyle w:val="Ninguno"/>
          <w:i w:val="1"/>
          <w:iCs w:val="1"/>
          <w:sz w:val="24"/>
          <w:szCs w:val="24"/>
          <w:rtl w:val="0"/>
          <w:lang w:val="en-US"/>
        </w:rPr>
        <w:t>Imagining the World: Contemplating the Reality of the Astrological Horoscope</w:t>
      </w:r>
      <w:r>
        <w:rPr>
          <w:rStyle w:val="Ninguno"/>
          <w:sz w:val="24"/>
          <w:szCs w:val="24"/>
          <w:rtl w:val="0"/>
          <w:lang w:val="en-US"/>
        </w:rPr>
        <w:t xml:space="preserve">`, Dissertation submitted for the MA in Myth, Cosmology and the Sacred Canterbury Christ Church University, 2015) </w:t>
      </w:r>
      <w:r>
        <w:rPr>
          <w:rStyle w:val="Ninguno"/>
          <w:outline w:val="0"/>
          <w:color w:val="1155cc"/>
          <w:sz w:val="24"/>
          <w:szCs w:val="24"/>
          <w:u w:val="single" w:color="1155cc"/>
          <w:rtl w:val="0"/>
          <w:lang w:val="en-US"/>
          <w14:textFill>
            <w14:solidFill>
              <w14:srgbClr w14:val="1155CC"/>
            </w14:solidFill>
          </w14:textFill>
        </w:rPr>
        <w:t>https://mythcosmologysacred.com/wp-content/uploads/2020/06/Carole-Taylor-dissertation-Imagining-the-World.pdf</w:t>
      </w:r>
      <w:r>
        <w:rPr>
          <w:rStyle w:val="Ninguno A"/>
          <w:sz w:val="24"/>
          <w:szCs w:val="24"/>
          <w:rtl w:val="0"/>
        </w:rPr>
        <w:t xml:space="preserve"> </w:t>
        <w:br w:type="textWrapping"/>
      </w:r>
    </w:p>
    <w:p>
      <w:pPr>
        <w:pStyle w:val="Cuerpo A"/>
        <w:numPr>
          <w:ilvl w:val="0"/>
          <w:numId w:val="4"/>
        </w:numPr>
        <w:bidi w:val="0"/>
        <w:ind w:right="0"/>
        <w:jc w:val="left"/>
        <w:rPr>
          <w:sz w:val="24"/>
          <w:szCs w:val="24"/>
          <w:rtl w:val="0"/>
        </w:rPr>
      </w:pPr>
      <w:r>
        <w:rPr>
          <w:rStyle w:val="Ninguno A"/>
          <w:sz w:val="24"/>
          <w:szCs w:val="24"/>
          <w:rtl w:val="0"/>
        </w:rPr>
        <w:t>Uz</w:t>
      </w:r>
      <w:r>
        <w:rPr>
          <w:rStyle w:val="Ninguno A"/>
          <w:sz w:val="24"/>
          <w:szCs w:val="24"/>
          <w:rtl w:val="0"/>
        </w:rPr>
        <w:t>̌</w:t>
      </w:r>
      <w:r>
        <w:rPr>
          <w:rStyle w:val="Ninguno A"/>
          <w:sz w:val="24"/>
          <w:szCs w:val="24"/>
          <w:rtl w:val="0"/>
        </w:rPr>
        <w:t xml:space="preserve">davinys, Algis, </w:t>
      </w:r>
      <w:r>
        <w:rPr>
          <w:rStyle w:val="Ninguno"/>
          <w:sz w:val="24"/>
          <w:szCs w:val="24"/>
          <w:rtl w:val="0"/>
          <w:lang w:val="de-DE"/>
        </w:rPr>
        <w:t>´</w:t>
      </w:r>
      <w:r>
        <w:rPr>
          <w:rStyle w:val="Ninguno"/>
          <w:i w:val="1"/>
          <w:iCs w:val="1"/>
          <w:sz w:val="24"/>
          <w:szCs w:val="24"/>
          <w:rtl w:val="0"/>
          <w:lang w:val="en-US"/>
        </w:rPr>
        <w:t>Metaphysical symbols and their function in theurgy</w:t>
      </w:r>
      <w:r>
        <w:rPr>
          <w:rStyle w:val="Ninguno"/>
          <w:sz w:val="24"/>
          <w:szCs w:val="24"/>
          <w:rtl w:val="0"/>
          <w:lang w:val="de-DE"/>
        </w:rPr>
        <w:t>´</w:t>
      </w:r>
      <w:r>
        <w:rPr>
          <w:rStyle w:val="Ninguno"/>
          <w:sz w:val="24"/>
          <w:szCs w:val="24"/>
          <w:rtl w:val="0"/>
          <w:lang w:val="en-US"/>
        </w:rPr>
        <w:t>, Eye of the Heart: A Journal of Traditional Wisdom, Vol. 2 (2008)</w:t>
      </w:r>
      <w:r>
        <w:rPr>
          <w:rStyle w:val="Ninguno A"/>
          <w:sz w:val="24"/>
          <w:szCs w:val="24"/>
        </w:rPr>
        <w:br w:type="textWrapping"/>
      </w:r>
    </w:p>
    <w:p>
      <w:pPr>
        <w:pStyle w:val="Cuerpo A"/>
        <w:numPr>
          <w:ilvl w:val="0"/>
          <w:numId w:val="4"/>
        </w:numPr>
        <w:bidi w:val="0"/>
        <w:ind w:right="0"/>
        <w:jc w:val="left"/>
        <w:rPr>
          <w:sz w:val="24"/>
          <w:szCs w:val="24"/>
          <w:rtl w:val="0"/>
        </w:rPr>
      </w:pPr>
      <w:r>
        <w:rPr>
          <w:rStyle w:val="Ninguno A"/>
          <w:sz w:val="24"/>
          <w:szCs w:val="24"/>
          <w:rtl w:val="0"/>
        </w:rPr>
        <w:t>Uz</w:t>
      </w:r>
      <w:r>
        <w:rPr>
          <w:rStyle w:val="Ninguno A"/>
          <w:sz w:val="24"/>
          <w:szCs w:val="24"/>
          <w:rtl w:val="0"/>
        </w:rPr>
        <w:t>̌</w:t>
      </w:r>
      <w:r>
        <w:rPr>
          <w:rStyle w:val="Ninguno A"/>
          <w:sz w:val="24"/>
          <w:szCs w:val="24"/>
          <w:rtl w:val="0"/>
        </w:rPr>
        <w:t xml:space="preserve">davinys,  Algis, </w:t>
      </w:r>
      <w:r>
        <w:rPr>
          <w:rStyle w:val="Ninguno"/>
          <w:i w:val="1"/>
          <w:iCs w:val="1"/>
          <w:sz w:val="24"/>
          <w:szCs w:val="24"/>
          <w:rtl w:val="0"/>
          <w:lang w:val="de-DE"/>
        </w:rPr>
        <w:t>´</w:t>
      </w:r>
      <w:r>
        <w:rPr>
          <w:rStyle w:val="Ninguno"/>
          <w:i w:val="1"/>
          <w:iCs w:val="1"/>
          <w:sz w:val="24"/>
          <w:szCs w:val="24"/>
          <w:rtl w:val="0"/>
          <w:lang w:val="en-US"/>
        </w:rPr>
        <w:t>Philosophy as Rite of Rebirth: From Ancient Egypt to Neoplatonism</w:t>
      </w:r>
      <w:r>
        <w:rPr>
          <w:rStyle w:val="Ninguno"/>
          <w:i w:val="1"/>
          <w:iCs w:val="1"/>
          <w:sz w:val="24"/>
          <w:szCs w:val="24"/>
          <w:rtl w:val="0"/>
          <w:lang w:val="de-DE"/>
        </w:rPr>
        <w:t>´</w:t>
      </w:r>
      <w:r>
        <w:rPr>
          <w:rStyle w:val="Ninguno"/>
          <w:sz w:val="24"/>
          <w:szCs w:val="24"/>
          <w:rtl w:val="0"/>
          <w:lang w:val="en-US"/>
        </w:rPr>
        <w:t>, (UK: The Prometheus Trust, 2008)</w:t>
      </w:r>
      <w:r>
        <w:rPr>
          <w:rStyle w:val="Ninguno A"/>
          <w:sz w:val="24"/>
          <w:szCs w:val="24"/>
        </w:rPr>
        <w:br w:type="textWrapping"/>
      </w:r>
    </w:p>
    <w:p>
      <w:pPr>
        <w:pStyle w:val="Cuerpo A"/>
        <w:numPr>
          <w:ilvl w:val="0"/>
          <w:numId w:val="4"/>
        </w:numPr>
        <w:bidi w:val="0"/>
        <w:spacing w:line="240" w:lineRule="auto"/>
        <w:ind w:right="0"/>
        <w:jc w:val="left"/>
        <w:rPr>
          <w:sz w:val="24"/>
          <w:szCs w:val="24"/>
          <w:rtl w:val="0"/>
        </w:rPr>
      </w:pPr>
      <w:r>
        <w:rPr>
          <w:rStyle w:val="Ninguno A"/>
          <w:sz w:val="24"/>
          <w:szCs w:val="24"/>
          <w:rtl w:val="0"/>
        </w:rPr>
        <w:t>Uz</w:t>
      </w:r>
      <w:r>
        <w:rPr>
          <w:rStyle w:val="Ninguno A"/>
          <w:sz w:val="24"/>
          <w:szCs w:val="24"/>
          <w:rtl w:val="0"/>
        </w:rPr>
        <w:t>̌</w:t>
      </w:r>
      <w:r>
        <w:rPr>
          <w:rStyle w:val="Ninguno A"/>
          <w:sz w:val="24"/>
          <w:szCs w:val="24"/>
          <w:rtl w:val="0"/>
        </w:rPr>
        <w:t xml:space="preserve">davinys, Algis, </w:t>
      </w:r>
      <w:r>
        <w:rPr>
          <w:rStyle w:val="Ninguno"/>
          <w:i w:val="1"/>
          <w:iCs w:val="1"/>
          <w:sz w:val="24"/>
          <w:szCs w:val="24"/>
          <w:rtl w:val="0"/>
          <w:lang w:val="en-US"/>
        </w:rPr>
        <w:t>Philosophy and Theurgy in Late Antiquity</w:t>
      </w:r>
      <w:r>
        <w:rPr>
          <w:rStyle w:val="Ninguno"/>
          <w:sz w:val="24"/>
          <w:szCs w:val="24"/>
          <w:rtl w:val="0"/>
          <w:lang w:val="it-IT"/>
        </w:rPr>
        <w:t xml:space="preserve"> (OH: Angelico Press/Sophia Perennis. Kindle Edition, 2014)</w:t>
      </w:r>
    </w:p>
    <w:p>
      <w:pPr>
        <w:pStyle w:val="Cuerpo A"/>
        <w:ind w:left="720" w:firstLine="0"/>
        <w:rPr>
          <w:rStyle w:val="Ninguno A"/>
          <w:sz w:val="24"/>
          <w:szCs w:val="24"/>
        </w:rPr>
      </w:pPr>
    </w:p>
    <w:p>
      <w:pPr>
        <w:pStyle w:val="Cuerpo A"/>
        <w:numPr>
          <w:ilvl w:val="0"/>
          <w:numId w:val="4"/>
        </w:numPr>
        <w:bidi w:val="0"/>
        <w:ind w:right="0"/>
        <w:jc w:val="left"/>
        <w:rPr>
          <w:sz w:val="24"/>
          <w:szCs w:val="24"/>
          <w:rtl w:val="0"/>
          <w:lang w:val="de-DE"/>
        </w:rPr>
      </w:pPr>
      <w:r>
        <w:rPr>
          <w:rStyle w:val="Ninguno"/>
          <w:sz w:val="24"/>
          <w:szCs w:val="24"/>
          <w:rtl w:val="0"/>
          <w:lang w:val="de-DE"/>
        </w:rPr>
        <w:t xml:space="preserve">Voss, Angela, </w:t>
      </w:r>
      <w:r>
        <w:rPr>
          <w:rStyle w:val="Ninguno"/>
          <w:sz w:val="24"/>
          <w:szCs w:val="24"/>
          <w:rtl w:val="0"/>
          <w:lang w:val="de-DE"/>
        </w:rPr>
        <w:t>´</w:t>
      </w:r>
      <w:r>
        <w:rPr>
          <w:rStyle w:val="Ninguno"/>
          <w:i w:val="1"/>
          <w:iCs w:val="1"/>
          <w:sz w:val="24"/>
          <w:szCs w:val="24"/>
          <w:rtl w:val="0"/>
          <w:lang w:val="en-US"/>
        </w:rPr>
        <w:t>A Methodology of the Imagination`</w:t>
      </w:r>
      <w:r>
        <w:rPr>
          <w:rStyle w:val="Ninguno A"/>
          <w:sz w:val="24"/>
          <w:szCs w:val="24"/>
          <w:rtl w:val="0"/>
        </w:rPr>
        <w:t xml:space="preserve">, </w:t>
      </w:r>
      <w:r>
        <w:rPr>
          <w:rStyle w:val="Ninguno"/>
          <w:i w:val="1"/>
          <w:iCs w:val="1"/>
          <w:sz w:val="24"/>
          <w:szCs w:val="24"/>
          <w:rtl w:val="0"/>
          <w:lang w:val="en-US"/>
        </w:rPr>
        <w:t xml:space="preserve">Eye of the Heart: A Journal of Traditional Wisdom, </w:t>
      </w:r>
      <w:r>
        <w:rPr>
          <w:rStyle w:val="Ninguno A"/>
          <w:sz w:val="24"/>
          <w:szCs w:val="24"/>
          <w:rtl w:val="0"/>
        </w:rPr>
        <w:t>(2009)</w:t>
      </w:r>
      <w:r>
        <w:rPr>
          <w:rStyle w:val="Ninguno A"/>
          <w:sz w:val="24"/>
          <w:szCs w:val="24"/>
        </w:rPr>
        <w:br w:type="textWrapping"/>
      </w:r>
    </w:p>
    <w:p>
      <w:pPr>
        <w:pStyle w:val="Cuerpo A"/>
        <w:numPr>
          <w:ilvl w:val="0"/>
          <w:numId w:val="4"/>
        </w:numPr>
        <w:bidi w:val="0"/>
        <w:ind w:right="0"/>
        <w:jc w:val="left"/>
        <w:rPr>
          <w:sz w:val="24"/>
          <w:szCs w:val="24"/>
          <w:rtl w:val="0"/>
          <w:lang w:val="en-US"/>
        </w:rPr>
      </w:pPr>
      <w:r>
        <w:rPr>
          <w:rStyle w:val="Ninguno"/>
          <w:sz w:val="24"/>
          <w:szCs w:val="24"/>
          <w:rtl w:val="0"/>
          <w:lang w:val="en-US"/>
        </w:rPr>
        <w:t>Very Well Mind, `</w:t>
      </w:r>
      <w:r>
        <w:rPr>
          <w:rStyle w:val="Ninguno"/>
          <w:i w:val="1"/>
          <w:iCs w:val="1"/>
          <w:sz w:val="24"/>
          <w:szCs w:val="24"/>
          <w:rtl w:val="0"/>
          <w:lang w:val="en-US"/>
        </w:rPr>
        <w:t>Biography of Abraham Maslow</w:t>
      </w:r>
      <w:r>
        <w:rPr>
          <w:rStyle w:val="Ninguno"/>
          <w:sz w:val="24"/>
          <w:szCs w:val="24"/>
          <w:rtl w:val="0"/>
          <w:lang w:val="en-US"/>
        </w:rPr>
        <w:t>`, https://www.verywellmind.com/biography-of-abraham-maslow-1908-1970-2795524, [accessed 02 January 2019]</w:t>
      </w:r>
      <w:r>
        <w:rPr>
          <w:rStyle w:val="Ninguno A"/>
          <w:sz w:val="24"/>
          <w:szCs w:val="24"/>
        </w:rPr>
        <w:br w:type="textWrapping"/>
      </w:r>
    </w:p>
    <w:p>
      <w:pPr>
        <w:pStyle w:val="Cuerpo A"/>
        <w:numPr>
          <w:ilvl w:val="0"/>
          <w:numId w:val="4"/>
        </w:numPr>
        <w:bidi w:val="0"/>
        <w:ind w:right="0"/>
        <w:jc w:val="left"/>
        <w:rPr>
          <w:sz w:val="24"/>
          <w:szCs w:val="24"/>
          <w:rtl w:val="0"/>
          <w:lang w:val="en-US"/>
        </w:rPr>
      </w:pPr>
      <w:r>
        <w:rPr>
          <w:rStyle w:val="Ninguno"/>
          <w:sz w:val="24"/>
          <w:szCs w:val="24"/>
          <w:rtl w:val="0"/>
          <w:lang w:val="en-US"/>
        </w:rPr>
        <w:t xml:space="preserve">Williamson, Eugene, `Plato's "Eidos" and the Archetypes of Jung and Frye`, </w:t>
      </w:r>
      <w:r>
        <w:rPr>
          <w:rStyle w:val="Ninguno"/>
          <w:i w:val="1"/>
          <w:iCs w:val="1"/>
          <w:sz w:val="24"/>
          <w:szCs w:val="24"/>
          <w:rtl w:val="0"/>
          <w:lang w:val="de-DE"/>
        </w:rPr>
        <w:t>Interpretations Vol. 16, N</w:t>
      </w:r>
      <w:r>
        <w:rPr>
          <w:rStyle w:val="Ninguno"/>
          <w:i w:val="1"/>
          <w:iCs w:val="1"/>
          <w:sz w:val="24"/>
          <w:szCs w:val="24"/>
          <w:rtl w:val="0"/>
        </w:rPr>
        <w:t xml:space="preserve">º </w:t>
      </w:r>
      <w:r>
        <w:rPr>
          <w:rStyle w:val="Ninguno"/>
          <w:i w:val="1"/>
          <w:iCs w:val="1"/>
          <w:sz w:val="24"/>
          <w:szCs w:val="24"/>
          <w:rtl w:val="0"/>
        </w:rPr>
        <w:t>1</w:t>
      </w:r>
      <w:r>
        <w:rPr>
          <w:rStyle w:val="Ninguno"/>
          <w:sz w:val="24"/>
          <w:szCs w:val="24"/>
          <w:rtl w:val="0"/>
          <w:lang w:val="de-DE"/>
        </w:rPr>
        <w:t xml:space="preserve"> (Scriptorium Press, Fall 1985), </w:t>
      </w:r>
      <w:r>
        <w:rPr>
          <w:rStyle w:val="Ninguno A"/>
          <w:sz w:val="24"/>
          <w:szCs w:val="24"/>
        </w:rPr>
        <w:br w:type="textWrapping"/>
      </w:r>
    </w:p>
    <w:p>
      <w:pPr>
        <w:pStyle w:val="Cuerpo A"/>
        <w:spacing w:line="240" w:lineRule="auto"/>
        <w:ind w:left="720" w:firstLine="0"/>
        <w:rPr>
          <w:rStyle w:val="Ninguno"/>
          <w:sz w:val="24"/>
          <w:szCs w:val="24"/>
        </w:rPr>
      </w:pPr>
      <w:r>
        <w:rPr>
          <w:rStyle w:val="Ninguno"/>
          <w:sz w:val="24"/>
          <w:szCs w:val="24"/>
        </w:rPr>
        <w:br w:type="textWrapping"/>
      </w:r>
    </w:p>
    <w:p>
      <w:pPr>
        <w:pStyle w:val="Cuerpo A"/>
        <w:rPr>
          <w:rStyle w:val="Ninguno A"/>
          <w:sz w:val="24"/>
          <w:szCs w:val="24"/>
        </w:rPr>
      </w:pPr>
    </w:p>
    <w:p>
      <w:pPr>
        <w:pStyle w:val="Cuerpo A"/>
        <w:jc w:val="both"/>
        <w:rPr>
          <w:rStyle w:val="Ninguno A"/>
          <w:sz w:val="24"/>
          <w:szCs w:val="24"/>
        </w:rPr>
      </w:pPr>
    </w:p>
    <w:p>
      <w:pPr>
        <w:pStyle w:val="Cuerpo A"/>
        <w:jc w:val="both"/>
        <w:rPr>
          <w:rStyle w:val="Ninguno A"/>
          <w:sz w:val="24"/>
          <w:szCs w:val="24"/>
        </w:rPr>
      </w:pPr>
    </w:p>
    <w:p>
      <w:pPr>
        <w:pStyle w:val="Cuerpo A"/>
        <w:jc w:val="both"/>
      </w:pPr>
      <w:r>
        <w:rPr>
          <w:rStyle w:val="Ninguno A"/>
          <w:sz w:val="24"/>
          <w:szCs w:val="24"/>
        </w:rPr>
      </w:r>
    </w:p>
    <w:sectPr>
      <w:headerReference w:type="default" r:id="rId4"/>
      <w:footerReference w:type="default" r:id="rId5"/>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EB Garamond">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Cuerpo A"/>
      <w:jc w:val="right"/>
    </w:pPr>
    <w:r>
      <w:rPr>
        <w:rStyle w:val="Ninguno A"/>
      </w:rPr>
      <w:fldChar w:fldCharType="begin" w:fldLock="0"/>
    </w:r>
    <w:r>
      <w:rPr>
        <w:rStyle w:val="Ninguno A"/>
      </w:rPr>
      <w:instrText xml:space="preserve"> PAGE </w:instrText>
    </w:r>
    <w:r>
      <w:rPr>
        <w:rStyle w:val="Ninguno A"/>
      </w:rPr>
      <w:fldChar w:fldCharType="separate" w:fldLock="0"/>
    </w:r>
    <w:r>
      <w:rPr>
        <w:rStyle w:val="Ninguno A"/>
      </w:rPr>
    </w:r>
    <w:r>
      <w:rPr>
        <w:rStyle w:val="Ninguno A"/>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pp. 277</w:t>
      </w:r>
    </w:p>
  </w:footnote>
  <w:footnote w:id="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pp. 277-278</w:t>
      </w:r>
    </w:p>
  </w:footnote>
  <w:footnote w:id="3">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da-DK"/>
        </w:rPr>
        <w:t xml:space="preserve"> Brian Clark, </w:t>
      </w:r>
      <w:r>
        <w:rPr>
          <w:rStyle w:val="Ninguno"/>
          <w:i w:val="1"/>
          <w:iCs w:val="1"/>
          <w:rtl w:val="0"/>
          <w:lang w:val="en-US"/>
        </w:rPr>
        <w:t>Soul, Symbol and Imagination</w:t>
      </w:r>
      <w:r>
        <w:rPr>
          <w:rStyle w:val="Ninguno"/>
          <w:rtl w:val="0"/>
          <w:lang w:val="en-US"/>
        </w:rPr>
        <w:t xml:space="preserve"> (Australia: Astro*Synthesis. Kindle Edition, 2019), pp. 25 </w:t>
      </w:r>
    </w:p>
  </w:footnote>
  <w:footnote w:id="4">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pt-PT"/>
        </w:rPr>
        <w:t xml:space="preserve"> Richard Tarnas, </w:t>
      </w:r>
      <w:r>
        <w:rPr>
          <w:rStyle w:val="Ninguno"/>
          <w:i w:val="1"/>
          <w:iCs w:val="1"/>
          <w:rtl w:val="0"/>
          <w:lang w:val="en-US"/>
        </w:rPr>
        <w:t>Cosmos and Psyche</w:t>
      </w:r>
      <w:r>
        <w:rPr>
          <w:rStyle w:val="Ninguno"/>
          <w:rtl w:val="0"/>
          <w:lang w:val="en-US"/>
        </w:rPr>
        <w:t xml:space="preserve"> (New York: Penguin Publishing Group, 2006), pp. 27</w:t>
      </w:r>
    </w:p>
  </w:footnote>
  <w:footnote w:id="5">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da-DK"/>
        </w:rPr>
        <w:t xml:space="preserve"> Brian Clark, </w:t>
      </w:r>
      <w:r>
        <w:rPr>
          <w:rStyle w:val="Ninguno"/>
          <w:i w:val="1"/>
          <w:iCs w:val="1"/>
          <w:rtl w:val="0"/>
          <w:lang w:val="en-US"/>
        </w:rPr>
        <w:t>Soul, Symbol and Imagination</w:t>
      </w:r>
      <w:r>
        <w:rPr>
          <w:rStyle w:val="Ninguno A"/>
          <w:rtl w:val="0"/>
        </w:rPr>
        <w:t>, pp. 24</w:t>
      </w:r>
    </w:p>
  </w:footnote>
  <w:footnote w:id="6">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de-DE"/>
        </w:rPr>
        <w:t xml:space="preserve"> Angela Voss, </w:t>
      </w:r>
      <w:r>
        <w:rPr>
          <w:rStyle w:val="Ninguno"/>
          <w:rtl w:val="0"/>
          <w:lang w:val="de-DE"/>
        </w:rPr>
        <w:t>´</w:t>
      </w:r>
      <w:r>
        <w:rPr>
          <w:rStyle w:val="Ninguno"/>
          <w:rtl w:val="0"/>
          <w:lang w:val="en-US"/>
        </w:rPr>
        <w:t xml:space="preserve">A Methodology of the Imagination`, </w:t>
      </w:r>
      <w:r>
        <w:rPr>
          <w:rStyle w:val="Ninguno"/>
          <w:i w:val="1"/>
          <w:iCs w:val="1"/>
          <w:rtl w:val="0"/>
          <w:lang w:val="en-US"/>
        </w:rPr>
        <w:t xml:space="preserve">Eye of the Heart: A Journal of Traditional Wisdom, </w:t>
      </w:r>
      <w:r>
        <w:rPr>
          <w:rStyle w:val="Ninguno A"/>
          <w:rtl w:val="0"/>
        </w:rPr>
        <w:t>(2009),  pp. 38</w:t>
      </w:r>
    </w:p>
  </w:footnote>
  <w:footnote w:id="7">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it-IT"/>
        </w:rPr>
        <w:t xml:space="preserve"> Nicholas Campion, </w:t>
      </w:r>
      <w:r>
        <w:rPr>
          <w:rStyle w:val="Ninguno"/>
          <w:i w:val="1"/>
          <w:iCs w:val="1"/>
          <w:rtl w:val="0"/>
          <w:lang w:val="en-US"/>
        </w:rPr>
        <w:t>Astrology and Cosmology in the World</w:t>
      </w:r>
      <w:r>
        <w:rPr>
          <w:rStyle w:val="Ninguno"/>
          <w:rFonts w:ascii="Arial Unicode MS" w:hAnsi="Arial Unicode MS" w:hint="default"/>
          <w:rtl w:val="1"/>
        </w:rPr>
        <w:t>’</w:t>
      </w:r>
      <w:r>
        <w:rPr>
          <w:rStyle w:val="Ninguno"/>
          <w:i w:val="1"/>
          <w:iCs w:val="1"/>
          <w:rtl w:val="0"/>
          <w:lang w:val="fr-FR"/>
        </w:rPr>
        <w:t>s Religions</w:t>
      </w:r>
      <w:r>
        <w:rPr>
          <w:rStyle w:val="Ninguno"/>
          <w:rtl w:val="0"/>
          <w:lang w:val="en-US"/>
        </w:rPr>
        <w:t xml:space="preserve"> (New York: New York University Press, Kindle Edition, 2012), p. 151</w:t>
      </w:r>
    </w:p>
  </w:footnote>
  <w:footnote w:id="8">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it-IT"/>
        </w:rPr>
        <w:t xml:space="preserve"> Nicholas Campion, </w:t>
      </w:r>
      <w:r>
        <w:rPr>
          <w:rStyle w:val="Ninguno"/>
          <w:i w:val="1"/>
          <w:iCs w:val="1"/>
          <w:rtl w:val="0"/>
          <w:lang w:val="en-US"/>
        </w:rPr>
        <w:t>Astrology and Cosmology in the World</w:t>
      </w:r>
      <w:r>
        <w:rPr>
          <w:rStyle w:val="Ninguno"/>
          <w:rFonts w:ascii="Arial Unicode MS" w:hAnsi="Arial Unicode MS" w:hint="default"/>
          <w:rtl w:val="1"/>
        </w:rPr>
        <w:t>’</w:t>
      </w:r>
      <w:r>
        <w:rPr>
          <w:rStyle w:val="Ninguno"/>
          <w:i w:val="1"/>
          <w:iCs w:val="1"/>
          <w:rtl w:val="0"/>
          <w:lang w:val="fr-FR"/>
        </w:rPr>
        <w:t>s Religions</w:t>
      </w:r>
      <w:r>
        <w:rPr>
          <w:rStyle w:val="Ninguno A"/>
          <w:rtl w:val="0"/>
        </w:rPr>
        <w:t>, pp. 3</w:t>
      </w:r>
    </w:p>
  </w:footnote>
  <w:footnote w:id="9">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it-IT"/>
        </w:rPr>
        <w:t xml:space="preserve"> Nicholas Campion, </w:t>
      </w:r>
      <w:r>
        <w:rPr>
          <w:rStyle w:val="Ninguno"/>
          <w:i w:val="1"/>
          <w:iCs w:val="1"/>
          <w:rtl w:val="0"/>
          <w:lang w:val="en-US"/>
        </w:rPr>
        <w:t>Astrology and Cosmology in the World</w:t>
      </w:r>
      <w:r>
        <w:rPr>
          <w:rStyle w:val="Ninguno"/>
          <w:rFonts w:ascii="Arial Unicode MS" w:hAnsi="Arial Unicode MS" w:hint="default"/>
          <w:rtl w:val="1"/>
        </w:rPr>
        <w:t>’</w:t>
      </w:r>
      <w:r>
        <w:rPr>
          <w:rStyle w:val="Ninguno"/>
          <w:i w:val="1"/>
          <w:iCs w:val="1"/>
          <w:rtl w:val="0"/>
          <w:lang w:val="fr-FR"/>
        </w:rPr>
        <w:t xml:space="preserve">s Religions, </w:t>
      </w:r>
      <w:r>
        <w:rPr>
          <w:rStyle w:val="Ninguno A"/>
          <w:rtl w:val="0"/>
        </w:rPr>
        <w:t>pp. 59</w:t>
      </w:r>
    </w:p>
  </w:footnote>
  <w:footnote w:id="10">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it-IT"/>
        </w:rPr>
        <w:t xml:space="preserve"> Geoffrey Cornelius, </w:t>
      </w:r>
      <w:r>
        <w:rPr>
          <w:rStyle w:val="Ninguno"/>
          <w:i w:val="1"/>
          <w:iCs w:val="1"/>
          <w:rtl w:val="0"/>
          <w:lang w:val="en-US"/>
        </w:rPr>
        <w:t xml:space="preserve">The Moment of Astrology </w:t>
      </w:r>
      <w:r>
        <w:rPr>
          <w:rStyle w:val="Ninguno"/>
          <w:rtl w:val="0"/>
          <w:lang w:val="en-US"/>
        </w:rPr>
        <w:t xml:space="preserve">(England: The Wessex Astrologer Ltd, 2003), pp. 284, 286, </w:t>
      </w:r>
    </w:p>
  </w:footnote>
  <w:footnote w:id="11">
    <w:p>
      <w:pPr>
        <w:pStyle w:val="Cuerpo A"/>
        <w:spacing w:line="240" w:lineRule="auto"/>
      </w:pPr>
      <w:r>
        <w:rPr>
          <w:rStyle w:val="Ninguno"/>
          <w:rFonts w:ascii="EB Garamond" w:cs="EB Garamond" w:hAnsi="EB Garamond" w:eastAsia="EB Garamond"/>
          <w:sz w:val="28"/>
          <w:szCs w:val="28"/>
          <w:vertAlign w:val="superscript"/>
        </w:rPr>
        <w:footnoteRef/>
      </w:r>
      <w:r>
        <w:rPr>
          <w:rStyle w:val="Ninguno A"/>
          <w:rtl w:val="0"/>
        </w:rPr>
        <w:t xml:space="preserve"> Mircea Eliade,</w:t>
      </w:r>
      <w:r>
        <w:rPr>
          <w:rStyle w:val="Ninguno"/>
          <w:i w:val="1"/>
          <w:iCs w:val="1"/>
          <w:rtl w:val="0"/>
          <w:lang w:val="en-US"/>
        </w:rPr>
        <w:t xml:space="preserve"> Images and Symbols</w:t>
      </w:r>
      <w:r>
        <w:rPr>
          <w:rStyle w:val="Ninguno"/>
          <w:rtl w:val="0"/>
          <w:lang w:val="en-US"/>
        </w:rPr>
        <w:t xml:space="preserve"> (USA: Princeton University Press. Kindle Edition, 1991), p. 7</w:t>
      </w:r>
    </w:p>
  </w:footnote>
  <w:footnote w:id="12">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it-IT"/>
        </w:rPr>
        <w:t xml:space="preserve"> Nicholas Campion, </w:t>
      </w:r>
      <w:r>
        <w:rPr>
          <w:rStyle w:val="Ninguno"/>
          <w:rtl w:val="0"/>
          <w:lang w:val="de-DE"/>
        </w:rPr>
        <w:t>´</w:t>
      </w:r>
      <w:r>
        <w:rPr>
          <w:rStyle w:val="Ninguno"/>
          <w:rtl w:val="0"/>
          <w:lang w:val="en-US"/>
        </w:rPr>
        <w:t>Enchantment and the Awe of the Heavens</w:t>
      </w:r>
      <w:r>
        <w:rPr>
          <w:rStyle w:val="Ninguno"/>
          <w:i w:val="1"/>
          <w:iCs w:val="1"/>
          <w:rtl w:val="0"/>
          <w:lang w:val="en-US"/>
        </w:rPr>
        <w:t>`, ASP Conference Series, Vol. 441</w:t>
      </w:r>
      <w:r>
        <w:rPr>
          <w:rStyle w:val="Ninguno A"/>
          <w:rtl w:val="0"/>
        </w:rPr>
        <w:t xml:space="preserve"> (2011), p. 1</w:t>
      </w:r>
    </w:p>
  </w:footnote>
  <w:footnote w:id="13">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de-DE"/>
        </w:rPr>
        <w:t xml:space="preserve"> Max Weber, </w:t>
      </w:r>
      <w:r>
        <w:rPr>
          <w:rStyle w:val="Ninguno"/>
          <w:i w:val="1"/>
          <w:iCs w:val="1"/>
          <w:rtl w:val="0"/>
          <w:lang w:val="en-US"/>
        </w:rPr>
        <w:t>From</w:t>
      </w:r>
      <w:r>
        <w:rPr>
          <w:rStyle w:val="Ninguno A"/>
          <w:rtl w:val="0"/>
        </w:rPr>
        <w:t xml:space="preserve"> </w:t>
      </w:r>
      <w:r>
        <w:rPr>
          <w:rStyle w:val="Ninguno"/>
          <w:i w:val="1"/>
          <w:iCs w:val="1"/>
          <w:rtl w:val="0"/>
          <w:lang w:val="en-US"/>
        </w:rPr>
        <w:t>Max Weber: Essays in Sociology</w:t>
      </w:r>
      <w:r>
        <w:rPr>
          <w:rStyle w:val="Ninguno"/>
          <w:rtl w:val="0"/>
          <w:lang w:val="en-US"/>
        </w:rPr>
        <w:t xml:space="preserve"> (Oxford: Routledge, 2009), p. 139.</w:t>
      </w:r>
    </w:p>
  </w:footnote>
  <w:footnote w:id="1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Eranos Foundation </w:t>
      </w:r>
      <w:r>
        <w:rPr>
          <w:rStyle w:val="Ninguno"/>
          <w:outline w:val="0"/>
          <w:color w:val="1155cc"/>
          <w:sz w:val="20"/>
          <w:szCs w:val="20"/>
          <w:u w:val="single" w:color="1155cc"/>
          <w:rtl w:val="0"/>
          <w:lang w:val="en-US"/>
          <w14:textFill>
            <w14:solidFill>
              <w14:srgbClr w14:val="1155CC"/>
            </w14:solidFill>
          </w14:textFill>
        </w:rPr>
        <w:t>http://www.eranosfoundation.org/page.php?page=4&amp;pagename=history</w:t>
      </w:r>
      <w:r>
        <w:rPr>
          <w:rStyle w:val="Ninguno"/>
          <w:sz w:val="20"/>
          <w:szCs w:val="20"/>
          <w:rtl w:val="0"/>
          <w:lang w:val="en-US"/>
        </w:rPr>
        <w:t xml:space="preserve"> [accessed 02 January 2019]</w:t>
      </w:r>
    </w:p>
  </w:footnote>
  <w:footnote w:id="1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Algis Uz</w:t>
      </w:r>
      <w:r>
        <w:rPr>
          <w:rStyle w:val="Ninguno"/>
          <w:sz w:val="20"/>
          <w:szCs w:val="20"/>
          <w:rtl w:val="0"/>
        </w:rPr>
        <w:t>̌</w:t>
      </w:r>
      <w:r>
        <w:rPr>
          <w:rStyle w:val="Ninguno"/>
          <w:sz w:val="20"/>
          <w:szCs w:val="20"/>
          <w:rtl w:val="0"/>
        </w:rPr>
        <w:t xml:space="preserve">davinys, </w:t>
      </w:r>
      <w:r>
        <w:rPr>
          <w:rStyle w:val="Ninguno"/>
          <w:i w:val="1"/>
          <w:iCs w:val="1"/>
          <w:sz w:val="20"/>
          <w:szCs w:val="20"/>
          <w:rtl w:val="0"/>
          <w:lang w:val="en-US"/>
        </w:rPr>
        <w:t xml:space="preserve">Philosophy as Rite of Rebirth: From Ancient Egypt to Neoplatonism </w:t>
      </w:r>
      <w:r>
        <w:rPr>
          <w:rStyle w:val="Ninguno"/>
          <w:sz w:val="20"/>
          <w:szCs w:val="20"/>
          <w:rtl w:val="0"/>
          <w:lang w:val="en-US"/>
        </w:rPr>
        <w:t>(UK: The Prometheus Trust, 2008), pp. 95</w:t>
      </w:r>
    </w:p>
  </w:footnote>
  <w:footnote w:id="1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Algis Uz</w:t>
      </w:r>
      <w:r>
        <w:rPr>
          <w:rStyle w:val="Ninguno"/>
          <w:sz w:val="20"/>
          <w:szCs w:val="20"/>
          <w:rtl w:val="0"/>
        </w:rPr>
        <w:t>̌</w:t>
      </w:r>
      <w:r>
        <w:rPr>
          <w:rStyle w:val="Ninguno"/>
          <w:sz w:val="20"/>
          <w:szCs w:val="20"/>
          <w:rtl w:val="0"/>
        </w:rPr>
        <w:t xml:space="preserve">davinys, </w:t>
      </w:r>
      <w:r>
        <w:rPr>
          <w:rStyle w:val="Ninguno"/>
          <w:i w:val="1"/>
          <w:iCs w:val="1"/>
          <w:sz w:val="20"/>
          <w:szCs w:val="20"/>
          <w:rtl w:val="0"/>
          <w:lang w:val="en-US"/>
        </w:rPr>
        <w:t>Philosophy as Rite of Rebirth</w:t>
      </w:r>
      <w:r>
        <w:rPr>
          <w:rStyle w:val="Ninguno"/>
          <w:sz w:val="20"/>
          <w:szCs w:val="20"/>
          <w:rtl w:val="0"/>
        </w:rPr>
        <w:t>, pp. 116</w:t>
      </w:r>
    </w:p>
  </w:footnote>
  <w:footnote w:id="1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Proclus, </w:t>
      </w:r>
      <w:r>
        <w:rPr>
          <w:rStyle w:val="Ninguno"/>
          <w:i w:val="1"/>
          <w:iCs w:val="1"/>
          <w:sz w:val="20"/>
          <w:szCs w:val="20"/>
          <w:rtl w:val="0"/>
          <w:lang w:val="en-US"/>
        </w:rPr>
        <w:t>The elements of Theology</w:t>
      </w:r>
      <w:r>
        <w:rPr>
          <w:rStyle w:val="Ninguno"/>
          <w:sz w:val="20"/>
          <w:szCs w:val="20"/>
          <w:rtl w:val="0"/>
        </w:rPr>
        <w:t>, trans. by E.R. Dodds (UK: Oxford University Press, 1963),  pp. 171</w:t>
      </w:r>
    </w:p>
  </w:footnote>
  <w:footnote w:id="18">
    <w:p>
      <w:pPr>
        <w:pStyle w:val="Cuerpo A"/>
        <w:spacing w:line="240" w:lineRule="auto"/>
      </w:pPr>
      <w:r>
        <w:rPr>
          <w:rStyle w:val="Ninguno"/>
          <w:rFonts w:ascii="EB Garamond" w:cs="EB Garamond" w:hAnsi="EB Garamond" w:eastAsia="EB Garamond"/>
          <w:sz w:val="28"/>
          <w:szCs w:val="28"/>
          <w:vertAlign w:val="superscript"/>
        </w:rPr>
        <w:footnoteRef/>
      </w:r>
      <w:r>
        <w:rPr>
          <w:rStyle w:val="Ninguno A"/>
          <w:rtl w:val="0"/>
        </w:rPr>
        <w:t xml:space="preserve"> Algis Uz</w:t>
      </w:r>
      <w:r>
        <w:rPr>
          <w:rStyle w:val="Ninguno A"/>
          <w:rtl w:val="0"/>
        </w:rPr>
        <w:t>̌</w:t>
      </w:r>
      <w:r>
        <w:rPr>
          <w:rStyle w:val="Ninguno A"/>
          <w:rtl w:val="0"/>
        </w:rPr>
        <w:t xml:space="preserve">davinys, </w:t>
      </w:r>
      <w:r>
        <w:rPr>
          <w:rStyle w:val="Ninguno"/>
          <w:i w:val="1"/>
          <w:iCs w:val="1"/>
          <w:rtl w:val="0"/>
          <w:lang w:val="en-US"/>
        </w:rPr>
        <w:t>Philosophy as Rite of Rebirth</w:t>
      </w:r>
      <w:r>
        <w:rPr>
          <w:rStyle w:val="Ninguno A"/>
          <w:rtl w:val="0"/>
        </w:rPr>
        <w:t>, pp. 95</w:t>
      </w:r>
    </w:p>
  </w:footnote>
  <w:footnote w:id="19">
    <w:p>
      <w:pPr>
        <w:pStyle w:val="Cuerpo A"/>
        <w:spacing w:line="240" w:lineRule="auto"/>
      </w:pPr>
      <w:r>
        <w:rPr>
          <w:rStyle w:val="Ninguno"/>
          <w:rFonts w:ascii="EB Garamond" w:cs="EB Garamond" w:hAnsi="EB Garamond" w:eastAsia="EB Garamond"/>
          <w:sz w:val="28"/>
          <w:szCs w:val="28"/>
          <w:vertAlign w:val="superscript"/>
        </w:rPr>
        <w:footnoteRef/>
      </w:r>
      <w:r>
        <w:rPr>
          <w:rStyle w:val="Ninguno A"/>
          <w:rtl w:val="0"/>
        </w:rPr>
        <w:t xml:space="preserve"> Mircea Eliade, </w:t>
      </w:r>
      <w:r>
        <w:rPr>
          <w:rStyle w:val="Ninguno"/>
          <w:i w:val="1"/>
          <w:iCs w:val="1"/>
          <w:rtl w:val="0"/>
          <w:lang w:val="en-US"/>
        </w:rPr>
        <w:t>Images and Symbols</w:t>
      </w:r>
      <w:r>
        <w:rPr>
          <w:rStyle w:val="Ninguno"/>
          <w:rtl w:val="0"/>
          <w:lang w:val="en-US"/>
        </w:rPr>
        <w:t xml:space="preserve"> (USA: Princeton University Press, Kindle Edition, 1991),  p. 8, 10 </w:t>
      </w:r>
    </w:p>
  </w:footnote>
  <w:footnote w:id="20">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en-US"/>
        </w:rPr>
        <w:t xml:space="preserve"> Angela Voss, `A Methodology of the Imagination`, </w:t>
      </w:r>
      <w:r>
        <w:rPr>
          <w:rStyle w:val="Ninguno"/>
          <w:i w:val="1"/>
          <w:iCs w:val="1"/>
          <w:rtl w:val="0"/>
          <w:lang w:val="en-US"/>
        </w:rPr>
        <w:t xml:space="preserve">Eye of the Heart: A Journal of Traditional Wisdom, </w:t>
      </w:r>
      <w:r>
        <w:rPr>
          <w:rStyle w:val="Ninguno A"/>
          <w:rtl w:val="0"/>
        </w:rPr>
        <w:t>(2009), pp. 40</w:t>
      </w:r>
    </w:p>
  </w:footnote>
  <w:footnote w:id="21">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en-US"/>
        </w:rPr>
        <w:t xml:space="preserve"> Peter J. Forshaw, </w:t>
      </w:r>
      <w:r>
        <w:rPr>
          <w:rStyle w:val="Ninguno"/>
          <w:i w:val="1"/>
          <w:iCs w:val="1"/>
          <w:rtl w:val="0"/>
          <w:lang w:val="ru-RU"/>
        </w:rPr>
        <w:t>`</w:t>
      </w:r>
      <w:r>
        <w:rPr>
          <w:rStyle w:val="Ninguno"/>
          <w:rtl w:val="0"/>
          <w:lang w:val="en-US"/>
        </w:rPr>
        <w:t>Introduction: The Visual and the Symbolic in Western Esotericism`</w:t>
      </w:r>
      <w:r>
        <w:rPr>
          <w:rStyle w:val="Ninguno"/>
          <w:i w:val="1"/>
          <w:iCs w:val="1"/>
          <w:rtl w:val="0"/>
        </w:rPr>
        <w:t xml:space="preserve">, </w:t>
      </w:r>
      <w:r>
        <w:rPr>
          <w:rStyle w:val="Ninguno A"/>
          <w:rtl w:val="0"/>
        </w:rPr>
        <w:t xml:space="preserve">in </w:t>
      </w:r>
      <w:r>
        <w:rPr>
          <w:rStyle w:val="Ninguno"/>
          <w:i w:val="1"/>
          <w:iCs w:val="1"/>
          <w:rtl w:val="0"/>
          <w:lang w:val="fr-FR"/>
        </w:rPr>
        <w:t xml:space="preserve">Lux in Tenebris, Aries Book Series, Vol. 23 </w:t>
      </w:r>
      <w:r>
        <w:rPr>
          <w:rStyle w:val="Ninguno"/>
          <w:rtl w:val="0"/>
          <w:lang w:val="en-US"/>
        </w:rPr>
        <w:t>(Netherlands: Brill, 2017), p. 1</w:t>
      </w:r>
    </w:p>
  </w:footnote>
  <w:footnote w:id="22">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de-DE"/>
        </w:rPr>
        <w:t xml:space="preserve"> Peter Struck, </w:t>
      </w:r>
      <w:r>
        <w:rPr>
          <w:rStyle w:val="Ninguno"/>
          <w:i w:val="1"/>
          <w:iCs w:val="1"/>
          <w:rtl w:val="0"/>
          <w:lang w:val="en-US"/>
        </w:rPr>
        <w:t>Birth of the Symbol</w:t>
      </w:r>
      <w:r>
        <w:rPr>
          <w:rStyle w:val="Ninguno"/>
          <w:rtl w:val="0"/>
          <w:lang w:val="en-US"/>
        </w:rPr>
        <w:t xml:space="preserve"> (USA: Princeton University Press. Kindle Edition), Loc. 1730</w:t>
      </w:r>
    </w:p>
  </w:footnote>
  <w:footnote w:id="23">
    <w:p>
      <w:pPr>
        <w:pStyle w:val="Cuerpo A"/>
        <w:spacing w:line="240" w:lineRule="auto"/>
      </w:pPr>
      <w:r>
        <w:rPr>
          <w:rStyle w:val="Ninguno"/>
          <w:rFonts w:ascii="EB Garamond" w:cs="EB Garamond" w:hAnsi="EB Garamond" w:eastAsia="EB Garamond"/>
          <w:sz w:val="28"/>
          <w:szCs w:val="28"/>
          <w:vertAlign w:val="superscript"/>
        </w:rPr>
        <w:footnoteRef/>
      </w:r>
      <w:r>
        <w:rPr>
          <w:rStyle w:val="Ninguno A"/>
          <w:rtl w:val="0"/>
        </w:rPr>
        <w:t xml:space="preserve"> Algis Uz</w:t>
      </w:r>
      <w:r>
        <w:rPr>
          <w:rStyle w:val="Ninguno A"/>
          <w:rtl w:val="0"/>
        </w:rPr>
        <w:t>̌</w:t>
      </w:r>
      <w:r>
        <w:rPr>
          <w:rStyle w:val="Ninguno A"/>
          <w:rtl w:val="0"/>
        </w:rPr>
        <w:t xml:space="preserve">davinys, </w:t>
      </w:r>
      <w:r>
        <w:rPr>
          <w:rStyle w:val="Ninguno"/>
          <w:rtl w:val="0"/>
          <w:lang w:val="de-DE"/>
        </w:rPr>
        <w:t>´</w:t>
      </w:r>
      <w:r>
        <w:rPr>
          <w:rStyle w:val="Ninguno"/>
          <w:rtl w:val="0"/>
          <w:lang w:val="en-US"/>
        </w:rPr>
        <w:t>Metaphysical symbols and their function in theurgy</w:t>
      </w:r>
      <w:r>
        <w:rPr>
          <w:rStyle w:val="Ninguno"/>
          <w:rtl w:val="0"/>
          <w:lang w:val="de-DE"/>
        </w:rPr>
        <w:t>´</w:t>
      </w:r>
      <w:r>
        <w:rPr>
          <w:rStyle w:val="Ninguno A"/>
          <w:rtl w:val="0"/>
        </w:rPr>
        <w:t>,</w:t>
      </w:r>
      <w:r>
        <w:rPr>
          <w:rStyle w:val="Ninguno"/>
          <w:i w:val="1"/>
          <w:iCs w:val="1"/>
          <w:rtl w:val="0"/>
          <w:lang w:val="en-US"/>
        </w:rPr>
        <w:t xml:space="preserve"> Eye of the Heart: A Journal of Traditional Wisdom</w:t>
      </w:r>
      <w:r>
        <w:rPr>
          <w:rStyle w:val="Ninguno A"/>
          <w:rtl w:val="0"/>
        </w:rPr>
        <w:t>, Vol. 2 (2008), pp. 40</w:t>
      </w:r>
    </w:p>
  </w:footnote>
  <w:footnote w:id="24">
    <w:p>
      <w:pPr>
        <w:pStyle w:val="Cuerpo A"/>
        <w:spacing w:line="240" w:lineRule="auto"/>
      </w:pPr>
      <w:r>
        <w:rPr>
          <w:rStyle w:val="Ninguno"/>
          <w:rFonts w:ascii="EB Garamond" w:cs="EB Garamond" w:hAnsi="EB Garamond" w:eastAsia="EB Garamond"/>
          <w:sz w:val="28"/>
          <w:szCs w:val="28"/>
          <w:vertAlign w:val="superscript"/>
        </w:rPr>
        <w:footnoteRef/>
      </w:r>
      <w:r>
        <w:rPr>
          <w:rStyle w:val="Ninguno A"/>
          <w:rtl w:val="0"/>
        </w:rPr>
        <w:t xml:space="preserve">  Algis Uz</w:t>
      </w:r>
      <w:r>
        <w:rPr>
          <w:rStyle w:val="Ninguno A"/>
          <w:rtl w:val="0"/>
        </w:rPr>
        <w:t>̌</w:t>
      </w:r>
      <w:r>
        <w:rPr>
          <w:rStyle w:val="Ninguno A"/>
          <w:rtl w:val="0"/>
        </w:rPr>
        <w:t xml:space="preserve">davinys, </w:t>
      </w:r>
      <w:r>
        <w:rPr>
          <w:rStyle w:val="Ninguno"/>
          <w:rtl w:val="0"/>
          <w:lang w:val="de-DE"/>
        </w:rPr>
        <w:t>´</w:t>
      </w:r>
      <w:r>
        <w:rPr>
          <w:rStyle w:val="Ninguno"/>
          <w:i w:val="1"/>
          <w:iCs w:val="1"/>
          <w:rtl w:val="0"/>
          <w:lang w:val="en-US"/>
        </w:rPr>
        <w:t>Metaphysical symbols and their function in theurgy</w:t>
      </w:r>
      <w:r>
        <w:rPr>
          <w:rStyle w:val="Ninguno"/>
          <w:rtl w:val="0"/>
          <w:lang w:val="de-DE"/>
        </w:rPr>
        <w:t>´</w:t>
      </w:r>
      <w:r>
        <w:rPr>
          <w:rStyle w:val="Ninguno A"/>
          <w:rtl w:val="0"/>
        </w:rPr>
        <w:t>, pp. 40</w:t>
      </w:r>
    </w:p>
  </w:footnote>
  <w:footnote w:id="25">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it-IT"/>
        </w:rPr>
        <w:t xml:space="preserve"> Plato, </w:t>
      </w:r>
      <w:r>
        <w:rPr>
          <w:rStyle w:val="Ninguno"/>
          <w:i w:val="1"/>
          <w:iCs w:val="1"/>
          <w:rtl w:val="0"/>
        </w:rPr>
        <w:t>Republic</w:t>
      </w:r>
      <w:r>
        <w:rPr>
          <w:rStyle w:val="Ninguno"/>
          <w:rtl w:val="0"/>
          <w:lang w:val="en-US"/>
        </w:rPr>
        <w:t>, trans. by Christopher Rowe (USA:Penguin Books Ltd, Kindle Edition, 2012), Loc. 4758</w:t>
      </w:r>
    </w:p>
  </w:footnote>
  <w:footnote w:id="26">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it-IT"/>
        </w:rPr>
        <w:t xml:space="preserve"> Plato, </w:t>
      </w:r>
      <w:r>
        <w:rPr>
          <w:rStyle w:val="Ninguno"/>
          <w:i w:val="1"/>
          <w:iCs w:val="1"/>
          <w:rtl w:val="0"/>
        </w:rPr>
        <w:t>Republic</w:t>
      </w:r>
      <w:r>
        <w:rPr>
          <w:rStyle w:val="Ninguno"/>
          <w:rtl w:val="0"/>
          <w:lang w:val="en-US"/>
        </w:rPr>
        <w:t>, trans. by Christopher Rowe (USA:Penguin Books Ltd, Kindle Edition, 2012), Loc. 4766</w:t>
      </w:r>
    </w:p>
  </w:footnote>
  <w:footnote w:id="27">
    <w:p>
      <w:pPr>
        <w:pStyle w:val="Cuerpo A"/>
        <w:spacing w:line="240" w:lineRule="auto"/>
      </w:pPr>
      <w:r>
        <w:rPr>
          <w:rStyle w:val="Ninguno"/>
          <w:rFonts w:ascii="EB Garamond" w:cs="EB Garamond" w:hAnsi="EB Garamond" w:eastAsia="EB Garamond"/>
          <w:sz w:val="28"/>
          <w:szCs w:val="28"/>
          <w:vertAlign w:val="superscript"/>
        </w:rPr>
        <w:footnoteRef/>
      </w:r>
      <w:r>
        <w:rPr>
          <w:rStyle w:val="Ninguno"/>
          <w:rtl w:val="0"/>
          <w:lang w:val="en-US"/>
        </w:rPr>
        <w:t xml:space="preserve"> Peter J. Forshaw, </w:t>
      </w:r>
      <w:r>
        <w:rPr>
          <w:rStyle w:val="Ninguno"/>
          <w:i w:val="1"/>
          <w:iCs w:val="1"/>
          <w:rtl w:val="0"/>
          <w:lang w:val="en-US"/>
        </w:rPr>
        <w:t>Introduction: The Visual and the Symbolic in Western Esotericism</w:t>
      </w:r>
      <w:r>
        <w:rPr>
          <w:rStyle w:val="Ninguno"/>
          <w:rtl w:val="0"/>
          <w:lang w:val="de-DE"/>
        </w:rPr>
        <w:t xml:space="preserve">, pp. 2; Peter Struck, </w:t>
      </w:r>
      <w:r>
        <w:rPr>
          <w:rStyle w:val="Ninguno"/>
          <w:i w:val="1"/>
          <w:iCs w:val="1"/>
          <w:rtl w:val="0"/>
          <w:lang w:val="en-US"/>
        </w:rPr>
        <w:t>Birth of the Symbol</w:t>
      </w:r>
      <w:r>
        <w:rPr>
          <w:rStyle w:val="Ninguno"/>
          <w:rtl w:val="0"/>
          <w:lang w:val="en-US"/>
        </w:rPr>
        <w:t>, (USA: Princeton University Press. Kindle Edition), Loc. 1750</w:t>
      </w:r>
    </w:p>
  </w:footnote>
  <w:footnote w:id="28">
    <w:p>
      <w:pPr>
        <w:pStyle w:val="Cuerpo A"/>
        <w:spacing w:line="240" w:lineRule="auto"/>
      </w:pPr>
      <w:r>
        <w:rPr>
          <w:rStyle w:val="Ninguno"/>
          <w:rFonts w:ascii="EB Garamond" w:cs="EB Garamond" w:hAnsi="EB Garamond" w:eastAsia="EB Garamond"/>
          <w:sz w:val="28"/>
          <w:szCs w:val="28"/>
          <w:vertAlign w:val="superscript"/>
        </w:rPr>
        <w:footnoteRef/>
      </w:r>
      <w:r>
        <w:rPr>
          <w:rStyle w:val="Ninguno A"/>
          <w:rtl w:val="0"/>
        </w:rPr>
        <w:t xml:space="preserve">  Algis Uz</w:t>
      </w:r>
      <w:r>
        <w:rPr>
          <w:rStyle w:val="Ninguno A"/>
          <w:rtl w:val="0"/>
        </w:rPr>
        <w:t>̌</w:t>
      </w:r>
      <w:r>
        <w:rPr>
          <w:rStyle w:val="Ninguno A"/>
          <w:rtl w:val="0"/>
        </w:rPr>
        <w:t xml:space="preserve">davinys, </w:t>
      </w:r>
      <w:r>
        <w:rPr>
          <w:rStyle w:val="Ninguno"/>
          <w:i w:val="1"/>
          <w:iCs w:val="1"/>
          <w:rtl w:val="0"/>
          <w:lang w:val="en-US"/>
        </w:rPr>
        <w:t>Philosophy as Rite of Rebirth: From Ancient Egypt to Neoplatonism</w:t>
      </w:r>
      <w:r>
        <w:rPr>
          <w:rStyle w:val="Ninguno"/>
          <w:rtl w:val="0"/>
          <w:lang w:val="en-US"/>
        </w:rPr>
        <w:t>, (UK: The Prometheus Trust, 2008), pp. 116</w:t>
      </w:r>
    </w:p>
  </w:footnote>
  <w:footnote w:id="2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lang w:val="en-US"/>
        </w:rPr>
        <w:t xml:space="preserve"> (New York: Penguin Publishing Group, Kindle Edition, 2006), p. 25</w:t>
      </w:r>
    </w:p>
  </w:footnote>
  <w:footnote w:id="3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Emile Durkheim, </w:t>
      </w:r>
      <w:r>
        <w:rPr>
          <w:rStyle w:val="Ninguno"/>
          <w:i w:val="1"/>
          <w:iCs w:val="1"/>
          <w:sz w:val="20"/>
          <w:szCs w:val="20"/>
          <w:rtl w:val="0"/>
          <w:lang w:val="en-US"/>
        </w:rPr>
        <w:t>The Elementary Forms of Religious Life</w:t>
      </w:r>
      <w:r>
        <w:rPr>
          <w:rStyle w:val="Ninguno"/>
          <w:sz w:val="20"/>
          <w:szCs w:val="20"/>
          <w:rtl w:val="0"/>
          <w:lang w:val="en-US"/>
        </w:rPr>
        <w:t>, trans. by Joseph Ward Swain, (London: George Allen &amp; Unwin Ltd., 1915), Chapter 1</w:t>
      </w:r>
    </w:p>
  </w:footnote>
  <w:footnote w:id="3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Emile Durkheim, </w:t>
      </w:r>
      <w:r>
        <w:rPr>
          <w:rStyle w:val="Ninguno"/>
          <w:i w:val="1"/>
          <w:iCs w:val="1"/>
          <w:sz w:val="20"/>
          <w:szCs w:val="20"/>
          <w:rtl w:val="0"/>
          <w:lang w:val="en-US"/>
        </w:rPr>
        <w:t>The Elementary Forms of Religious Life</w:t>
      </w:r>
      <w:r>
        <w:rPr>
          <w:rStyle w:val="Ninguno"/>
          <w:sz w:val="20"/>
          <w:szCs w:val="20"/>
          <w:rtl w:val="0"/>
        </w:rPr>
        <w:t>, pp. 51</w:t>
      </w:r>
    </w:p>
  </w:footnote>
  <w:footnote w:id="3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Emile Durkheim,</w:t>
      </w:r>
      <w:r>
        <w:rPr>
          <w:rStyle w:val="Ninguno"/>
          <w:i w:val="1"/>
          <w:iCs w:val="1"/>
          <w:sz w:val="20"/>
          <w:szCs w:val="20"/>
          <w:rtl w:val="0"/>
          <w:lang w:val="en-US"/>
        </w:rPr>
        <w:t xml:space="preserve"> The Elementary Forms of Religious Life</w:t>
      </w:r>
      <w:r>
        <w:rPr>
          <w:rStyle w:val="Ninguno"/>
          <w:sz w:val="20"/>
          <w:szCs w:val="20"/>
          <w:rtl w:val="0"/>
          <w:lang w:val="en-US"/>
        </w:rPr>
        <w:t xml:space="preserve">, pp.133;  Edward Evans Evans-Pritchard, </w:t>
      </w:r>
      <w:r>
        <w:rPr>
          <w:rStyle w:val="Ninguno"/>
          <w:i w:val="1"/>
          <w:iCs w:val="1"/>
          <w:sz w:val="20"/>
          <w:szCs w:val="20"/>
          <w:rtl w:val="0"/>
          <w:lang w:val="es-ES_tradnl"/>
        </w:rPr>
        <w:t>Las teor</w:t>
      </w:r>
      <w:r>
        <w:rPr>
          <w:rStyle w:val="Ninguno"/>
          <w:i w:val="1"/>
          <w:iCs w:val="1"/>
          <w:sz w:val="20"/>
          <w:szCs w:val="20"/>
          <w:rtl w:val="0"/>
        </w:rPr>
        <w:t>í</w:t>
      </w:r>
      <w:r>
        <w:rPr>
          <w:rStyle w:val="Ninguno"/>
          <w:i w:val="1"/>
          <w:iCs w:val="1"/>
          <w:sz w:val="20"/>
          <w:szCs w:val="20"/>
          <w:rtl w:val="0"/>
          <w:lang w:val="es-ES_tradnl"/>
        </w:rPr>
        <w:t>as de la religi</w:t>
      </w:r>
      <w:r>
        <w:rPr>
          <w:rStyle w:val="Ninguno"/>
          <w:i w:val="1"/>
          <w:iCs w:val="1"/>
          <w:sz w:val="20"/>
          <w:szCs w:val="20"/>
          <w:rtl w:val="0"/>
          <w:lang w:val="es-ES_tradnl"/>
        </w:rPr>
        <w:t>ó</w:t>
      </w:r>
      <w:r>
        <w:rPr>
          <w:rStyle w:val="Ninguno"/>
          <w:i w:val="1"/>
          <w:iCs w:val="1"/>
          <w:sz w:val="20"/>
          <w:szCs w:val="20"/>
          <w:rtl w:val="0"/>
        </w:rPr>
        <w:t>n primitiva</w:t>
      </w:r>
      <w:r>
        <w:rPr>
          <w:rStyle w:val="Ninguno"/>
          <w:sz w:val="20"/>
          <w:szCs w:val="20"/>
          <w:rtl w:val="0"/>
          <w:lang w:val="en-US"/>
        </w:rPr>
        <w:t>, trans. by the author (Madrid: Ediciones Siglo XXI, 1991), pp.91</w:t>
      </w:r>
    </w:p>
  </w:footnote>
  <w:footnote w:id="3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Julien Ries, </w:t>
      </w:r>
      <w:r>
        <w:rPr>
          <w:rStyle w:val="Ninguno"/>
          <w:i w:val="1"/>
          <w:iCs w:val="1"/>
          <w:sz w:val="20"/>
          <w:szCs w:val="20"/>
          <w:rtl w:val="0"/>
          <w:lang w:val="es-ES_tradnl"/>
        </w:rPr>
        <w:t>Lo sagrado en la historia de la humanidad</w:t>
      </w:r>
      <w:r>
        <w:rPr>
          <w:rStyle w:val="Ninguno"/>
          <w:sz w:val="20"/>
          <w:szCs w:val="20"/>
          <w:rtl w:val="0"/>
          <w:lang w:val="es-ES_tradnl"/>
        </w:rPr>
        <w:t>, trans. by the author (Madrid: Ediciones Encuentro, 1989), pp. 22-23</w:t>
      </w:r>
    </w:p>
  </w:footnote>
  <w:footnote w:id="3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 The Nature of Religion</w:t>
      </w:r>
      <w:r>
        <w:rPr>
          <w:rStyle w:val="Ninguno"/>
          <w:sz w:val="20"/>
          <w:szCs w:val="20"/>
          <w:rtl w:val="0"/>
        </w:rPr>
        <w:t>, trans. by Willard R. Trask (New York: A Harvest Book, 1968), pp. 20-21</w:t>
      </w:r>
    </w:p>
  </w:footnote>
  <w:footnote w:id="3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pp. 277</w:t>
      </w:r>
    </w:p>
  </w:footnote>
  <w:footnote w:id="3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pp. 277-278</w:t>
      </w:r>
    </w:p>
  </w:footnote>
  <w:footnote w:id="3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xml:space="preserve"> pp. 282</w:t>
      </w:r>
    </w:p>
  </w:footnote>
  <w:footnote w:id="3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xml:space="preserve"> pp. 283</w:t>
      </w:r>
    </w:p>
  </w:footnote>
  <w:footnote w:id="3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 xml:space="preserve">The Moment of Astrology, </w:t>
      </w:r>
      <w:r>
        <w:rPr>
          <w:rStyle w:val="Ninguno"/>
          <w:sz w:val="20"/>
          <w:szCs w:val="20"/>
          <w:rtl w:val="0"/>
        </w:rPr>
        <w:t>pp. 283</w:t>
      </w:r>
    </w:p>
  </w:footnote>
  <w:footnote w:id="4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 xml:space="preserve">The Moment of Astrology, </w:t>
      </w:r>
      <w:r>
        <w:rPr>
          <w:rStyle w:val="Ninguno A"/>
          <w:rtl w:val="0"/>
        </w:rPr>
        <w:t>pp. 285</w:t>
      </w:r>
    </w:p>
  </w:footnote>
  <w:footnote w:id="41">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 The Nature of Religion</w:t>
      </w:r>
      <w:r>
        <w:rPr>
          <w:rStyle w:val="Ninguno"/>
          <w:sz w:val="20"/>
          <w:szCs w:val="20"/>
          <w:rtl w:val="0"/>
        </w:rPr>
        <w:t>,</w:t>
      </w:r>
      <w:r>
        <w:rPr>
          <w:rStyle w:val="Ninguno"/>
          <w:sz w:val="20"/>
          <w:szCs w:val="20"/>
          <w:shd w:val="clear" w:color="auto" w:fill="ffffff"/>
          <w:rtl w:val="0"/>
        </w:rPr>
        <w:t xml:space="preserve"> pp. 12</w:t>
      </w:r>
    </w:p>
  </w:footnote>
  <w:footnote w:id="42">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en-US"/>
        </w:rPr>
        <w:t xml:space="preserve"> Gregory Shaw, </w:t>
      </w:r>
      <w:r>
        <w:rPr>
          <w:rStyle w:val="Ninguno"/>
          <w:sz w:val="20"/>
          <w:szCs w:val="20"/>
          <w:rtl w:val="0"/>
          <w:lang w:val="de-DE"/>
        </w:rPr>
        <w:t>´</w:t>
      </w:r>
      <w:r>
        <w:rPr>
          <w:rStyle w:val="Ninguno"/>
          <w:sz w:val="20"/>
          <w:szCs w:val="20"/>
          <w:rtl w:val="0"/>
          <w:lang w:val="en-US"/>
        </w:rPr>
        <w:t>Theurgy: Rituals of Unification in the Neoplatonism of Iamblichus</w:t>
      </w:r>
      <w:r>
        <w:rPr>
          <w:rStyle w:val="Ninguno"/>
          <w:sz w:val="20"/>
          <w:szCs w:val="20"/>
          <w:rtl w:val="0"/>
          <w:lang w:val="de-DE"/>
        </w:rPr>
        <w:t>´</w:t>
      </w:r>
      <w:r>
        <w:rPr>
          <w:rStyle w:val="Ninguno"/>
          <w:sz w:val="20"/>
          <w:szCs w:val="20"/>
          <w:rtl w:val="0"/>
        </w:rPr>
        <w:t xml:space="preserve">, </w:t>
      </w:r>
      <w:r>
        <w:rPr>
          <w:rStyle w:val="Ninguno"/>
          <w:i w:val="1"/>
          <w:iCs w:val="1"/>
          <w:sz w:val="20"/>
          <w:szCs w:val="20"/>
          <w:rtl w:val="0"/>
          <w:lang w:val="it-IT"/>
        </w:rPr>
        <w:t xml:space="preserve">Traditio, Vol. 41 </w:t>
      </w:r>
      <w:r>
        <w:rPr>
          <w:rStyle w:val="Ninguno"/>
          <w:sz w:val="20"/>
          <w:szCs w:val="20"/>
          <w:rtl w:val="0"/>
        </w:rPr>
        <w:t>(1985), pp. 1-28</w:t>
      </w:r>
    </w:p>
  </w:footnote>
  <w:footnote w:id="43">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en-US"/>
        </w:rPr>
        <w:t xml:space="preserve"> Gregory Shaw, </w:t>
      </w:r>
      <w:r>
        <w:rPr>
          <w:rStyle w:val="Ninguno"/>
          <w:i w:val="1"/>
          <w:iCs w:val="1"/>
          <w:sz w:val="20"/>
          <w:szCs w:val="20"/>
          <w:rtl w:val="0"/>
          <w:lang w:val="en-US"/>
        </w:rPr>
        <w:t>Theurgy and the Soul: The Neoplatonism of Iamblichus</w:t>
      </w:r>
      <w:r>
        <w:rPr>
          <w:rStyle w:val="Ninguno"/>
          <w:sz w:val="20"/>
          <w:szCs w:val="20"/>
          <w:rtl w:val="0"/>
          <w:lang w:val="it-IT"/>
        </w:rPr>
        <w:t>, (OH: Angelico Press/Sophia Perennis. Kindle Edition, 2014), pp. 28</w:t>
      </w:r>
    </w:p>
  </w:footnote>
  <w:footnote w:id="44">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de-DE"/>
        </w:rPr>
        <w:t xml:space="preserve"> Iamblichus,</w:t>
      </w:r>
      <w:r>
        <w:rPr>
          <w:rStyle w:val="Ninguno"/>
          <w:i w:val="1"/>
          <w:iCs w:val="1"/>
          <w:sz w:val="20"/>
          <w:szCs w:val="20"/>
          <w:rtl w:val="0"/>
          <w:lang w:val="en-US"/>
        </w:rPr>
        <w:t xml:space="preserve"> On the Mysteries of the Egyptians, Chaldeans, and Assyrians, </w:t>
      </w:r>
      <w:r>
        <w:rPr>
          <w:rStyle w:val="Ninguno"/>
          <w:sz w:val="20"/>
          <w:szCs w:val="20"/>
          <w:rtl w:val="0"/>
          <w:lang w:val="en-US"/>
        </w:rPr>
        <w:t>trans. by Thomas Taylor (Canada: Kshetra Books, Kindle Edition, 2015),  Loc. 547</w:t>
      </w:r>
    </w:p>
  </w:footnote>
  <w:footnote w:id="45">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de-DE"/>
        </w:rPr>
        <w:t xml:space="preserve"> Iamblichus, </w:t>
      </w:r>
      <w:r>
        <w:rPr>
          <w:rStyle w:val="Ninguno"/>
          <w:i w:val="1"/>
          <w:iCs w:val="1"/>
          <w:sz w:val="20"/>
          <w:szCs w:val="20"/>
          <w:rtl w:val="0"/>
          <w:lang w:val="en-US"/>
        </w:rPr>
        <w:t>On the Mysteries of the Egyptians, Chaldeans, and Assyrians</w:t>
      </w:r>
      <w:r>
        <w:rPr>
          <w:rStyle w:val="Ninguno"/>
          <w:sz w:val="20"/>
          <w:szCs w:val="20"/>
          <w:rtl w:val="0"/>
        </w:rPr>
        <w:t>, pp.162</w:t>
      </w:r>
    </w:p>
  </w:footnote>
  <w:footnote w:id="46">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de-DE"/>
        </w:rPr>
        <w:t xml:space="preserve"> Peter Struck, </w:t>
      </w:r>
      <w:r>
        <w:rPr>
          <w:rStyle w:val="Ninguno"/>
          <w:i w:val="1"/>
          <w:iCs w:val="1"/>
          <w:sz w:val="20"/>
          <w:szCs w:val="20"/>
          <w:rtl w:val="0"/>
          <w:lang w:val="en-US"/>
        </w:rPr>
        <w:t>Birth of the Symbol</w:t>
      </w:r>
      <w:r>
        <w:rPr>
          <w:rStyle w:val="Ninguno"/>
          <w:sz w:val="20"/>
          <w:szCs w:val="20"/>
          <w:rtl w:val="0"/>
          <w:lang w:val="en-US"/>
        </w:rPr>
        <w:t xml:space="preserve"> (USA: Princeton University Press. Kindle Edition, 2004), Loc. 4679</w:t>
      </w:r>
    </w:p>
  </w:footnote>
  <w:footnote w:id="47">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de-DE"/>
        </w:rPr>
        <w:t xml:space="preserve">  Iamblichus, </w:t>
      </w:r>
      <w:r>
        <w:rPr>
          <w:rStyle w:val="Ninguno"/>
          <w:i w:val="1"/>
          <w:iCs w:val="1"/>
          <w:sz w:val="20"/>
          <w:szCs w:val="20"/>
          <w:rtl w:val="0"/>
          <w:lang w:val="en-US"/>
        </w:rPr>
        <w:t>On the Mysteries of the Egyptians, Chaldeans, and Assyrians</w:t>
      </w:r>
      <w:r>
        <w:rPr>
          <w:rStyle w:val="Ninguno"/>
          <w:sz w:val="20"/>
          <w:szCs w:val="20"/>
          <w:rtl w:val="0"/>
        </w:rPr>
        <w:t>, Loc. 2485</w:t>
      </w:r>
    </w:p>
  </w:footnote>
  <w:footnote w:id="48">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de-DE"/>
        </w:rPr>
        <w:t xml:space="preserve"> Peter Struck, </w:t>
      </w:r>
      <w:r>
        <w:rPr>
          <w:rStyle w:val="Ninguno"/>
          <w:i w:val="1"/>
          <w:iCs w:val="1"/>
          <w:sz w:val="20"/>
          <w:szCs w:val="20"/>
          <w:rtl w:val="0"/>
          <w:lang w:val="en-US"/>
        </w:rPr>
        <w:t>Birth of the Symbol</w:t>
      </w:r>
      <w:r>
        <w:rPr>
          <w:rStyle w:val="Ninguno"/>
          <w:sz w:val="20"/>
          <w:szCs w:val="20"/>
          <w:rtl w:val="0"/>
          <w:lang w:val="it-IT"/>
        </w:rPr>
        <w:t>, Loc. 4673</w:t>
      </w:r>
    </w:p>
  </w:footnote>
  <w:footnote w:id="49">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 xml:space="preserve">The Moment of Astrology, </w:t>
      </w:r>
      <w:r>
        <w:rPr>
          <w:rStyle w:val="Ninguno"/>
          <w:sz w:val="20"/>
          <w:szCs w:val="20"/>
          <w:rtl w:val="0"/>
        </w:rPr>
        <w:t xml:space="preserve"> pp. 283, 295</w:t>
      </w:r>
    </w:p>
  </w:footnote>
  <w:footnote w:id="50">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 xml:space="preserve">The Moment of Astrology, </w:t>
      </w:r>
      <w:r>
        <w:rPr>
          <w:rStyle w:val="Ninguno"/>
          <w:sz w:val="20"/>
          <w:szCs w:val="20"/>
          <w:rtl w:val="0"/>
        </w:rPr>
        <w:t xml:space="preserve"> pp. 292</w:t>
      </w:r>
    </w:p>
  </w:footnote>
  <w:footnote w:id="51">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 xml:space="preserve">The Moment of Astrology, </w:t>
      </w:r>
      <w:r>
        <w:rPr>
          <w:rStyle w:val="Ninguno"/>
          <w:sz w:val="20"/>
          <w:szCs w:val="20"/>
          <w:rtl w:val="0"/>
        </w:rPr>
        <w:t>pp. 293</w:t>
      </w:r>
    </w:p>
  </w:footnote>
  <w:footnote w:id="52">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 xml:space="preserve">The Moment of Astrology, </w:t>
      </w:r>
      <w:r>
        <w:rPr>
          <w:rStyle w:val="Ninguno"/>
          <w:sz w:val="20"/>
          <w:szCs w:val="20"/>
          <w:rtl w:val="0"/>
        </w:rPr>
        <w:t xml:space="preserve"> pp. 280</w:t>
      </w:r>
    </w:p>
  </w:footnote>
  <w:footnote w:id="53">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 The Nature of Religion</w:t>
      </w:r>
      <w:r>
        <w:rPr>
          <w:rStyle w:val="Ninguno"/>
          <w:sz w:val="20"/>
          <w:szCs w:val="20"/>
          <w:rtl w:val="0"/>
        </w:rPr>
        <w:t xml:space="preserve"> (New York: A Harvest Book, 1968), pp. 188</w:t>
      </w:r>
    </w:p>
  </w:footnote>
  <w:footnote w:id="54">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w:t>
      </w:r>
      <w:r>
        <w:rPr>
          <w:rStyle w:val="Ninguno"/>
          <w:sz w:val="20"/>
          <w:szCs w:val="20"/>
          <w:rtl w:val="0"/>
        </w:rPr>
        <w:t>, pp. 14</w:t>
      </w:r>
    </w:p>
  </w:footnote>
  <w:footnote w:id="55">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rPr>
        <w:t xml:space="preserve"> Mircea Eliade,</w:t>
      </w:r>
      <w:r>
        <w:rPr>
          <w:rStyle w:val="Ninguno"/>
          <w:i w:val="1"/>
          <w:iCs w:val="1"/>
          <w:sz w:val="20"/>
          <w:szCs w:val="20"/>
          <w:rtl w:val="0"/>
          <w:lang w:val="en-US"/>
        </w:rPr>
        <w:t>The Sacred and the Profane</w:t>
      </w:r>
      <w:r>
        <w:rPr>
          <w:rStyle w:val="Ninguno"/>
          <w:sz w:val="20"/>
          <w:szCs w:val="20"/>
          <w:shd w:val="clear" w:color="auto" w:fill="ffffff"/>
          <w:rtl w:val="0"/>
        </w:rPr>
        <w:t>, pp. 20-21</w:t>
      </w:r>
    </w:p>
  </w:footnote>
  <w:footnote w:id="56">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w:t>
      </w:r>
      <w:r>
        <w:rPr>
          <w:rStyle w:val="Ninguno"/>
          <w:sz w:val="20"/>
          <w:szCs w:val="20"/>
          <w:rtl w:val="0"/>
        </w:rPr>
        <w:t>, pp. 22, 25</w:t>
      </w:r>
    </w:p>
  </w:footnote>
  <w:footnote w:id="57">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w:t>
      </w:r>
      <w:r>
        <w:rPr>
          <w:rStyle w:val="Ninguno"/>
          <w:sz w:val="20"/>
          <w:szCs w:val="20"/>
          <w:rtl w:val="0"/>
        </w:rPr>
        <w:t>, pp. 27</w:t>
      </w:r>
    </w:p>
  </w:footnote>
  <w:footnote w:id="5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Mircea Eliade, </w:t>
      </w:r>
      <w:r>
        <w:rPr>
          <w:rStyle w:val="Ninguno"/>
          <w:i w:val="1"/>
          <w:iCs w:val="1"/>
          <w:sz w:val="20"/>
          <w:szCs w:val="20"/>
          <w:rtl w:val="0"/>
          <w:lang w:val="es-ES_tradnl"/>
        </w:rPr>
        <w:t>Mitos, Sue</w:t>
      </w:r>
      <w:r>
        <w:rPr>
          <w:rStyle w:val="Ninguno"/>
          <w:i w:val="1"/>
          <w:iCs w:val="1"/>
          <w:sz w:val="20"/>
          <w:szCs w:val="20"/>
          <w:rtl w:val="0"/>
          <w:lang w:val="es-ES_tradnl"/>
        </w:rPr>
        <w:t>ñ</w:t>
      </w:r>
      <w:r>
        <w:rPr>
          <w:rStyle w:val="Ninguno"/>
          <w:i w:val="1"/>
          <w:iCs w:val="1"/>
          <w:sz w:val="20"/>
          <w:szCs w:val="20"/>
          <w:rtl w:val="0"/>
          <w:lang w:val="es-ES_tradnl"/>
        </w:rPr>
        <w:t>os y Misterios,</w:t>
      </w:r>
      <w:r>
        <w:rPr>
          <w:rStyle w:val="Ninguno"/>
          <w:sz w:val="20"/>
          <w:szCs w:val="20"/>
          <w:rtl w:val="0"/>
          <w:lang w:val="en-US"/>
        </w:rPr>
        <w:t xml:space="preserve"> trans. by the author (Spain: Editorial Kairos, 2001), p.47</w:t>
      </w:r>
    </w:p>
  </w:footnote>
  <w:footnote w:id="59">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en-US"/>
        </w:rPr>
        <w:t xml:space="preserve"> Bryan S. Rennie, `Mircea Eliade and the Perception of the Sacred un the Profane: Intention, Reduction and Cognitive Theory</w:t>
      </w:r>
      <w:r>
        <w:rPr>
          <w:rStyle w:val="Ninguno"/>
          <w:i w:val="1"/>
          <w:iCs w:val="1"/>
          <w:sz w:val="20"/>
          <w:szCs w:val="20"/>
          <w:rtl w:val="0"/>
          <w:lang w:val="ru-RU"/>
        </w:rPr>
        <w:t>`</w:t>
      </w:r>
      <w:r>
        <w:rPr>
          <w:rStyle w:val="Ninguno"/>
          <w:sz w:val="20"/>
          <w:szCs w:val="20"/>
          <w:rtl w:val="0"/>
        </w:rPr>
        <w:t xml:space="preserve">, </w:t>
      </w:r>
      <w:r>
        <w:rPr>
          <w:rStyle w:val="Ninguno"/>
          <w:i w:val="1"/>
          <w:iCs w:val="1"/>
          <w:sz w:val="20"/>
          <w:szCs w:val="20"/>
          <w:rtl w:val="0"/>
        </w:rPr>
        <w:t>Temenos Vol. 43 No. 1</w:t>
      </w:r>
      <w:r>
        <w:rPr>
          <w:rStyle w:val="Ninguno"/>
          <w:sz w:val="20"/>
          <w:szCs w:val="20"/>
          <w:rtl w:val="0"/>
        </w:rPr>
        <w:t xml:space="preserve"> (2007), 73</w:t>
      </w:r>
      <w:r>
        <w:rPr>
          <w:rStyle w:val="Ninguno"/>
          <w:sz w:val="20"/>
          <w:szCs w:val="20"/>
          <w:rtl w:val="0"/>
        </w:rPr>
        <w:t>–</w:t>
      </w:r>
      <w:r>
        <w:rPr>
          <w:rStyle w:val="Ninguno"/>
          <w:sz w:val="20"/>
          <w:szCs w:val="20"/>
          <w:rtl w:val="0"/>
        </w:rPr>
        <w:t>98</w:t>
        <w:tab/>
        <w:t xml:space="preserve"> </w:t>
        <w:tab/>
        <w:t xml:space="preserve"> </w:t>
      </w:r>
    </w:p>
  </w:footnote>
  <w:footnote w:id="60">
    <w:p>
      <w:pPr>
        <w:pStyle w:val="Cuerpo A"/>
        <w:spacing w:line="240" w:lineRule="auto"/>
      </w:pPr>
      <w:r>
        <w:rPr>
          <w:rStyle w:val="Ninguno"/>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w:t>
      </w:r>
      <w:r>
        <w:rPr>
          <w:rStyle w:val="Ninguno"/>
          <w:sz w:val="20"/>
          <w:szCs w:val="20"/>
          <w:rtl w:val="0"/>
        </w:rPr>
        <w:t>, pp. 41</w:t>
      </w:r>
    </w:p>
  </w:footnote>
  <w:footnote w:id="61">
    <w:p>
      <w:pPr>
        <w:pStyle w:val="Cuerpo A"/>
        <w:spacing w:line="240" w:lineRule="auto"/>
      </w:pPr>
      <w:r>
        <w:rPr>
          <w:rStyle w:val="Ninguno"/>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w:t>
      </w:r>
      <w:r>
        <w:rPr>
          <w:rStyle w:val="Ninguno"/>
          <w:sz w:val="20"/>
          <w:szCs w:val="20"/>
          <w:rtl w:val="0"/>
        </w:rPr>
        <w:t>, pp. 27, 30</w:t>
      </w:r>
    </w:p>
  </w:footnote>
  <w:footnote w:id="62">
    <w:p>
      <w:pPr>
        <w:pStyle w:val="Cuerpo A"/>
        <w:spacing w:line="240" w:lineRule="auto"/>
      </w:pPr>
      <w:r>
        <w:rPr>
          <w:rStyle w:val="Ninguno"/>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w:t>
      </w:r>
      <w:r>
        <w:rPr>
          <w:rStyle w:val="Ninguno"/>
          <w:sz w:val="20"/>
          <w:szCs w:val="20"/>
          <w:rtl w:val="0"/>
        </w:rPr>
        <w:t>, pp. 30, 63</w:t>
      </w:r>
    </w:p>
  </w:footnote>
  <w:footnote w:id="63">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pp. 284</w:t>
      </w:r>
    </w:p>
  </w:footnote>
  <w:footnote w:id="64">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 xml:space="preserve">The Moment of Astrology, </w:t>
      </w:r>
      <w:r>
        <w:rPr>
          <w:rStyle w:val="Ninguno"/>
          <w:sz w:val="20"/>
          <w:szCs w:val="20"/>
          <w:rtl w:val="0"/>
          <w:lang w:val="nl-NL"/>
        </w:rPr>
        <w:t>pp 284</w:t>
      </w:r>
    </w:p>
  </w:footnote>
  <w:footnote w:id="65">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xml:space="preserve"> pp. 280</w:t>
      </w:r>
    </w:p>
  </w:footnote>
  <w:footnote w:id="66">
    <w:p>
      <w:pPr>
        <w:pStyle w:val="Cuerpo A"/>
        <w:spacing w:line="240" w:lineRule="auto"/>
      </w:pPr>
      <w:r>
        <w:rPr>
          <w:rStyle w:val="Ninguno"/>
          <w:rFonts w:ascii="EB Garamond" w:cs="EB Garamond" w:hAnsi="EB Garamond" w:eastAsia="EB Garamond"/>
          <w:sz w:val="28"/>
          <w:szCs w:val="28"/>
          <w:shd w:val="clear" w:color="auto" w:fill="ffffff"/>
          <w:vertAlign w:val="superscript"/>
        </w:rPr>
        <w:footnoteRef/>
      </w:r>
      <w:r>
        <w:rPr>
          <w:rStyle w:val="Ninguno"/>
          <w:sz w:val="20"/>
          <w:szCs w:val="20"/>
          <w:rtl w:val="0"/>
          <w:lang w:val="de-DE"/>
        </w:rPr>
        <w:t xml:space="preserve"> Angela Voss, </w:t>
      </w:r>
      <w:r>
        <w:rPr>
          <w:rStyle w:val="Ninguno"/>
          <w:sz w:val="20"/>
          <w:szCs w:val="20"/>
          <w:rtl w:val="0"/>
          <w:lang w:val="de-DE"/>
        </w:rPr>
        <w:t>´</w:t>
      </w:r>
      <w:r>
        <w:rPr>
          <w:rStyle w:val="Ninguno"/>
          <w:sz w:val="20"/>
          <w:szCs w:val="20"/>
          <w:rtl w:val="0"/>
          <w:lang w:val="en-US"/>
        </w:rPr>
        <w:t xml:space="preserve">A Methodology of the Imagination`, </w:t>
      </w:r>
      <w:r>
        <w:rPr>
          <w:rStyle w:val="Ninguno"/>
          <w:i w:val="1"/>
          <w:iCs w:val="1"/>
          <w:sz w:val="20"/>
          <w:szCs w:val="20"/>
          <w:rtl w:val="0"/>
          <w:lang w:val="en-US"/>
        </w:rPr>
        <w:t xml:space="preserve">Eye of the Heart: A Journal of Traditional Wisdom, </w:t>
      </w:r>
      <w:r>
        <w:rPr>
          <w:rStyle w:val="Ninguno"/>
          <w:sz w:val="20"/>
          <w:szCs w:val="20"/>
          <w:rtl w:val="0"/>
        </w:rPr>
        <w:t>(2009), pp. 39</w:t>
      </w:r>
    </w:p>
  </w:footnote>
  <w:footnote w:id="6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sz w:val="20"/>
          <w:szCs w:val="20"/>
          <w:rtl w:val="0"/>
          <w:lang w:val="de-DE"/>
        </w:rPr>
        <w:t>´</w:t>
      </w:r>
      <w:r>
        <w:rPr>
          <w:rStyle w:val="Ninguno"/>
          <w:i w:val="1"/>
          <w:iCs w:val="1"/>
          <w:sz w:val="20"/>
          <w:szCs w:val="20"/>
          <w:rtl w:val="0"/>
          <w:lang w:val="en-US"/>
        </w:rPr>
        <w:t>A History of Western Astrology</w:t>
      </w:r>
      <w:r>
        <w:rPr>
          <w:rStyle w:val="Ninguno"/>
          <w:sz w:val="20"/>
          <w:szCs w:val="20"/>
          <w:rtl w:val="0"/>
          <w:lang w:val="de-DE"/>
        </w:rPr>
        <w:t>´</w:t>
      </w:r>
      <w:r>
        <w:rPr>
          <w:rStyle w:val="Ninguno"/>
          <w:sz w:val="20"/>
          <w:szCs w:val="20"/>
          <w:rtl w:val="0"/>
          <w:lang w:val="nl-NL"/>
        </w:rPr>
        <w:t>, Vol. II, (London: Continuum, 2009), pp. xiii</w:t>
      </w:r>
    </w:p>
  </w:footnote>
  <w:footnote w:id="6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Safron Rossi and Keiron LeGrice, </w:t>
      </w:r>
      <w:r>
        <w:rPr>
          <w:rStyle w:val="Ninguno"/>
          <w:i w:val="1"/>
          <w:iCs w:val="1"/>
          <w:sz w:val="20"/>
          <w:szCs w:val="20"/>
          <w:rtl w:val="0"/>
          <w:lang w:val="en-US"/>
        </w:rPr>
        <w:t xml:space="preserve">Book signing event for Jung on Astrology </w:t>
      </w:r>
      <w:r>
        <w:rPr>
          <w:rStyle w:val="Ninguno"/>
          <w:outline w:val="0"/>
          <w:color w:val="1155cc"/>
          <w:sz w:val="20"/>
          <w:szCs w:val="20"/>
          <w:u w:val="single" w:color="1155cc"/>
          <w:rtl w:val="0"/>
          <w:lang w:val="en-US"/>
          <w14:textFill>
            <w14:solidFill>
              <w14:srgbClr w14:val="1155CC"/>
            </w14:solidFill>
          </w14:textFill>
        </w:rPr>
        <w:t>https://youtu.be/15PoPHsLjA0</w:t>
      </w:r>
      <w:r>
        <w:rPr>
          <w:rStyle w:val="Ninguno"/>
          <w:sz w:val="20"/>
          <w:szCs w:val="20"/>
          <w:rtl w:val="0"/>
          <w:lang w:val="en-US"/>
        </w:rPr>
        <w:t xml:space="preserve"> [accessed 12 June 2020]</w:t>
      </w:r>
    </w:p>
  </w:footnote>
  <w:footnote w:id="6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Nicholas Campion, `Is Astrology a Symbolic Language?`, </w:t>
      </w:r>
      <w:r>
        <w:rPr>
          <w:rStyle w:val="Ninguno"/>
          <w:i w:val="1"/>
          <w:iCs w:val="1"/>
          <w:sz w:val="20"/>
          <w:szCs w:val="20"/>
          <w:rtl w:val="0"/>
          <w:lang w:val="en-US"/>
        </w:rPr>
        <w:t>Sky and Symbol,</w:t>
      </w:r>
      <w:r>
        <w:rPr>
          <w:rStyle w:val="Ninguno"/>
          <w:sz w:val="20"/>
          <w:szCs w:val="20"/>
          <w:rtl w:val="0"/>
          <w:lang w:val="en-US"/>
        </w:rPr>
        <w:t xml:space="preserve"> ed. by Nicholas Campion and Liz Greene (UK: Sophia Centre Press, 2013), pp. 12</w:t>
      </w:r>
    </w:p>
  </w:footnote>
  <w:footnote w:id="7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Patrick Curry, </w:t>
      </w:r>
      <w:r>
        <w:rPr>
          <w:rStyle w:val="Ninguno"/>
          <w:i w:val="1"/>
          <w:iCs w:val="1"/>
          <w:sz w:val="20"/>
          <w:szCs w:val="20"/>
          <w:rtl w:val="0"/>
          <w:lang w:val="en-US"/>
        </w:rPr>
        <w:t xml:space="preserve">Prophecy and Power: Astrology in Early Modern England </w:t>
      </w:r>
      <w:r>
        <w:rPr>
          <w:rStyle w:val="Ninguno"/>
          <w:sz w:val="20"/>
          <w:szCs w:val="20"/>
          <w:rtl w:val="0"/>
          <w:lang w:val="en-US"/>
        </w:rPr>
        <w:t xml:space="preserve">(USA: Princeton University Press, 1989), p. 5-15 </w:t>
      </w:r>
    </w:p>
  </w:footnote>
  <w:footnote w:id="7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 History of Western Astrology</w:t>
      </w:r>
      <w:r>
        <w:rPr>
          <w:rStyle w:val="Ninguno"/>
          <w:sz w:val="20"/>
          <w:szCs w:val="20"/>
          <w:rtl w:val="0"/>
          <w:lang w:val="it-IT"/>
        </w:rPr>
        <w:t>, Vol. I, (London: Continuum, 2008) pp.xii introduccion</w:t>
      </w:r>
    </w:p>
  </w:footnote>
  <w:footnote w:id="7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`Mystical Experiences Among Astrologers`, Culture and Cosmos Vol.13, N</w:t>
      </w:r>
      <w:r>
        <w:rPr>
          <w:rStyle w:val="Ninguno"/>
          <w:sz w:val="20"/>
          <w:szCs w:val="20"/>
          <w:rtl w:val="0"/>
        </w:rPr>
        <w:t xml:space="preserve">º </w:t>
      </w:r>
      <w:r>
        <w:rPr>
          <w:rStyle w:val="Ninguno"/>
          <w:sz w:val="20"/>
          <w:szCs w:val="20"/>
          <w:rtl w:val="0"/>
        </w:rPr>
        <w:t>2 (2009)</w:t>
      </w:r>
    </w:p>
  </w:footnote>
  <w:footnote w:id="7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a-DK"/>
        </w:rPr>
        <w:t xml:space="preserve"> Henry Corbin, </w:t>
      </w:r>
      <w:r>
        <w:rPr>
          <w:rStyle w:val="Ninguno"/>
          <w:rFonts w:ascii="Arial Unicode MS" w:hAnsi="Arial Unicode MS" w:hint="default"/>
          <w:sz w:val="20"/>
          <w:szCs w:val="20"/>
          <w:rtl w:val="1"/>
          <w:lang w:val="ar-SA" w:bidi="ar-SA"/>
        </w:rPr>
        <w:t>“</w:t>
      </w:r>
      <w:r>
        <w:rPr>
          <w:rStyle w:val="Ninguno"/>
          <w:sz w:val="20"/>
          <w:szCs w:val="20"/>
          <w:rtl w:val="0"/>
          <w:lang w:val="en-US"/>
        </w:rPr>
        <w:t>Mundus Imaginalis or the Imaginary and the Imaginal,</w:t>
      </w:r>
      <w:r>
        <w:rPr>
          <w:rStyle w:val="Ninguno"/>
          <w:sz w:val="20"/>
          <w:szCs w:val="20"/>
          <w:rtl w:val="0"/>
        </w:rPr>
        <w:t xml:space="preserve">” </w:t>
      </w:r>
      <w:r>
        <w:rPr>
          <w:rStyle w:val="Ninguno"/>
          <w:sz w:val="20"/>
          <w:szCs w:val="20"/>
          <w:rtl w:val="0"/>
          <w:lang w:val="de-DE"/>
        </w:rPr>
        <w:t xml:space="preserve">in: </w:t>
      </w:r>
      <w:r>
        <w:rPr>
          <w:rStyle w:val="Ninguno"/>
          <w:i w:val="1"/>
          <w:iCs w:val="1"/>
          <w:sz w:val="20"/>
          <w:szCs w:val="20"/>
          <w:rtl w:val="0"/>
          <w:lang w:val="en-US"/>
        </w:rPr>
        <w:t>Spring</w:t>
      </w:r>
      <w:r>
        <w:rPr>
          <w:rStyle w:val="Ninguno"/>
          <w:sz w:val="20"/>
          <w:szCs w:val="20"/>
          <w:rtl w:val="0"/>
        </w:rPr>
        <w:t xml:space="preserve"> (1975), pp. 6</w:t>
      </w:r>
    </w:p>
  </w:footnote>
  <w:footnote w:id="7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a-DK"/>
        </w:rPr>
        <w:t xml:space="preserve"> Henry Corbin, </w:t>
      </w:r>
      <w:r>
        <w:rPr>
          <w:rStyle w:val="Ninguno"/>
          <w:sz w:val="20"/>
          <w:szCs w:val="20"/>
          <w:rtl w:val="0"/>
          <w:lang w:val="de-DE"/>
        </w:rPr>
        <w:t>´</w:t>
      </w:r>
      <w:r>
        <w:rPr>
          <w:rStyle w:val="Ninguno"/>
          <w:i w:val="1"/>
          <w:iCs w:val="1"/>
          <w:sz w:val="20"/>
          <w:szCs w:val="20"/>
          <w:rtl w:val="0"/>
          <w:lang w:val="en-US"/>
        </w:rPr>
        <w:t>Mundus Imaginalis or the Imaginary and the Imaginal</w:t>
      </w:r>
      <w:r>
        <w:rPr>
          <w:rStyle w:val="Ninguno"/>
          <w:sz w:val="20"/>
          <w:szCs w:val="20"/>
          <w:rtl w:val="0"/>
        </w:rPr>
        <w:t>`, pp. 5</w:t>
      </w:r>
    </w:p>
  </w:footnote>
  <w:footnote w:id="7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a-DK"/>
        </w:rPr>
        <w:t xml:space="preserve"> Henry Corbin, </w:t>
      </w:r>
      <w:r>
        <w:rPr>
          <w:rStyle w:val="Ninguno"/>
          <w:sz w:val="20"/>
          <w:szCs w:val="20"/>
          <w:rtl w:val="0"/>
          <w:lang w:val="de-DE"/>
        </w:rPr>
        <w:t>´</w:t>
      </w:r>
      <w:r>
        <w:rPr>
          <w:rStyle w:val="Ninguno"/>
          <w:sz w:val="20"/>
          <w:szCs w:val="20"/>
          <w:rtl w:val="0"/>
          <w:lang w:val="en-US"/>
        </w:rPr>
        <w:t>Mundus Imaginalis or the Imaginary and the Imaginal, pp.5</w:t>
      </w:r>
    </w:p>
  </w:footnote>
  <w:footnote w:id="7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a-DK"/>
        </w:rPr>
        <w:t xml:space="preserve"> Henry Corbin, </w:t>
      </w:r>
      <w:r>
        <w:rPr>
          <w:rStyle w:val="Ninguno"/>
          <w:sz w:val="20"/>
          <w:szCs w:val="20"/>
          <w:rtl w:val="0"/>
          <w:lang w:val="de-DE"/>
        </w:rPr>
        <w:t>´</w:t>
      </w:r>
      <w:r>
        <w:rPr>
          <w:rStyle w:val="Ninguno"/>
          <w:sz w:val="20"/>
          <w:szCs w:val="20"/>
          <w:rtl w:val="0"/>
          <w:lang w:val="en-US"/>
        </w:rPr>
        <w:t>Mundus Imaginalis or the Imaginary and the Imaginal, pp. 6-7.</w:t>
      </w:r>
    </w:p>
  </w:footnote>
  <w:footnote w:id="7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Gregory Shaw, </w:t>
      </w:r>
      <w:r>
        <w:rPr>
          <w:rStyle w:val="Ninguno"/>
          <w:i w:val="1"/>
          <w:iCs w:val="1"/>
          <w:sz w:val="20"/>
          <w:szCs w:val="20"/>
          <w:rtl w:val="0"/>
          <w:lang w:val="en-US"/>
        </w:rPr>
        <w:t>Theurgy and the Soul: The Neoplatonism of Iamblichus</w:t>
      </w:r>
      <w:r>
        <w:rPr>
          <w:rStyle w:val="Ninguno"/>
          <w:sz w:val="20"/>
          <w:szCs w:val="20"/>
          <w:rtl w:val="0"/>
          <w:lang w:val="it-IT"/>
        </w:rPr>
        <w:t>, (Angelico Press/Sophia Perennis. Kindle Edition, 2014), p. 28</w:t>
      </w:r>
    </w:p>
  </w:footnote>
  <w:footnote w:id="7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Algis Uzdavinys, </w:t>
      </w:r>
      <w:r>
        <w:rPr>
          <w:rStyle w:val="Ninguno"/>
          <w:i w:val="1"/>
          <w:iCs w:val="1"/>
          <w:sz w:val="20"/>
          <w:szCs w:val="20"/>
          <w:rtl w:val="0"/>
          <w:lang w:val="en-US"/>
        </w:rPr>
        <w:t>Philosophy and Theurgy in Late Antiquity</w:t>
      </w:r>
      <w:r>
        <w:rPr>
          <w:rStyle w:val="Ninguno"/>
          <w:sz w:val="20"/>
          <w:szCs w:val="20"/>
          <w:rtl w:val="0"/>
          <w:lang w:val="it-IT"/>
        </w:rPr>
        <w:t xml:space="preserve"> (OH: Angelico Press/Sophia Perennis. Kindle Edition, 2014), p. 150</w:t>
      </w:r>
    </w:p>
  </w:footnote>
  <w:footnote w:id="7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Angela Voss, </w:t>
      </w:r>
      <w:r>
        <w:rPr>
          <w:rStyle w:val="Ninguno"/>
          <w:sz w:val="20"/>
          <w:szCs w:val="20"/>
          <w:rtl w:val="0"/>
          <w:lang w:val="de-DE"/>
        </w:rPr>
        <w:t>´</w:t>
      </w:r>
      <w:r>
        <w:rPr>
          <w:rStyle w:val="Ninguno"/>
          <w:sz w:val="20"/>
          <w:szCs w:val="20"/>
          <w:rtl w:val="0"/>
          <w:lang w:val="en-US"/>
        </w:rPr>
        <w:t xml:space="preserve">A Methodology of the Imagination`, </w:t>
      </w:r>
      <w:r>
        <w:rPr>
          <w:rStyle w:val="Ninguno"/>
          <w:i w:val="1"/>
          <w:iCs w:val="1"/>
          <w:sz w:val="20"/>
          <w:szCs w:val="20"/>
          <w:rtl w:val="0"/>
          <w:lang w:val="en-US"/>
        </w:rPr>
        <w:t xml:space="preserve">Eye of the Heart: A Journal of Traditional Wisdom, </w:t>
      </w:r>
      <w:r>
        <w:rPr>
          <w:rStyle w:val="Ninguno"/>
          <w:sz w:val="20"/>
          <w:szCs w:val="20"/>
          <w:rtl w:val="0"/>
        </w:rPr>
        <w:t>(2009),  p. 1</w:t>
      </w:r>
    </w:p>
  </w:footnote>
  <w:footnote w:id="8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Peter Struck, </w:t>
      </w:r>
      <w:r>
        <w:rPr>
          <w:rStyle w:val="Ninguno"/>
          <w:i w:val="1"/>
          <w:iCs w:val="1"/>
          <w:sz w:val="20"/>
          <w:szCs w:val="20"/>
          <w:rtl w:val="0"/>
          <w:lang w:val="en-US"/>
        </w:rPr>
        <w:t>Birth of the Symbol</w:t>
      </w:r>
      <w:r>
        <w:rPr>
          <w:rStyle w:val="Ninguno"/>
          <w:sz w:val="20"/>
          <w:szCs w:val="20"/>
          <w:rtl w:val="0"/>
          <w:lang w:val="en-US"/>
        </w:rPr>
        <w:t>, (USA: Princeton University Press. Kindle Edition), Loc. 4563</w:t>
      </w:r>
    </w:p>
  </w:footnote>
  <w:footnote w:id="8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Angela Voss, </w:t>
      </w:r>
      <w:r>
        <w:rPr>
          <w:rStyle w:val="Ninguno"/>
          <w:sz w:val="20"/>
          <w:szCs w:val="20"/>
          <w:rtl w:val="0"/>
          <w:lang w:val="de-DE"/>
        </w:rPr>
        <w:t>´</w:t>
      </w:r>
      <w:r>
        <w:rPr>
          <w:rStyle w:val="Ninguno"/>
          <w:sz w:val="20"/>
          <w:szCs w:val="20"/>
          <w:rtl w:val="0"/>
          <w:lang w:val="en-US"/>
        </w:rPr>
        <w:t xml:space="preserve">A Methodology of the Imagination`, </w:t>
      </w:r>
      <w:r>
        <w:rPr>
          <w:rStyle w:val="Ninguno"/>
          <w:i w:val="1"/>
          <w:iCs w:val="1"/>
          <w:sz w:val="20"/>
          <w:szCs w:val="20"/>
          <w:rtl w:val="0"/>
          <w:lang w:val="en-US"/>
        </w:rPr>
        <w:t xml:space="preserve">Eye of the Heart: A Journal of Traditional Wisdom, </w:t>
      </w:r>
      <w:r>
        <w:rPr>
          <w:rStyle w:val="Ninguno"/>
          <w:sz w:val="20"/>
          <w:szCs w:val="20"/>
          <w:rtl w:val="0"/>
        </w:rPr>
        <w:t>(2009),  pp. 37</w:t>
      </w:r>
    </w:p>
  </w:footnote>
  <w:footnote w:id="8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lang w:val="en-US"/>
        </w:rPr>
        <w:t>Synchronicity: An Acausal Connecting Principle</w:t>
      </w:r>
      <w:r>
        <w:rPr>
          <w:rStyle w:val="Ninguno"/>
          <w:sz w:val="20"/>
          <w:szCs w:val="20"/>
          <w:rtl w:val="0"/>
          <w:lang w:val="en-US"/>
        </w:rPr>
        <w:t xml:space="preserve"> (USA: Princeton University Press), pp. 110</w:t>
      </w:r>
    </w:p>
  </w:footnote>
  <w:footnote w:id="8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The Passion of the Western Mind</w:t>
      </w:r>
      <w:r>
        <w:rPr>
          <w:rStyle w:val="Ninguno"/>
          <w:sz w:val="20"/>
          <w:szCs w:val="20"/>
          <w:rtl w:val="0"/>
          <w:lang w:val="en-US"/>
        </w:rPr>
        <w:t xml:space="preserve"> (New York:Random House Publishing Group, Kindle Edition,1991), Loc. 7740</w:t>
      </w:r>
    </w:p>
  </w:footnote>
  <w:footnote w:id="8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lang w:val="en-US"/>
        </w:rPr>
        <w:t>Synchronicity: An Acausal Connecting Principle</w:t>
      </w:r>
      <w:r>
        <w:rPr>
          <w:rStyle w:val="Ninguno"/>
          <w:sz w:val="20"/>
          <w:szCs w:val="20"/>
          <w:rtl w:val="0"/>
        </w:rPr>
        <w:t xml:space="preserve">, pp. 85 </w:t>
      </w:r>
    </w:p>
  </w:footnote>
  <w:footnote w:id="8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Roderick Main, </w:t>
      </w:r>
      <w:r>
        <w:rPr>
          <w:rStyle w:val="Ninguno"/>
          <w:i w:val="1"/>
          <w:iCs w:val="1"/>
          <w:sz w:val="20"/>
          <w:szCs w:val="20"/>
          <w:rtl w:val="0"/>
          <w:lang w:val="en-US"/>
        </w:rPr>
        <w:t>Jung on Synchronicity and the Paranormal</w:t>
      </w:r>
      <w:r>
        <w:rPr>
          <w:rStyle w:val="Ninguno"/>
          <w:sz w:val="20"/>
          <w:szCs w:val="20"/>
          <w:rtl w:val="0"/>
          <w:lang w:val="en-US"/>
        </w:rPr>
        <w:t xml:space="preserve"> (USA: Princeton University Press, 1997), pp. 88</w:t>
      </w:r>
    </w:p>
  </w:footnote>
  <w:footnote w:id="8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Astrology and Cosmology in the World</w:t>
      </w:r>
      <w:r>
        <w:rPr>
          <w:rStyle w:val="Ninguno"/>
          <w:rFonts w:ascii="Arial Unicode MS" w:hAnsi="Arial Unicode MS" w:hint="default"/>
          <w:sz w:val="20"/>
          <w:szCs w:val="20"/>
          <w:rtl w:val="1"/>
        </w:rPr>
        <w:t>’</w:t>
      </w:r>
      <w:r>
        <w:rPr>
          <w:rStyle w:val="Ninguno"/>
          <w:i w:val="1"/>
          <w:iCs w:val="1"/>
          <w:sz w:val="20"/>
          <w:szCs w:val="20"/>
          <w:rtl w:val="0"/>
          <w:lang w:val="fr-FR"/>
        </w:rPr>
        <w:t>s Religions</w:t>
      </w:r>
      <w:r>
        <w:rPr>
          <w:rStyle w:val="Ninguno"/>
          <w:sz w:val="20"/>
          <w:szCs w:val="20"/>
          <w:rtl w:val="0"/>
          <w:lang w:val="en-US"/>
        </w:rPr>
        <w:t xml:space="preserve"> (New York: New York University Press, Kindle Edition, 2012), pp. 14</w:t>
      </w:r>
    </w:p>
  </w:footnote>
  <w:footnote w:id="8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Nicholas Campion, </w:t>
      </w:r>
      <w:r>
        <w:rPr>
          <w:rStyle w:val="Ninguno"/>
          <w:i w:val="1"/>
          <w:iCs w:val="1"/>
          <w:sz w:val="20"/>
          <w:szCs w:val="20"/>
          <w:rtl w:val="0"/>
          <w:lang w:val="en-US"/>
        </w:rPr>
        <w:t>A History of Western Astrology</w:t>
      </w:r>
      <w:r>
        <w:rPr>
          <w:rStyle w:val="Ninguno"/>
          <w:sz w:val="20"/>
          <w:szCs w:val="20"/>
          <w:rtl w:val="0"/>
          <w:lang w:val="nl-NL"/>
        </w:rPr>
        <w:t>, Vol. II, (London: Continuum, 2009), pp. 252</w:t>
      </w:r>
    </w:p>
  </w:footnote>
  <w:footnote w:id="8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w:t>
      </w:r>
      <w:r>
        <w:rPr>
          <w:rStyle w:val="Ninguno"/>
          <w:i w:val="1"/>
          <w:iCs w:val="1"/>
          <w:sz w:val="20"/>
          <w:szCs w:val="20"/>
          <w:rtl w:val="0"/>
          <w:lang w:val="en-US"/>
        </w:rPr>
        <w:t>Receiving the Messengers: The Astrology of Jung's Liber Novus</w:t>
      </w:r>
      <w:r>
        <w:rPr>
          <w:rStyle w:val="Ninguno"/>
          <w:sz w:val="20"/>
          <w:szCs w:val="20"/>
          <w:rtl w:val="0"/>
          <w:lang w:val="en-US"/>
        </w:rPr>
        <w:t xml:space="preserve"> (UK: University Trinity Saint David, 2018)</w:t>
      </w:r>
    </w:p>
  </w:footnote>
  <w:footnote w:id="8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Nicholas Campion, </w:t>
      </w:r>
      <w:r>
        <w:rPr>
          <w:rStyle w:val="Ninguno"/>
          <w:i w:val="1"/>
          <w:iCs w:val="1"/>
          <w:sz w:val="20"/>
          <w:szCs w:val="20"/>
          <w:rtl w:val="0"/>
          <w:lang w:val="en-US"/>
        </w:rPr>
        <w:t>A History of Western Astrology</w:t>
      </w:r>
      <w:r>
        <w:rPr>
          <w:rStyle w:val="Ninguno"/>
          <w:sz w:val="20"/>
          <w:szCs w:val="20"/>
          <w:rtl w:val="0"/>
          <w:lang w:val="de-DE"/>
        </w:rPr>
        <w:t xml:space="preserve">´ </w:t>
      </w:r>
      <w:r>
        <w:rPr>
          <w:rStyle w:val="Ninguno"/>
          <w:sz w:val="20"/>
          <w:szCs w:val="20"/>
          <w:rtl w:val="0"/>
          <w:lang w:val="nl-NL"/>
        </w:rPr>
        <w:t>Vol. II, (London: Continuum, 2009), pp. 252</w:t>
      </w:r>
    </w:p>
  </w:footnote>
  <w:footnote w:id="9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lang w:val="en-US"/>
        </w:rPr>
        <w:t xml:space="preserve">Synchronicity: An Acausal Connecting Principle </w:t>
      </w:r>
      <w:r>
        <w:rPr>
          <w:rStyle w:val="Ninguno"/>
          <w:sz w:val="20"/>
          <w:szCs w:val="20"/>
          <w:rtl w:val="0"/>
        </w:rPr>
        <w:t>(USA: Princeton University Press),  pp. 85, 72</w:t>
      </w:r>
    </w:p>
  </w:footnote>
  <w:footnote w:id="9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lang w:val="en-US"/>
        </w:rPr>
        <w:t>Synchronicity: An Acausal Connecting Principle</w:t>
      </w:r>
      <w:r>
        <w:rPr>
          <w:rStyle w:val="Ninguno"/>
          <w:sz w:val="20"/>
          <w:szCs w:val="20"/>
          <w:rtl w:val="0"/>
        </w:rPr>
        <w:t>, pp. 100</w:t>
      </w:r>
    </w:p>
  </w:footnote>
  <w:footnote w:id="9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lang w:val="en-US"/>
        </w:rPr>
        <w:t>Synchronicity: An Acausal Connecting Principle</w:t>
      </w:r>
      <w:r>
        <w:rPr>
          <w:rStyle w:val="Ninguno"/>
          <w:sz w:val="20"/>
          <w:szCs w:val="20"/>
          <w:rtl w:val="0"/>
        </w:rPr>
        <w:t>, pp. 99</w:t>
      </w:r>
    </w:p>
  </w:footnote>
  <w:footnote w:id="9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lang w:val="en-US"/>
        </w:rPr>
        <w:t>Synchronicity: An Acausal Connecting Principle</w:t>
      </w:r>
      <w:r>
        <w:rPr>
          <w:rStyle w:val="Ninguno"/>
          <w:sz w:val="20"/>
          <w:szCs w:val="20"/>
          <w:rtl w:val="0"/>
        </w:rPr>
        <w:t>, pp. 69</w:t>
      </w:r>
    </w:p>
  </w:footnote>
  <w:footnote w:id="9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lang w:val="en-US"/>
        </w:rPr>
        <w:t>Synchronicity: An Acausal Connecting Principle</w:t>
      </w:r>
      <w:r>
        <w:rPr>
          <w:rStyle w:val="Ninguno"/>
          <w:sz w:val="20"/>
          <w:szCs w:val="20"/>
          <w:rtl w:val="0"/>
        </w:rPr>
        <w:t>, pp. 10</w:t>
      </w:r>
    </w:p>
  </w:footnote>
  <w:footnote w:id="9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lang w:val="en-US"/>
        </w:rPr>
        <w:t xml:space="preserve">Aion: Researches into the Phenomenology of the Self, </w:t>
      </w:r>
      <w:r>
        <w:rPr>
          <w:rStyle w:val="Ninguno"/>
          <w:sz w:val="20"/>
          <w:szCs w:val="20"/>
          <w:rtl w:val="0"/>
          <w:lang w:val="en-US"/>
        </w:rPr>
        <w:t>Collected Works Vol. 9 Part II, (USA: Princeton University Press, 1979. Kindle Edition), p. 261</w:t>
      </w:r>
    </w:p>
  </w:footnote>
  <w:footnote w:id="9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David Ray Griffin, </w:t>
      </w:r>
      <w:r>
        <w:rPr>
          <w:rStyle w:val="Ninguno"/>
          <w:i w:val="1"/>
          <w:iCs w:val="1"/>
          <w:sz w:val="20"/>
          <w:szCs w:val="20"/>
          <w:rtl w:val="0"/>
          <w:lang w:val="en-US"/>
        </w:rPr>
        <w:t>Archetypal Process</w:t>
      </w:r>
      <w:r>
        <w:rPr>
          <w:rStyle w:val="Ninguno"/>
          <w:sz w:val="20"/>
          <w:szCs w:val="20"/>
          <w:rtl w:val="0"/>
          <w:lang w:val="en-US"/>
        </w:rPr>
        <w:t xml:space="preserve"> (USA: Northwestern University Press, 1989), pp.5</w:t>
      </w:r>
    </w:p>
  </w:footnote>
  <w:footnote w:id="9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David Ray Griffin, </w:t>
      </w:r>
      <w:r>
        <w:rPr>
          <w:rStyle w:val="Ninguno"/>
          <w:i w:val="1"/>
          <w:iCs w:val="1"/>
          <w:sz w:val="20"/>
          <w:szCs w:val="20"/>
          <w:rtl w:val="0"/>
          <w:lang w:val="en-US"/>
        </w:rPr>
        <w:t>Archetypal Process</w:t>
      </w:r>
      <w:r>
        <w:rPr>
          <w:rStyle w:val="Ninguno"/>
          <w:sz w:val="20"/>
          <w:szCs w:val="20"/>
          <w:rtl w:val="0"/>
        </w:rPr>
        <w:t>,, pp. 4-5</w:t>
      </w:r>
    </w:p>
  </w:footnote>
  <w:footnote w:id="9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David Ray Griffin, </w:t>
      </w:r>
      <w:r>
        <w:rPr>
          <w:rStyle w:val="Ninguno"/>
          <w:i w:val="1"/>
          <w:iCs w:val="1"/>
          <w:sz w:val="20"/>
          <w:szCs w:val="20"/>
          <w:rtl w:val="0"/>
          <w:lang w:val="en-US"/>
        </w:rPr>
        <w:t>Archetypal Process</w:t>
      </w:r>
      <w:r>
        <w:rPr>
          <w:rStyle w:val="Ninguno"/>
          <w:sz w:val="20"/>
          <w:szCs w:val="20"/>
          <w:rtl w:val="0"/>
        </w:rPr>
        <w:t>, pp. 28</w:t>
      </w:r>
    </w:p>
  </w:footnote>
  <w:footnote w:id="9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Stanford Encyclopedia of Philosophy, </w:t>
      </w:r>
      <w:r>
        <w:rPr>
          <w:rStyle w:val="Ninguno"/>
          <w:sz w:val="20"/>
          <w:szCs w:val="20"/>
          <w:u w:val="single"/>
          <w:rtl w:val="0"/>
          <w:lang w:val="en-US"/>
        </w:rPr>
        <w:t>https://plato.stanford.edu/entries/qt-consciousness/</w:t>
      </w:r>
      <w:r>
        <w:rPr>
          <w:rStyle w:val="Ninguno"/>
          <w:sz w:val="20"/>
          <w:szCs w:val="20"/>
          <w:rtl w:val="0"/>
          <w:lang w:val="en-US"/>
        </w:rPr>
        <w:t xml:space="preserve"> [accessed 22 November 2018]</w:t>
      </w:r>
    </w:p>
  </w:footnote>
  <w:footnote w:id="10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David Ray Griffin, </w:t>
      </w:r>
      <w:r>
        <w:rPr>
          <w:rStyle w:val="Ninguno"/>
          <w:i w:val="1"/>
          <w:iCs w:val="1"/>
          <w:sz w:val="20"/>
          <w:szCs w:val="20"/>
          <w:rtl w:val="0"/>
          <w:lang w:val="en-US"/>
        </w:rPr>
        <w:t>Archetypal Process</w:t>
      </w:r>
      <w:r>
        <w:rPr>
          <w:rStyle w:val="Ninguno"/>
          <w:sz w:val="20"/>
          <w:szCs w:val="20"/>
          <w:rtl w:val="0"/>
        </w:rPr>
        <w:t>, pp. 28</w:t>
      </w:r>
    </w:p>
  </w:footnote>
  <w:footnote w:id="10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 History of Western Astrology</w:t>
      </w:r>
      <w:r>
        <w:rPr>
          <w:rStyle w:val="Ninguno"/>
          <w:sz w:val="20"/>
          <w:szCs w:val="20"/>
          <w:rtl w:val="0"/>
          <w:lang w:val="nl-NL"/>
        </w:rPr>
        <w:t>, Vol. II, (London: Continuum, 2009), pp. 256</w:t>
      </w:r>
    </w:p>
  </w:footnote>
  <w:footnote w:id="10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Roderick Main, </w:t>
      </w:r>
      <w:r>
        <w:rPr>
          <w:rStyle w:val="Ninguno"/>
          <w:i w:val="1"/>
          <w:iCs w:val="1"/>
          <w:sz w:val="20"/>
          <w:szCs w:val="20"/>
          <w:rtl w:val="0"/>
          <w:lang w:val="en-US"/>
        </w:rPr>
        <w:t xml:space="preserve">Jung on Synchronicity and the Paranormal </w:t>
      </w:r>
      <w:r>
        <w:rPr>
          <w:rStyle w:val="Ninguno"/>
          <w:sz w:val="20"/>
          <w:szCs w:val="20"/>
          <w:rtl w:val="0"/>
          <w:lang w:val="en-US"/>
        </w:rPr>
        <w:t xml:space="preserve">(USA: Princeton University Press, 1997), pp. 84; David Ray Griffin, </w:t>
      </w:r>
      <w:r>
        <w:rPr>
          <w:rStyle w:val="Ninguno"/>
          <w:i w:val="1"/>
          <w:iCs w:val="1"/>
          <w:sz w:val="20"/>
          <w:szCs w:val="20"/>
          <w:rtl w:val="0"/>
          <w:lang w:val="en-US"/>
        </w:rPr>
        <w:t>Archetypal Process</w:t>
      </w:r>
      <w:r>
        <w:rPr>
          <w:rStyle w:val="Ninguno"/>
          <w:sz w:val="20"/>
          <w:szCs w:val="20"/>
          <w:rtl w:val="0"/>
          <w:lang w:val="en-US"/>
        </w:rPr>
        <w:t xml:space="preserve"> (USA: Northwestern University Press, 1989), pp. 8</w:t>
      </w:r>
    </w:p>
  </w:footnote>
  <w:footnote w:id="10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lang w:val="en-US"/>
        </w:rPr>
        <w:t>Synchronicity: An Acausal Connecting Principle</w:t>
      </w:r>
      <w:r>
        <w:rPr>
          <w:rStyle w:val="Ninguno"/>
          <w:sz w:val="20"/>
          <w:szCs w:val="20"/>
          <w:rtl w:val="0"/>
          <w:lang w:val="en-US"/>
        </w:rPr>
        <w:t xml:space="preserve"> (USA: Princeton University Press), pp. 90</w:t>
      </w:r>
    </w:p>
  </w:footnote>
  <w:footnote w:id="10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s-ES_tradnl"/>
        </w:rPr>
        <w:t xml:space="preserve"> ​​</w:t>
      </w:r>
      <w:r>
        <w:rPr>
          <w:rStyle w:val="Ninguno"/>
          <w:sz w:val="20"/>
          <w:szCs w:val="20"/>
          <w:rtl w:val="0"/>
          <w:lang w:val="de-DE"/>
        </w:rPr>
        <w:t xml:space="preserve">Carl G. Jung, </w:t>
      </w:r>
      <w:r>
        <w:rPr>
          <w:rStyle w:val="Ninguno"/>
          <w:i w:val="1"/>
          <w:iCs w:val="1"/>
          <w:sz w:val="20"/>
          <w:szCs w:val="20"/>
          <w:rtl w:val="0"/>
          <w:lang w:val="en-US"/>
        </w:rPr>
        <w:t>Synchronicity: An Acausal Connecting Principle</w:t>
      </w:r>
      <w:r>
        <w:rPr>
          <w:rStyle w:val="Ninguno"/>
          <w:sz w:val="20"/>
          <w:szCs w:val="20"/>
          <w:rtl w:val="0"/>
        </w:rPr>
        <w:t>, pp. 69, 72</w:t>
      </w:r>
    </w:p>
  </w:footnote>
  <w:footnote w:id="10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The Passion of the Western Mind</w:t>
      </w:r>
      <w:r>
        <w:rPr>
          <w:rStyle w:val="Ninguno"/>
          <w:sz w:val="20"/>
          <w:szCs w:val="20"/>
          <w:rtl w:val="0"/>
        </w:rPr>
        <w:t>, Loc. 7032</w:t>
      </w:r>
    </w:p>
  </w:footnote>
  <w:footnote w:id="10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rPr>
        <w:t xml:space="preserve">Mysterium Coniunctionis, </w:t>
      </w:r>
      <w:r>
        <w:rPr>
          <w:rStyle w:val="Ninguno"/>
          <w:sz w:val="20"/>
          <w:szCs w:val="20"/>
          <w:rtl w:val="0"/>
          <w:lang w:val="en-US"/>
        </w:rPr>
        <w:t>Collected Works Vol. 14, (USA: Princeton University Press, 1970), p. 255</w:t>
      </w:r>
    </w:p>
  </w:footnote>
  <w:footnote w:id="10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rPr>
        <w:t xml:space="preserve">Mysterium Coniunctionis, </w:t>
      </w:r>
      <w:r>
        <w:rPr>
          <w:rStyle w:val="Ninguno"/>
          <w:sz w:val="20"/>
          <w:szCs w:val="20"/>
          <w:rtl w:val="0"/>
          <w:lang w:val="en-US"/>
        </w:rPr>
        <w:t>Collected Works Vol. 14, p. 494</w:t>
      </w:r>
    </w:p>
  </w:footnote>
  <w:footnote w:id="10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rPr>
        <w:t xml:space="preserve">Mysterium Coniunctionis, </w:t>
      </w:r>
      <w:r>
        <w:rPr>
          <w:rStyle w:val="Ninguno"/>
          <w:sz w:val="20"/>
          <w:szCs w:val="20"/>
          <w:rtl w:val="0"/>
          <w:lang w:val="en-US"/>
        </w:rPr>
        <w:t>Collected Works Vol. 14, p. 526</w:t>
      </w:r>
    </w:p>
  </w:footnote>
  <w:footnote w:id="10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rPr>
        <w:t xml:space="preserve">Mysterium Coniunctionis, </w:t>
      </w:r>
      <w:r>
        <w:rPr>
          <w:rStyle w:val="Ninguno"/>
          <w:sz w:val="20"/>
          <w:szCs w:val="20"/>
          <w:rtl w:val="0"/>
        </w:rPr>
        <w:t>pp. 320</w:t>
      </w:r>
    </w:p>
  </w:footnote>
  <w:footnote w:id="11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 The Nature of Religion</w:t>
      </w:r>
      <w:r>
        <w:rPr>
          <w:rStyle w:val="Ninguno"/>
          <w:sz w:val="20"/>
          <w:szCs w:val="20"/>
          <w:rtl w:val="0"/>
        </w:rPr>
        <w:t xml:space="preserve"> (New York: A Harvest Book, 1968), p. 25</w:t>
      </w:r>
    </w:p>
  </w:footnote>
  <w:footnote w:id="11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rPr>
        <w:t xml:space="preserve">Mysterium Coniunctionis, </w:t>
      </w:r>
      <w:r>
        <w:rPr>
          <w:rStyle w:val="Ninguno"/>
          <w:sz w:val="20"/>
          <w:szCs w:val="20"/>
          <w:rtl w:val="0"/>
        </w:rPr>
        <w:t>pp. 495</w:t>
      </w:r>
    </w:p>
  </w:footnote>
  <w:footnote w:id="11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rPr>
        <w:t xml:space="preserve">Mysterium Coniunctionis, </w:t>
      </w:r>
      <w:r>
        <w:rPr>
          <w:rStyle w:val="Ninguno"/>
          <w:sz w:val="20"/>
          <w:szCs w:val="20"/>
          <w:rtl w:val="0"/>
        </w:rPr>
        <w:t>pp. 495</w:t>
      </w:r>
    </w:p>
  </w:footnote>
  <w:footnote w:id="11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Antoine Faivre, </w:t>
      </w:r>
      <w:r>
        <w:rPr>
          <w:rStyle w:val="Ninguno"/>
          <w:i w:val="1"/>
          <w:iCs w:val="1"/>
          <w:sz w:val="20"/>
          <w:szCs w:val="20"/>
          <w:rtl w:val="0"/>
          <w:lang w:val="it-IT"/>
        </w:rPr>
        <w:t>Western Esotericism: A Concise History</w:t>
      </w:r>
      <w:r>
        <w:rPr>
          <w:rStyle w:val="Ninguno"/>
          <w:sz w:val="20"/>
          <w:szCs w:val="20"/>
          <w:rtl w:val="0"/>
          <w:lang w:val="en-US"/>
        </w:rPr>
        <w:t>, trans. by Christine Rhone (New York: Sunny Press, 2010), pp.12, 47</w:t>
      </w:r>
    </w:p>
  </w:footnote>
  <w:footnote w:id="11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Antoine Faivre, </w:t>
      </w:r>
      <w:r>
        <w:rPr>
          <w:rStyle w:val="Ninguno"/>
          <w:i w:val="1"/>
          <w:iCs w:val="1"/>
          <w:sz w:val="20"/>
          <w:szCs w:val="20"/>
          <w:rtl w:val="0"/>
          <w:lang w:val="it-IT"/>
        </w:rPr>
        <w:t>Western Esotericism: A Concise History</w:t>
      </w:r>
      <w:r>
        <w:rPr>
          <w:rStyle w:val="Ninguno"/>
          <w:sz w:val="20"/>
          <w:szCs w:val="20"/>
          <w:rtl w:val="0"/>
        </w:rPr>
        <w:t>, pp.12</w:t>
      </w:r>
    </w:p>
  </w:footnote>
  <w:footnote w:id="11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rPr>
        <w:t xml:space="preserve">Mysterium Coniunctionis, </w:t>
      </w:r>
      <w:r>
        <w:rPr>
          <w:rStyle w:val="Ninguno"/>
          <w:sz w:val="20"/>
          <w:szCs w:val="20"/>
          <w:rtl w:val="0"/>
        </w:rPr>
        <w:t>pp. 200</w:t>
      </w:r>
    </w:p>
  </w:footnote>
  <w:footnote w:id="11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lang w:val="en-US"/>
        </w:rPr>
        <w:t>Jung on Active Imagination</w:t>
      </w:r>
      <w:r>
        <w:rPr>
          <w:rStyle w:val="Ninguno"/>
          <w:sz w:val="20"/>
          <w:szCs w:val="20"/>
          <w:rtl w:val="0"/>
        </w:rPr>
        <w:t xml:space="preserve">, ed. by Joan Chodorow, </w:t>
      </w:r>
      <w:r>
        <w:rPr>
          <w:rStyle w:val="Ninguno"/>
          <w:sz w:val="18"/>
          <w:szCs w:val="18"/>
          <w:rtl w:val="0"/>
          <w:lang w:val="en-US"/>
        </w:rPr>
        <w:t>(USA: Princeton University Press, 1997),</w:t>
      </w:r>
      <w:r>
        <w:rPr>
          <w:rStyle w:val="Ninguno"/>
          <w:sz w:val="20"/>
          <w:szCs w:val="20"/>
          <w:rtl w:val="0"/>
        </w:rPr>
        <w:t xml:space="preserve"> pp. III </w:t>
      </w:r>
    </w:p>
  </w:footnote>
  <w:footnote w:id="11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lang w:val="en-US"/>
        </w:rPr>
        <w:t>Jung on Active Imagination</w:t>
      </w:r>
      <w:r>
        <w:rPr>
          <w:rStyle w:val="Ninguno"/>
          <w:sz w:val="20"/>
          <w:szCs w:val="20"/>
          <w:rtl w:val="0"/>
          <w:lang w:val="en-US"/>
        </w:rPr>
        <w:t xml:space="preserve">, ed by Joan Chodorow, </w:t>
      </w:r>
      <w:r>
        <w:rPr>
          <w:rStyle w:val="Ninguno"/>
          <w:sz w:val="18"/>
          <w:szCs w:val="18"/>
          <w:rtl w:val="0"/>
          <w:lang w:val="en-US"/>
        </w:rPr>
        <w:t>(USA: Princeton University Press, 1997), p</w:t>
      </w:r>
      <w:r>
        <w:rPr>
          <w:rStyle w:val="Ninguno"/>
          <w:sz w:val="20"/>
          <w:szCs w:val="20"/>
          <w:rtl w:val="0"/>
        </w:rPr>
        <w:t>p. 18</w:t>
      </w:r>
    </w:p>
  </w:footnote>
  <w:footnote w:id="11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lang w:val="en-US"/>
        </w:rPr>
        <w:t>Jung on Active Imagination</w:t>
      </w:r>
      <w:r>
        <w:rPr>
          <w:rStyle w:val="Ninguno"/>
          <w:sz w:val="20"/>
          <w:szCs w:val="20"/>
          <w:rtl w:val="0"/>
        </w:rPr>
        <w:t>, p. 3</w:t>
      </w:r>
    </w:p>
  </w:footnote>
  <w:footnote w:id="11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w:t>
      </w:r>
      <w:r>
        <w:rPr>
          <w:rStyle w:val="Ninguno"/>
          <w:i w:val="1"/>
          <w:iCs w:val="1"/>
          <w:sz w:val="20"/>
          <w:szCs w:val="20"/>
          <w:rtl w:val="0"/>
          <w:lang w:val="en-US"/>
        </w:rPr>
        <w:t xml:space="preserve"> Psychological Types</w:t>
      </w:r>
      <w:r>
        <w:rPr>
          <w:rStyle w:val="Ninguno"/>
          <w:sz w:val="20"/>
          <w:szCs w:val="20"/>
          <w:rtl w:val="0"/>
          <w:lang w:val="en-US"/>
        </w:rPr>
        <w:t>, Collected Works (CW) Vol. 6 (USA: Princeton University Press, 1971), pp. 711-722</w:t>
      </w:r>
    </w:p>
  </w:footnote>
  <w:footnote w:id="12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w:t>
      </w:r>
      <w:r>
        <w:rPr>
          <w:rStyle w:val="Ninguno"/>
          <w:i w:val="1"/>
          <w:iCs w:val="1"/>
          <w:sz w:val="20"/>
          <w:szCs w:val="20"/>
          <w:rtl w:val="0"/>
          <w:lang w:val="en-US"/>
        </w:rPr>
        <w:t xml:space="preserve"> Psychological Types</w:t>
      </w:r>
      <w:r>
        <w:rPr>
          <w:rStyle w:val="Ninguno"/>
          <w:sz w:val="20"/>
          <w:szCs w:val="20"/>
          <w:rtl w:val="0"/>
          <w:lang w:val="it-IT"/>
        </w:rPr>
        <w:t>, CW Vol. 6 , pp. 722</w:t>
      </w:r>
    </w:p>
  </w:footnote>
  <w:footnote w:id="12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Eugene Williamson, `Plato's "Eidos" and the Archetypes of Jung And Frye`, </w:t>
      </w:r>
      <w:r>
        <w:rPr>
          <w:rStyle w:val="Ninguno"/>
          <w:i w:val="1"/>
          <w:iCs w:val="1"/>
          <w:sz w:val="20"/>
          <w:szCs w:val="20"/>
          <w:rtl w:val="0"/>
          <w:lang w:val="de-DE"/>
        </w:rPr>
        <w:t>Interpretations Vol. 16, No. 1</w:t>
      </w:r>
      <w:r>
        <w:rPr>
          <w:rStyle w:val="Ninguno"/>
          <w:sz w:val="20"/>
          <w:szCs w:val="20"/>
          <w:rtl w:val="0"/>
          <w:lang w:val="it-IT"/>
        </w:rPr>
        <w:t xml:space="preserve"> (Scriptorium Press, Fall 1985), pp. 94-95</w:t>
        <w:tab/>
        <w:tab/>
        <w:tab/>
        <w:tab/>
        <w:tab/>
      </w:r>
    </w:p>
  </w:footnote>
  <w:footnote w:id="12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w:t>
      </w:r>
      <w:r>
        <w:rPr>
          <w:rStyle w:val="Ninguno"/>
          <w:i w:val="1"/>
          <w:iCs w:val="1"/>
          <w:sz w:val="20"/>
          <w:szCs w:val="20"/>
          <w:rtl w:val="0"/>
          <w:lang w:val="de-DE"/>
        </w:rPr>
        <w:t>Jung</w:t>
      </w:r>
      <w:r>
        <w:rPr>
          <w:rStyle w:val="Ninguno"/>
          <w:i w:val="1"/>
          <w:iCs w:val="1"/>
          <w:sz w:val="20"/>
          <w:szCs w:val="20"/>
          <w:rtl w:val="0"/>
          <w:lang w:val="de-DE"/>
        </w:rPr>
        <w:t>´</w:t>
      </w:r>
      <w:r>
        <w:rPr>
          <w:rStyle w:val="Ninguno"/>
          <w:i w:val="1"/>
          <w:iCs w:val="1"/>
          <w:sz w:val="20"/>
          <w:szCs w:val="20"/>
          <w:rtl w:val="0"/>
          <w:lang w:val="en-US"/>
        </w:rPr>
        <w:t xml:space="preserve">s Studies in Astrology </w:t>
      </w:r>
      <w:r>
        <w:rPr>
          <w:rStyle w:val="Ninguno"/>
          <w:sz w:val="20"/>
          <w:szCs w:val="20"/>
          <w:rtl w:val="0"/>
          <w:lang w:val="en-US"/>
        </w:rPr>
        <w:t>(UK: Routledge, 2018), pp. 83</w:t>
      </w:r>
    </w:p>
  </w:footnote>
  <w:footnote w:id="12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Crystal Addley, `Oracles, Dreams and Astrology in Iamblichus</w:t>
      </w:r>
      <w:r>
        <w:rPr>
          <w:rStyle w:val="Ninguno"/>
          <w:rFonts w:ascii="Arial Unicode MS" w:hAnsi="Arial Unicode MS" w:hint="default"/>
          <w:sz w:val="20"/>
          <w:szCs w:val="20"/>
          <w:rtl w:val="1"/>
        </w:rPr>
        <w:t xml:space="preserve">’ </w:t>
      </w:r>
      <w:r>
        <w:rPr>
          <w:rStyle w:val="Ninguno"/>
          <w:sz w:val="20"/>
          <w:szCs w:val="20"/>
          <w:rtl w:val="0"/>
        </w:rPr>
        <w:t xml:space="preserve">De mysteriis`, </w:t>
      </w:r>
      <w:r>
        <w:rPr>
          <w:rStyle w:val="Ninguno"/>
          <w:i w:val="1"/>
          <w:iCs w:val="1"/>
          <w:sz w:val="20"/>
          <w:szCs w:val="20"/>
          <w:rtl w:val="0"/>
          <w:lang w:val="en-US"/>
        </w:rPr>
        <w:t>Seeing with Different Eyes</w:t>
      </w:r>
      <w:r>
        <w:rPr>
          <w:rStyle w:val="Ninguno"/>
          <w:sz w:val="20"/>
          <w:szCs w:val="20"/>
          <w:rtl w:val="0"/>
          <w:lang w:val="en-US"/>
        </w:rPr>
        <w:t>, ed. by Patrick Curry and Angela Voss (UK: Cambridge Scholars Publishing, 2007), p. 50</w:t>
      </w:r>
    </w:p>
  </w:footnote>
  <w:footnote w:id="12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Iamblichus, </w:t>
      </w:r>
      <w:r>
        <w:rPr>
          <w:rStyle w:val="Ninguno"/>
          <w:i w:val="1"/>
          <w:iCs w:val="1"/>
          <w:sz w:val="20"/>
          <w:szCs w:val="20"/>
          <w:rtl w:val="0"/>
          <w:lang w:val="en-US"/>
        </w:rPr>
        <w:t>On the Mysteries of the Egyptians, Chaldeans, and Assyrians</w:t>
      </w:r>
      <w:r>
        <w:rPr>
          <w:rStyle w:val="Ninguno"/>
          <w:sz w:val="20"/>
          <w:szCs w:val="20"/>
          <w:rtl w:val="0"/>
          <w:lang w:val="da-DK"/>
        </w:rPr>
        <w:t>`, trans. Thomas Taylor, (Kshetra Books, Edici</w:t>
      </w:r>
      <w:r>
        <w:rPr>
          <w:rStyle w:val="Ninguno"/>
          <w:sz w:val="20"/>
          <w:szCs w:val="20"/>
          <w:rtl w:val="0"/>
          <w:lang w:val="es-ES_tradnl"/>
        </w:rPr>
        <w:t>ó</w:t>
      </w:r>
      <w:r>
        <w:rPr>
          <w:rStyle w:val="Ninguno"/>
          <w:sz w:val="20"/>
          <w:szCs w:val="20"/>
          <w:rtl w:val="0"/>
          <w:lang w:val="de-DE"/>
        </w:rPr>
        <w:t>n de Kindle, 2015), Loc 1167</w:t>
      </w:r>
    </w:p>
  </w:footnote>
  <w:footnote w:id="12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s-ES_tradnl"/>
        </w:rPr>
        <w:t xml:space="preserve"> ​​</w:t>
      </w:r>
      <w:r>
        <w:rPr>
          <w:rStyle w:val="Ninguno"/>
          <w:sz w:val="20"/>
          <w:szCs w:val="20"/>
          <w:rtl w:val="0"/>
          <w:lang w:val="de-DE"/>
        </w:rPr>
        <w:t xml:space="preserve">Iamblichus, </w:t>
      </w:r>
      <w:r>
        <w:rPr>
          <w:rStyle w:val="Ninguno"/>
          <w:i w:val="1"/>
          <w:iCs w:val="1"/>
          <w:sz w:val="20"/>
          <w:szCs w:val="20"/>
          <w:rtl w:val="0"/>
          <w:lang w:val="en-US"/>
        </w:rPr>
        <w:t>On the Mysteries of the Egyptians, Chaldeans, and Assyrians</w:t>
      </w:r>
      <w:r>
        <w:rPr>
          <w:rStyle w:val="Ninguno"/>
          <w:sz w:val="20"/>
          <w:szCs w:val="20"/>
          <w:rtl w:val="0"/>
          <w:lang w:val="en-US"/>
        </w:rPr>
        <w:t>`,  Loc 679</w:t>
      </w:r>
    </w:p>
  </w:footnote>
  <w:footnote w:id="12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s-ES_tradnl"/>
        </w:rPr>
        <w:t xml:space="preserve"> ​​</w:t>
      </w:r>
      <w:r>
        <w:rPr>
          <w:rStyle w:val="Ninguno"/>
          <w:sz w:val="20"/>
          <w:szCs w:val="20"/>
          <w:rtl w:val="0"/>
          <w:lang w:val="de-DE"/>
        </w:rPr>
        <w:t xml:space="preserve">Peter Struck, </w:t>
      </w:r>
      <w:r>
        <w:rPr>
          <w:rStyle w:val="Ninguno"/>
          <w:i w:val="1"/>
          <w:iCs w:val="1"/>
          <w:sz w:val="20"/>
          <w:szCs w:val="20"/>
          <w:rtl w:val="0"/>
          <w:lang w:val="en-US"/>
        </w:rPr>
        <w:t>Birth of the Symbol</w:t>
      </w:r>
      <w:r>
        <w:rPr>
          <w:rStyle w:val="Ninguno"/>
          <w:i w:val="1"/>
          <w:iCs w:val="1"/>
          <w:sz w:val="20"/>
          <w:szCs w:val="20"/>
          <w:rtl w:val="0"/>
          <w:lang w:val="de-DE"/>
        </w:rPr>
        <w:t>´</w:t>
      </w:r>
      <w:r>
        <w:rPr>
          <w:rStyle w:val="Ninguno"/>
          <w:sz w:val="20"/>
          <w:szCs w:val="20"/>
          <w:rtl w:val="0"/>
          <w:lang w:val="en-US"/>
        </w:rPr>
        <w:t>, (USA: Princeton University Press. Kindle Edition), Loc 4698</w:t>
      </w:r>
    </w:p>
  </w:footnote>
  <w:footnote w:id="12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Iamblichus, </w:t>
      </w:r>
      <w:r>
        <w:rPr>
          <w:rStyle w:val="Ninguno"/>
          <w:i w:val="1"/>
          <w:iCs w:val="1"/>
          <w:sz w:val="20"/>
          <w:szCs w:val="20"/>
          <w:rtl w:val="0"/>
          <w:lang w:val="en-US"/>
        </w:rPr>
        <w:t>On the Mysteries of the Egyptians, Chaldeans, and Assyrians</w:t>
      </w:r>
      <w:r>
        <w:rPr>
          <w:rStyle w:val="Ninguno"/>
          <w:sz w:val="20"/>
          <w:szCs w:val="20"/>
          <w:rtl w:val="0"/>
          <w:lang w:val="pt-PT"/>
        </w:rPr>
        <w:t>`, Loc. 1135</w:t>
      </w:r>
    </w:p>
  </w:footnote>
  <w:footnote w:id="12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Gregory Shaw, </w:t>
      </w:r>
      <w:r>
        <w:rPr>
          <w:rStyle w:val="Ninguno"/>
          <w:sz w:val="20"/>
          <w:szCs w:val="20"/>
          <w:rtl w:val="0"/>
          <w:lang w:val="de-DE"/>
        </w:rPr>
        <w:t>´</w:t>
      </w:r>
      <w:r>
        <w:rPr>
          <w:rStyle w:val="Ninguno"/>
          <w:sz w:val="20"/>
          <w:szCs w:val="20"/>
          <w:rtl w:val="0"/>
          <w:lang w:val="en-US"/>
        </w:rPr>
        <w:t>Theurgy: Rituals of Unification in the Neoplatonism of Iamblichus</w:t>
      </w:r>
      <w:r>
        <w:rPr>
          <w:rStyle w:val="Ninguno"/>
          <w:sz w:val="20"/>
          <w:szCs w:val="20"/>
          <w:rtl w:val="0"/>
          <w:lang w:val="de-DE"/>
        </w:rPr>
        <w:t>´</w:t>
      </w:r>
      <w:r>
        <w:rPr>
          <w:rStyle w:val="Ninguno"/>
          <w:sz w:val="20"/>
          <w:szCs w:val="20"/>
          <w:rtl w:val="0"/>
        </w:rPr>
        <w:t xml:space="preserve">, </w:t>
      </w:r>
      <w:r>
        <w:rPr>
          <w:rStyle w:val="Ninguno"/>
          <w:i w:val="1"/>
          <w:iCs w:val="1"/>
          <w:sz w:val="20"/>
          <w:szCs w:val="20"/>
          <w:rtl w:val="0"/>
          <w:lang w:val="it-IT"/>
        </w:rPr>
        <w:t xml:space="preserve">Traditio, Vol. 41 </w:t>
      </w:r>
      <w:r>
        <w:rPr>
          <w:rStyle w:val="Ninguno"/>
          <w:sz w:val="20"/>
          <w:szCs w:val="20"/>
          <w:rtl w:val="0"/>
        </w:rPr>
        <w:t>(1985), pp. 1-28</w:t>
      </w:r>
    </w:p>
  </w:footnote>
  <w:footnote w:id="12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Crystal Addley, `Oracles, Dreams and Astrology in Iamblichus</w:t>
      </w:r>
      <w:r>
        <w:rPr>
          <w:rStyle w:val="Ninguno"/>
          <w:rFonts w:ascii="Arial Unicode MS" w:hAnsi="Arial Unicode MS" w:hint="default"/>
          <w:sz w:val="20"/>
          <w:szCs w:val="20"/>
          <w:rtl w:val="1"/>
        </w:rPr>
        <w:t xml:space="preserve">’ </w:t>
      </w:r>
      <w:r>
        <w:rPr>
          <w:rStyle w:val="Ninguno"/>
          <w:sz w:val="20"/>
          <w:szCs w:val="20"/>
          <w:rtl w:val="0"/>
        </w:rPr>
        <w:t xml:space="preserve">De mysteriis`, in </w:t>
      </w:r>
      <w:r>
        <w:rPr>
          <w:rStyle w:val="Ninguno"/>
          <w:i w:val="1"/>
          <w:iCs w:val="1"/>
          <w:sz w:val="20"/>
          <w:szCs w:val="20"/>
          <w:rtl w:val="0"/>
          <w:lang w:val="en-US"/>
        </w:rPr>
        <w:t>Seeing with Different Eyes</w:t>
      </w:r>
      <w:r>
        <w:rPr>
          <w:rStyle w:val="Ninguno"/>
          <w:sz w:val="20"/>
          <w:szCs w:val="20"/>
          <w:rtl w:val="0"/>
          <w:lang w:val="en-US"/>
        </w:rPr>
        <w:t>, ed. by Patrick Curry and Angela Voss (UK: Cambridge Scholars Publishing, 2007), pp. 36</w:t>
      </w:r>
    </w:p>
  </w:footnote>
  <w:footnote w:id="13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Gregory Shaw, </w:t>
      </w:r>
      <w:r>
        <w:rPr>
          <w:rStyle w:val="Ninguno"/>
          <w:sz w:val="20"/>
          <w:szCs w:val="20"/>
          <w:rtl w:val="0"/>
          <w:lang w:val="de-DE"/>
        </w:rPr>
        <w:t>´</w:t>
      </w:r>
      <w:r>
        <w:rPr>
          <w:rStyle w:val="Ninguno"/>
          <w:sz w:val="20"/>
          <w:szCs w:val="20"/>
          <w:rtl w:val="0"/>
          <w:lang w:val="en-US"/>
        </w:rPr>
        <w:t>Archetypal Psychology, Dreamwork, and Neoplatonism</w:t>
      </w:r>
      <w:r>
        <w:rPr>
          <w:rStyle w:val="Ninguno"/>
          <w:sz w:val="20"/>
          <w:szCs w:val="20"/>
          <w:rtl w:val="0"/>
          <w:lang w:val="de-DE"/>
        </w:rPr>
        <w:t xml:space="preserve">´ </w:t>
      </w:r>
      <w:r>
        <w:rPr>
          <w:rStyle w:val="Ninguno"/>
          <w:sz w:val="20"/>
          <w:szCs w:val="20"/>
          <w:rtl w:val="0"/>
        </w:rPr>
        <w:t xml:space="preserve">in </w:t>
      </w:r>
      <w:r>
        <w:rPr>
          <w:rStyle w:val="Ninguno"/>
          <w:i w:val="1"/>
          <w:iCs w:val="1"/>
          <w:sz w:val="20"/>
          <w:szCs w:val="20"/>
          <w:rtl w:val="0"/>
          <w:lang w:val="en-US"/>
        </w:rPr>
        <w:t>Octagon: The Quest for Wholeness, Volume 2,</w:t>
      </w:r>
      <w:r>
        <w:rPr>
          <w:rStyle w:val="Ninguno"/>
          <w:sz w:val="20"/>
          <w:szCs w:val="20"/>
          <w:rtl w:val="0"/>
          <w:lang w:val="de-DE"/>
        </w:rPr>
        <w:t xml:space="preserve"> edited by Hans Thomas Hakl (Germany: H. Frietsch Verlag, 2016), pp. 327-359</w:t>
      </w:r>
    </w:p>
  </w:footnote>
  <w:footnote w:id="13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Simplicius, </w:t>
      </w:r>
      <w:r>
        <w:rPr>
          <w:rStyle w:val="Ninguno"/>
          <w:sz w:val="20"/>
          <w:szCs w:val="20"/>
          <w:rtl w:val="0"/>
          <w:lang w:val="de-DE"/>
        </w:rPr>
        <w:t>´</w:t>
      </w:r>
      <w:r>
        <w:rPr>
          <w:rStyle w:val="Ninguno"/>
          <w:i w:val="1"/>
          <w:iCs w:val="1"/>
          <w:sz w:val="20"/>
          <w:szCs w:val="20"/>
          <w:rtl w:val="0"/>
          <w:lang w:val="it-IT"/>
        </w:rPr>
        <w:t>De Anima</w:t>
      </w:r>
      <w:r>
        <w:rPr>
          <w:rStyle w:val="Ninguno"/>
          <w:sz w:val="20"/>
          <w:szCs w:val="20"/>
          <w:rtl w:val="0"/>
          <w:lang w:val="de-DE"/>
        </w:rPr>
        <w:t xml:space="preserve">´ </w:t>
      </w:r>
      <w:r>
        <w:rPr>
          <w:rStyle w:val="Ninguno"/>
          <w:sz w:val="20"/>
          <w:szCs w:val="20"/>
          <w:rtl w:val="0"/>
          <w:lang w:val="pt-PT"/>
        </w:rPr>
        <w:t>[DA] 89, 33</w:t>
      </w:r>
      <w:r>
        <w:rPr>
          <w:rStyle w:val="Ninguno"/>
          <w:sz w:val="20"/>
          <w:szCs w:val="20"/>
          <w:rtl w:val="0"/>
        </w:rPr>
        <w:t>–</w:t>
      </w:r>
      <w:r>
        <w:rPr>
          <w:rStyle w:val="Ninguno"/>
          <w:sz w:val="20"/>
          <w:szCs w:val="20"/>
          <w:rtl w:val="0"/>
        </w:rPr>
        <w:t>37; 90, 21</w:t>
      </w:r>
      <w:r>
        <w:rPr>
          <w:rStyle w:val="Ninguno"/>
          <w:sz w:val="20"/>
          <w:szCs w:val="20"/>
          <w:rtl w:val="0"/>
        </w:rPr>
        <w:t>–</w:t>
      </w:r>
      <w:r>
        <w:rPr>
          <w:rStyle w:val="Ninguno"/>
          <w:sz w:val="20"/>
          <w:szCs w:val="20"/>
          <w:rtl w:val="0"/>
          <w:lang w:val="en-US"/>
        </w:rPr>
        <w:t xml:space="preserve">23, ed. M. Hayduck (Berlin: B. Reimeri, 1882). cited in Gregory Shaw, </w:t>
      </w:r>
      <w:r>
        <w:rPr>
          <w:rStyle w:val="Ninguno"/>
          <w:sz w:val="20"/>
          <w:szCs w:val="20"/>
          <w:rtl w:val="0"/>
          <w:lang w:val="de-DE"/>
        </w:rPr>
        <w:t>´</w:t>
      </w:r>
      <w:r>
        <w:rPr>
          <w:rStyle w:val="Ninguno"/>
          <w:sz w:val="20"/>
          <w:szCs w:val="20"/>
          <w:rtl w:val="0"/>
          <w:lang w:val="en-US"/>
        </w:rPr>
        <w:t>Archetypal Psychology, Dreamwork, and Neoplatonism</w:t>
      </w:r>
      <w:r>
        <w:rPr>
          <w:rStyle w:val="Ninguno"/>
          <w:sz w:val="20"/>
          <w:szCs w:val="20"/>
          <w:rtl w:val="0"/>
          <w:lang w:val="de-DE"/>
        </w:rPr>
        <w:t xml:space="preserve">´ </w:t>
      </w:r>
      <w:r>
        <w:rPr>
          <w:rStyle w:val="Ninguno"/>
          <w:sz w:val="20"/>
          <w:szCs w:val="20"/>
          <w:rtl w:val="0"/>
        </w:rPr>
        <w:t xml:space="preserve">in </w:t>
      </w:r>
      <w:r>
        <w:rPr>
          <w:rStyle w:val="Ninguno"/>
          <w:i w:val="1"/>
          <w:iCs w:val="1"/>
          <w:sz w:val="20"/>
          <w:szCs w:val="20"/>
          <w:rtl w:val="0"/>
          <w:lang w:val="en-US"/>
        </w:rPr>
        <w:t>Octagon: The Quest for Wholeness, Volume 2</w:t>
      </w:r>
      <w:r>
        <w:rPr>
          <w:rStyle w:val="Ninguno"/>
          <w:sz w:val="20"/>
          <w:szCs w:val="20"/>
          <w:rtl w:val="0"/>
          <w:lang w:val="de-DE"/>
        </w:rPr>
        <w:t>, ed. by Hans Thomas Hakl (Germany: H. Frietsch Verlag, 2016),  pp. 332</w:t>
      </w:r>
      <w:r>
        <w:rPr>
          <w:rStyle w:val="Ninguno"/>
          <w:sz w:val="20"/>
          <w:szCs w:val="20"/>
          <w:rtl w:val="0"/>
        </w:rPr>
        <w:br w:type="textWrapping"/>
        <w:t xml:space="preserve"> </w:t>
      </w:r>
    </w:p>
  </w:footnote>
  <w:footnote w:id="13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a-DK"/>
        </w:rPr>
        <w:t xml:space="preserve">  Crystal Abbey, `</w:t>
      </w:r>
      <w:r>
        <w:rPr>
          <w:rStyle w:val="Ninguno"/>
          <w:i w:val="1"/>
          <w:iCs w:val="1"/>
          <w:sz w:val="20"/>
          <w:szCs w:val="20"/>
          <w:rtl w:val="0"/>
          <w:lang w:val="en-US"/>
        </w:rPr>
        <w:t>Divination and Theurgy in Neoplatonism: Oracles of the Gods</w:t>
      </w:r>
      <w:r>
        <w:rPr>
          <w:rStyle w:val="Ninguno"/>
          <w:sz w:val="20"/>
          <w:szCs w:val="20"/>
          <w:rtl w:val="0"/>
          <w:lang w:val="en-US"/>
        </w:rPr>
        <w:t>`, (Ashgate Studies in Philosophy &amp; Theology in Late Antiquity, 2014), pp. 175</w:t>
      </w:r>
    </w:p>
  </w:footnote>
  <w:footnote w:id="13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Gregory Shaw, </w:t>
      </w:r>
      <w:r>
        <w:rPr>
          <w:rStyle w:val="Ninguno"/>
          <w:sz w:val="20"/>
          <w:szCs w:val="20"/>
          <w:rtl w:val="0"/>
          <w:lang w:val="de-DE"/>
        </w:rPr>
        <w:t>´</w:t>
      </w:r>
      <w:r>
        <w:rPr>
          <w:rStyle w:val="Ninguno"/>
          <w:sz w:val="20"/>
          <w:szCs w:val="20"/>
          <w:rtl w:val="0"/>
          <w:lang w:val="en-US"/>
        </w:rPr>
        <w:t>Theurgy: Rituals of Unification in the Neoplatonism of Iamblichus</w:t>
      </w:r>
      <w:r>
        <w:rPr>
          <w:rStyle w:val="Ninguno"/>
          <w:sz w:val="20"/>
          <w:szCs w:val="20"/>
          <w:rtl w:val="0"/>
          <w:lang w:val="de-DE"/>
        </w:rPr>
        <w:t>´</w:t>
      </w:r>
      <w:r>
        <w:rPr>
          <w:rStyle w:val="Ninguno"/>
          <w:sz w:val="20"/>
          <w:szCs w:val="20"/>
          <w:rtl w:val="0"/>
        </w:rPr>
        <w:t xml:space="preserve">, </w:t>
      </w:r>
      <w:r>
        <w:rPr>
          <w:rStyle w:val="Ninguno"/>
          <w:i w:val="1"/>
          <w:iCs w:val="1"/>
          <w:sz w:val="20"/>
          <w:szCs w:val="20"/>
          <w:rtl w:val="0"/>
          <w:lang w:val="it-IT"/>
        </w:rPr>
        <w:t xml:space="preserve">Traditio, Vol. 41 </w:t>
      </w:r>
      <w:r>
        <w:rPr>
          <w:rStyle w:val="Ninguno"/>
          <w:sz w:val="20"/>
          <w:szCs w:val="20"/>
          <w:rtl w:val="0"/>
        </w:rPr>
        <w:t>(1985), pp. 10</w:t>
      </w:r>
    </w:p>
  </w:footnote>
  <w:footnote w:id="13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rPr>
        <w:t xml:space="preserve">`Mysterium Coniunctionis`, </w:t>
      </w:r>
      <w:r>
        <w:rPr>
          <w:rStyle w:val="Ninguno"/>
          <w:sz w:val="20"/>
          <w:szCs w:val="20"/>
          <w:rtl w:val="0"/>
        </w:rPr>
        <w:t>pp. 551</w:t>
      </w:r>
    </w:p>
  </w:footnote>
  <w:footnote w:id="13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rPr>
        <w:t xml:space="preserve">Mysterium Coniunctionis, </w:t>
      </w:r>
      <w:r>
        <w:rPr>
          <w:rStyle w:val="Ninguno"/>
          <w:sz w:val="20"/>
          <w:szCs w:val="20"/>
          <w:rtl w:val="0"/>
        </w:rPr>
        <w:t>pp. 550</w:t>
      </w:r>
    </w:p>
  </w:footnote>
  <w:footnote w:id="13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G. Jung, </w:t>
      </w:r>
      <w:r>
        <w:rPr>
          <w:rStyle w:val="Ninguno"/>
          <w:i w:val="1"/>
          <w:iCs w:val="1"/>
          <w:sz w:val="20"/>
          <w:szCs w:val="20"/>
          <w:rtl w:val="0"/>
          <w:lang w:val="en-US"/>
        </w:rPr>
        <w:t>Synchronicity: An Acausal Connecting Principle</w:t>
      </w:r>
      <w:r>
        <w:rPr>
          <w:rStyle w:val="Ninguno"/>
          <w:sz w:val="20"/>
          <w:szCs w:val="20"/>
          <w:rtl w:val="0"/>
        </w:rPr>
        <w:t>, pp. 100</w:t>
      </w:r>
    </w:p>
  </w:footnote>
  <w:footnote w:id="13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Plato, </w:t>
      </w:r>
      <w:r>
        <w:rPr>
          <w:rStyle w:val="Ninguno"/>
          <w:i w:val="1"/>
          <w:iCs w:val="1"/>
          <w:sz w:val="20"/>
          <w:szCs w:val="20"/>
          <w:rtl w:val="0"/>
        </w:rPr>
        <w:t>Republic</w:t>
      </w:r>
      <w:r>
        <w:rPr>
          <w:rStyle w:val="Ninguno"/>
          <w:sz w:val="20"/>
          <w:szCs w:val="20"/>
          <w:rtl w:val="0"/>
          <w:lang w:val="en-US"/>
        </w:rPr>
        <w:t>, trans. by Christopher Rowe (USA: Penguin Books Ltd, Kindle Edition, 2012),  Loc. 97</w:t>
      </w:r>
    </w:p>
  </w:footnote>
  <w:footnote w:id="13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Plato, </w:t>
      </w:r>
      <w:r>
        <w:rPr>
          <w:rStyle w:val="Ninguno"/>
          <w:i w:val="1"/>
          <w:iCs w:val="1"/>
          <w:sz w:val="20"/>
          <w:szCs w:val="20"/>
          <w:rtl w:val="0"/>
          <w:lang w:val="en-US"/>
        </w:rPr>
        <w:t>Timaeus and Critias</w:t>
      </w:r>
      <w:r>
        <w:rPr>
          <w:rStyle w:val="Ninguno"/>
          <w:sz w:val="20"/>
          <w:szCs w:val="20"/>
          <w:rtl w:val="0"/>
          <w:lang w:val="en-US"/>
        </w:rPr>
        <w:t>, trans. by Benjamin Jowett (USA: IAP, Kindle Edition, 2009), pp. 7</w:t>
      </w:r>
    </w:p>
  </w:footnote>
  <w:footnote w:id="13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Nicholas Campion, `Introduction: Sky and Psyche: Heaven and Soul`, in </w:t>
      </w:r>
      <w:r>
        <w:rPr>
          <w:rStyle w:val="Ninguno"/>
          <w:i w:val="1"/>
          <w:iCs w:val="1"/>
          <w:sz w:val="20"/>
          <w:szCs w:val="20"/>
          <w:rtl w:val="0"/>
          <w:lang w:val="en-US"/>
        </w:rPr>
        <w:t>Sky and Psyche</w:t>
      </w:r>
      <w:r>
        <w:rPr>
          <w:rStyle w:val="Ninguno"/>
          <w:sz w:val="20"/>
          <w:szCs w:val="20"/>
          <w:rtl w:val="0"/>
          <w:lang w:val="en-US"/>
        </w:rPr>
        <w:t>, ed. by Nicholas Campion and Patrick Curry, (Edimburg: Floris Book, 2006), pp. 11</w:t>
      </w:r>
    </w:p>
  </w:footnote>
  <w:footnote w:id="14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Nicholas Campion, `Introduction: Sky and Psyche: Heaven and Soul`, in </w:t>
      </w:r>
      <w:r>
        <w:rPr>
          <w:rStyle w:val="Ninguno"/>
          <w:i w:val="1"/>
          <w:iCs w:val="1"/>
          <w:sz w:val="20"/>
          <w:szCs w:val="20"/>
          <w:rtl w:val="0"/>
          <w:lang w:val="en-US"/>
        </w:rPr>
        <w:t>Sky and Psyche</w:t>
      </w:r>
      <w:r>
        <w:rPr>
          <w:rStyle w:val="Ninguno"/>
          <w:sz w:val="20"/>
          <w:szCs w:val="20"/>
          <w:rtl w:val="0"/>
          <w:lang w:val="en-US"/>
        </w:rPr>
        <w:t>, ed. by Nicholas Campion and Patrick Curry, (Edimburg: Floris Book, 2006), pp. 11</w:t>
      </w:r>
    </w:p>
  </w:footnote>
  <w:footnote w:id="14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lang w:val="en-US"/>
        </w:rPr>
        <w:t xml:space="preserve"> (New York: Penguin Publishing Group, 2006),</w:t>
      </w:r>
      <w:r>
        <w:rPr>
          <w:rStyle w:val="Ninguno A"/>
          <w:rtl w:val="0"/>
        </w:rPr>
        <w:t xml:space="preserve"> </w:t>
      </w:r>
      <w:r>
        <w:rPr>
          <w:rStyle w:val="Ninguno"/>
          <w:sz w:val="20"/>
          <w:szCs w:val="20"/>
          <w:rtl w:val="0"/>
        </w:rPr>
        <w:t>p. 85)</w:t>
      </w:r>
    </w:p>
  </w:footnote>
  <w:footnote w:id="14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s-ES_tradnl"/>
        </w:rPr>
        <w:t xml:space="preserve"> ​​</w:t>
      </w:r>
      <w:r>
        <w:rPr>
          <w:rStyle w:val="Ninguno"/>
          <w:sz w:val="20"/>
          <w:szCs w:val="20"/>
          <w:rtl w:val="0"/>
          <w:lang w:val="pt-PT"/>
        </w:rPr>
        <w:t xml:space="preserve">Richard Tarnas, </w:t>
      </w:r>
      <w:r>
        <w:rPr>
          <w:rStyle w:val="Ninguno"/>
          <w:i w:val="1"/>
          <w:iCs w:val="1"/>
          <w:sz w:val="20"/>
          <w:szCs w:val="20"/>
          <w:rtl w:val="0"/>
          <w:lang w:val="en-US"/>
        </w:rPr>
        <w:t>Cosmos and Psyche</w:t>
      </w:r>
      <w:r>
        <w:rPr>
          <w:rStyle w:val="Ninguno"/>
          <w:sz w:val="20"/>
          <w:szCs w:val="20"/>
          <w:rtl w:val="0"/>
        </w:rPr>
        <w:t>, pp. 17</w:t>
      </w:r>
    </w:p>
  </w:footnote>
  <w:footnote w:id="14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Iamblichus, </w:t>
      </w:r>
      <w:r>
        <w:rPr>
          <w:rStyle w:val="Ninguno"/>
          <w:i w:val="1"/>
          <w:iCs w:val="1"/>
          <w:sz w:val="20"/>
          <w:szCs w:val="20"/>
          <w:rtl w:val="0"/>
          <w:lang w:val="en-US"/>
        </w:rPr>
        <w:t>On the Mysteries of the Egyptians, Chaldeans, and Assyrians</w:t>
      </w:r>
      <w:r>
        <w:rPr>
          <w:rStyle w:val="Ninguno"/>
          <w:sz w:val="20"/>
          <w:szCs w:val="20"/>
          <w:rtl w:val="0"/>
          <w:lang w:val="da-DK"/>
        </w:rPr>
        <w:t>, trans. Thomas Taylor . (Kshetra Books, Edici</w:t>
      </w:r>
      <w:r>
        <w:rPr>
          <w:rStyle w:val="Ninguno"/>
          <w:sz w:val="20"/>
          <w:szCs w:val="20"/>
          <w:rtl w:val="0"/>
          <w:lang w:val="es-ES_tradnl"/>
        </w:rPr>
        <w:t>ó</w:t>
      </w:r>
      <w:r>
        <w:rPr>
          <w:rStyle w:val="Ninguno"/>
          <w:sz w:val="20"/>
          <w:szCs w:val="20"/>
          <w:rtl w:val="0"/>
          <w:lang w:val="de-DE"/>
        </w:rPr>
        <w:t>n de Kindle, 2015), Loc. 1152</w:t>
      </w:r>
    </w:p>
  </w:footnote>
  <w:footnote w:id="14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rPr>
        <w:t>, pp. 17</w:t>
      </w:r>
    </w:p>
  </w:footnote>
  <w:footnote w:id="14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rPr>
        <w:t>, pp. 16</w:t>
      </w:r>
    </w:p>
  </w:footnote>
  <w:footnote w:id="14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w:t>
      </w:r>
      <w:r>
        <w:rPr>
          <w:rStyle w:val="Ninguno"/>
          <w:i w:val="1"/>
          <w:iCs w:val="1"/>
          <w:sz w:val="20"/>
          <w:szCs w:val="20"/>
          <w:rtl w:val="0"/>
          <w:lang w:val="de-DE"/>
        </w:rPr>
        <w:t>Jung</w:t>
      </w:r>
      <w:r>
        <w:rPr>
          <w:rStyle w:val="Ninguno"/>
          <w:i w:val="1"/>
          <w:iCs w:val="1"/>
          <w:sz w:val="20"/>
          <w:szCs w:val="20"/>
          <w:rtl w:val="0"/>
          <w:lang w:val="de-DE"/>
        </w:rPr>
        <w:t>´</w:t>
      </w:r>
      <w:r>
        <w:rPr>
          <w:rStyle w:val="Ninguno"/>
          <w:i w:val="1"/>
          <w:iCs w:val="1"/>
          <w:sz w:val="20"/>
          <w:szCs w:val="20"/>
          <w:rtl w:val="0"/>
          <w:lang w:val="en-US"/>
        </w:rPr>
        <w:t xml:space="preserve">s Studies in Astrology </w:t>
      </w:r>
      <w:r>
        <w:rPr>
          <w:rStyle w:val="Ninguno"/>
          <w:sz w:val="20"/>
          <w:szCs w:val="20"/>
          <w:rtl w:val="0"/>
          <w:lang w:val="en-US"/>
        </w:rPr>
        <w:t>(UK: Routledge, 2018), pp. 83</w:t>
      </w:r>
    </w:p>
  </w:footnote>
  <w:footnote w:id="14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 History of Western Astrology</w:t>
      </w:r>
      <w:r>
        <w:rPr>
          <w:rStyle w:val="Ninguno"/>
          <w:sz w:val="20"/>
          <w:szCs w:val="20"/>
          <w:rtl w:val="0"/>
          <w:lang w:val="nl-NL"/>
        </w:rPr>
        <w:t>, Vol. II, (London: Continuum, 2008), pp. 178</w:t>
      </w:r>
    </w:p>
  </w:footnote>
  <w:footnote w:id="14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rPr>
        <w:t xml:space="preserve"> p. 27</w:t>
      </w:r>
    </w:p>
  </w:footnote>
  <w:footnote w:id="14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rPr>
        <w:t xml:space="preserve">, </w:t>
      </w:r>
      <w:r>
        <w:rPr>
          <w:rStyle w:val="Ninguno A"/>
          <w:rtl w:val="0"/>
        </w:rPr>
        <w:t>pp. 39-40</w:t>
      </w:r>
    </w:p>
  </w:footnote>
  <w:footnote w:id="15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s-ES_tradnl"/>
        </w:rPr>
        <w:t xml:space="preserve"> ​​</w:t>
      </w:r>
      <w:r>
        <w:rPr>
          <w:rStyle w:val="Ninguno"/>
          <w:sz w:val="20"/>
          <w:szCs w:val="20"/>
          <w:rtl w:val="0"/>
          <w:lang w:val="en-US"/>
        </w:rPr>
        <w:t xml:space="preserve">Patrick Harpur, </w:t>
      </w:r>
      <w:r>
        <w:rPr>
          <w:rStyle w:val="Ninguno"/>
          <w:i w:val="1"/>
          <w:iCs w:val="1"/>
          <w:sz w:val="20"/>
          <w:szCs w:val="20"/>
          <w:rtl w:val="0"/>
          <w:lang w:val="en-US"/>
        </w:rPr>
        <w:t>A Complete Guide to the Soul</w:t>
      </w:r>
      <w:r>
        <w:rPr>
          <w:rStyle w:val="Ninguno"/>
          <w:sz w:val="20"/>
          <w:szCs w:val="20"/>
          <w:rtl w:val="0"/>
        </w:rPr>
        <w:t xml:space="preserve"> (UK: Ride, 2010) pp. 41</w:t>
      </w:r>
    </w:p>
  </w:footnote>
  <w:footnote w:id="15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Astrology and Cosmology in the World</w:t>
      </w:r>
      <w:r>
        <w:rPr>
          <w:rStyle w:val="Ninguno"/>
          <w:rFonts w:ascii="Arial Unicode MS" w:hAnsi="Arial Unicode MS" w:hint="default"/>
          <w:sz w:val="20"/>
          <w:szCs w:val="20"/>
          <w:rtl w:val="1"/>
        </w:rPr>
        <w:t>’</w:t>
      </w:r>
      <w:r>
        <w:rPr>
          <w:rStyle w:val="Ninguno"/>
          <w:i w:val="1"/>
          <w:iCs w:val="1"/>
          <w:sz w:val="20"/>
          <w:szCs w:val="20"/>
          <w:rtl w:val="0"/>
          <w:lang w:val="fr-FR"/>
        </w:rPr>
        <w:t>s Religions</w:t>
      </w:r>
      <w:r>
        <w:rPr>
          <w:rStyle w:val="Ninguno"/>
          <w:sz w:val="20"/>
          <w:szCs w:val="20"/>
          <w:rtl w:val="0"/>
          <w:lang w:val="en-US"/>
        </w:rPr>
        <w:t xml:space="preserve"> (New York: New York University Press, Kindle Edition, 2012),</w:t>
      </w:r>
      <w:r>
        <w:rPr>
          <w:rStyle w:val="Ninguno A"/>
          <w:rtl w:val="0"/>
        </w:rPr>
        <w:t xml:space="preserve"> pp. 25</w:t>
      </w:r>
    </w:p>
  </w:footnote>
  <w:footnote w:id="15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Letter to Dr Trusler, 23 August 1799 in Blake p. 793 cited in Patrick Harpur, </w:t>
      </w:r>
      <w:r>
        <w:rPr>
          <w:rStyle w:val="Ninguno"/>
          <w:i w:val="1"/>
          <w:iCs w:val="1"/>
          <w:sz w:val="20"/>
          <w:szCs w:val="20"/>
          <w:rtl w:val="0"/>
          <w:lang w:val="en-US"/>
        </w:rPr>
        <w:t>A Complete Guide to the Soul, pp.</w:t>
      </w:r>
      <w:r>
        <w:rPr>
          <w:rStyle w:val="Ninguno"/>
          <w:sz w:val="20"/>
          <w:szCs w:val="20"/>
          <w:rtl w:val="0"/>
        </w:rPr>
        <w:t xml:space="preserve">  218</w:t>
      </w:r>
    </w:p>
  </w:footnote>
  <w:footnote w:id="15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David Lukoff, `The Diagnosis of Mystical Experiences with Psychotic Features`, </w:t>
      </w:r>
      <w:r>
        <w:rPr>
          <w:rStyle w:val="Ninguno"/>
          <w:i w:val="1"/>
          <w:iCs w:val="1"/>
          <w:sz w:val="20"/>
          <w:szCs w:val="20"/>
          <w:rtl w:val="0"/>
          <w:lang w:val="en-US"/>
        </w:rPr>
        <w:t>Journal of Transpersonal Psychology,</w:t>
      </w:r>
      <w:r>
        <w:rPr>
          <w:rStyle w:val="Ninguno"/>
          <w:sz w:val="20"/>
          <w:szCs w:val="20"/>
          <w:rtl w:val="0"/>
        </w:rPr>
        <w:t xml:space="preserve"> Vol. 17, No. 2 (1985), pp. 155-181</w:t>
      </w:r>
    </w:p>
  </w:footnote>
  <w:footnote w:id="15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`Mystical Experiences Among Astrologers`, </w:t>
      </w:r>
      <w:r>
        <w:rPr>
          <w:rStyle w:val="Ninguno"/>
          <w:i w:val="1"/>
          <w:iCs w:val="1"/>
          <w:sz w:val="20"/>
          <w:szCs w:val="20"/>
          <w:rtl w:val="0"/>
          <w:lang w:val="en-US"/>
        </w:rPr>
        <w:t xml:space="preserve">Culture and Cosmos </w:t>
      </w:r>
      <w:r>
        <w:rPr>
          <w:rStyle w:val="Ninguno"/>
          <w:sz w:val="20"/>
          <w:szCs w:val="20"/>
          <w:rtl w:val="0"/>
        </w:rPr>
        <w:t>Vol.13, No. 2 (2009), pp. 3</w:t>
      </w:r>
    </w:p>
  </w:footnote>
  <w:footnote w:id="15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David Lukoff, `The Diagnosis of Mystical Experiences with Psychotic Features`, </w:t>
      </w:r>
      <w:r>
        <w:rPr>
          <w:rStyle w:val="Ninguno"/>
          <w:i w:val="1"/>
          <w:iCs w:val="1"/>
          <w:sz w:val="20"/>
          <w:szCs w:val="20"/>
          <w:rtl w:val="0"/>
          <w:lang w:val="en-US"/>
        </w:rPr>
        <w:t>Journal of Transpersonal Psychology,</w:t>
      </w:r>
      <w:r>
        <w:rPr>
          <w:rStyle w:val="Ninguno"/>
          <w:sz w:val="20"/>
          <w:szCs w:val="20"/>
          <w:rtl w:val="0"/>
        </w:rPr>
        <w:t xml:space="preserve"> Vol. 17, No. 2 (1985), pp. 155-181</w:t>
      </w:r>
    </w:p>
  </w:footnote>
  <w:footnote w:id="156">
    <w:p>
      <w:pPr>
        <w:pStyle w:val="Cuerpo A"/>
        <w:spacing w:line="240" w:lineRule="auto"/>
      </w:pPr>
      <w:r>
        <w:rPr>
          <w:rStyle w:val="Ninguno"/>
          <w:vertAlign w:val="superscript"/>
        </w:rPr>
        <w:footnoteRef/>
      </w:r>
      <w:r>
        <w:rPr>
          <w:rStyle w:val="Ninguno"/>
          <w:sz w:val="20"/>
          <w:szCs w:val="20"/>
          <w:rtl w:val="0"/>
          <w:lang w:val="en-US"/>
        </w:rPr>
        <w:t xml:space="preserve"> David Lukoff, `The Diagnosis of Mystical Experiences with Psychotic Features`, </w:t>
      </w:r>
      <w:r>
        <w:rPr>
          <w:rStyle w:val="Ninguno"/>
          <w:i w:val="1"/>
          <w:iCs w:val="1"/>
          <w:sz w:val="20"/>
          <w:szCs w:val="20"/>
          <w:rtl w:val="0"/>
          <w:lang w:val="en-US"/>
        </w:rPr>
        <w:t>Journal of Transpersonal Psychology,</w:t>
      </w:r>
      <w:r>
        <w:rPr>
          <w:rStyle w:val="Ninguno"/>
          <w:sz w:val="20"/>
          <w:szCs w:val="20"/>
          <w:rtl w:val="0"/>
        </w:rPr>
        <w:t xml:space="preserve"> Vol. 17, No. 2 (1985),</w:t>
      </w:r>
      <w:r>
        <w:rPr>
          <w:rStyle w:val="Ninguno"/>
          <w:i w:val="1"/>
          <w:iCs w:val="1"/>
          <w:sz w:val="20"/>
          <w:szCs w:val="20"/>
          <w:rtl w:val="0"/>
        </w:rPr>
        <w:t xml:space="preserve"> </w:t>
      </w:r>
      <w:r>
        <w:rPr>
          <w:rStyle w:val="Ninguno"/>
          <w:sz w:val="20"/>
          <w:szCs w:val="20"/>
          <w:rtl w:val="0"/>
        </w:rPr>
        <w:t xml:space="preserve">pp. 55 </w:t>
      </w:r>
    </w:p>
  </w:footnote>
  <w:footnote w:id="157">
    <w:p>
      <w:pPr>
        <w:pStyle w:val="Cuerpo A"/>
        <w:spacing w:line="240" w:lineRule="auto"/>
      </w:pPr>
      <w:r>
        <w:rPr>
          <w:rStyle w:val="Ninguno"/>
          <w:vertAlign w:val="superscript"/>
        </w:rPr>
        <w:footnoteRef/>
      </w:r>
      <w:r>
        <w:rPr>
          <w:rStyle w:val="Ninguno"/>
          <w:sz w:val="20"/>
          <w:szCs w:val="20"/>
          <w:rtl w:val="0"/>
          <w:lang w:val="en-US"/>
        </w:rPr>
        <w:t xml:space="preserve"> Lawrence J. Dennis and J. Francis Powers, `</w:t>
      </w:r>
      <w:r>
        <w:rPr>
          <w:rStyle w:val="Ninguno"/>
          <w:i w:val="1"/>
          <w:iCs w:val="1"/>
          <w:sz w:val="20"/>
          <w:szCs w:val="20"/>
          <w:rtl w:val="0"/>
          <w:lang w:val="en-US"/>
        </w:rPr>
        <w:t xml:space="preserve">Dewey, Maslow, and Consummatory Experience`, </w:t>
      </w:r>
      <w:r>
        <w:rPr>
          <w:rStyle w:val="Ninguno"/>
          <w:sz w:val="20"/>
          <w:szCs w:val="20"/>
          <w:rtl w:val="0"/>
          <w:lang w:val="en-US"/>
        </w:rPr>
        <w:t>Journal of Aesthetic Education, Vol. 8, No. 4 (1974), pp.59</w:t>
      </w:r>
    </w:p>
  </w:footnote>
  <w:footnote w:id="15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Encyclopedia Britannica,`Abraham Maslow` https://www.britannica.com/biography/Abraham-H-Maslow, [accessed 02 January 2019]</w:t>
      </w:r>
    </w:p>
  </w:footnote>
  <w:footnote w:id="15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Very Well Mind, `Biography of Abraham Maslow`, https://www.verywellmind.com/biography-of-abraham-maslow-1908-1970-2795524, [accessed 02 January 2019]</w:t>
      </w:r>
    </w:p>
  </w:footnote>
  <w:footnote w:id="16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Lawrence J. Dennis and J. Francis Powers, `Dewey, Maslow, and Consummatory Experience`, </w:t>
      </w:r>
      <w:r>
        <w:rPr>
          <w:rStyle w:val="Ninguno"/>
          <w:i w:val="1"/>
          <w:iCs w:val="1"/>
          <w:sz w:val="20"/>
          <w:szCs w:val="20"/>
          <w:rtl w:val="0"/>
          <w:lang w:val="en-US"/>
        </w:rPr>
        <w:t>Journal of Aesthetic Education</w:t>
      </w:r>
      <w:r>
        <w:rPr>
          <w:rStyle w:val="Ninguno"/>
          <w:sz w:val="20"/>
          <w:szCs w:val="20"/>
          <w:rtl w:val="0"/>
          <w:lang w:val="it-IT"/>
        </w:rPr>
        <w:t>, Vol. 8, No. 4 (1974), pp.59</w:t>
      </w:r>
    </w:p>
  </w:footnote>
  <w:footnote w:id="16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David Lukoff, `The Diagnosis of Mystical Experiences with Psychotic Features`, </w:t>
      </w:r>
      <w:r>
        <w:rPr>
          <w:rStyle w:val="Ninguno"/>
          <w:i w:val="1"/>
          <w:iCs w:val="1"/>
          <w:sz w:val="20"/>
          <w:szCs w:val="20"/>
          <w:rtl w:val="0"/>
          <w:lang w:val="en-US"/>
        </w:rPr>
        <w:t xml:space="preserve">Journal of Transpersonal Psychology, </w:t>
      </w:r>
      <w:r>
        <w:rPr>
          <w:rStyle w:val="Ninguno"/>
          <w:sz w:val="20"/>
          <w:szCs w:val="20"/>
          <w:rtl w:val="0"/>
        </w:rPr>
        <w:t xml:space="preserve">Vol. 17, No. 2 (1985), pp. 55 </w:t>
      </w:r>
    </w:p>
  </w:footnote>
  <w:footnote w:id="16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Lawrence J. Dennis and J. Francis Powers, `Dewey, Maslow, and Consummatory Experience`, </w:t>
      </w:r>
      <w:r>
        <w:rPr>
          <w:rStyle w:val="Ninguno"/>
          <w:i w:val="1"/>
          <w:iCs w:val="1"/>
          <w:sz w:val="20"/>
          <w:szCs w:val="20"/>
          <w:rtl w:val="0"/>
          <w:lang w:val="en-US"/>
        </w:rPr>
        <w:t xml:space="preserve">Journal of Aesthetic Education, </w:t>
      </w:r>
      <w:r>
        <w:rPr>
          <w:rStyle w:val="Ninguno"/>
          <w:sz w:val="20"/>
          <w:szCs w:val="20"/>
          <w:rtl w:val="0"/>
          <w:lang w:val="it-IT"/>
        </w:rPr>
        <w:t>Vol. 8, No. 4 (1974), pp. 58</w:t>
      </w:r>
    </w:p>
  </w:footnote>
  <w:footnote w:id="16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Abraham Maslow, </w:t>
      </w:r>
      <w:r>
        <w:rPr>
          <w:rStyle w:val="Ninguno"/>
          <w:i w:val="1"/>
          <w:iCs w:val="1"/>
          <w:sz w:val="20"/>
          <w:szCs w:val="20"/>
          <w:rtl w:val="0"/>
          <w:lang w:val="en-US"/>
        </w:rPr>
        <w:t xml:space="preserve">Toward a Psychology of Being </w:t>
      </w:r>
      <w:r>
        <w:rPr>
          <w:rStyle w:val="Ninguno"/>
          <w:sz w:val="20"/>
          <w:szCs w:val="20"/>
          <w:rtl w:val="0"/>
          <w:lang w:val="en-US"/>
        </w:rPr>
        <w:t xml:space="preserve"> (New York: Van Nostrand Reinhold Company, 1968), pp. 97, cited in Lawrence J. Dennis and J. Francis Powers, `Dewey, Maslow, and Consummatory Experience`,</w:t>
      </w:r>
      <w:r>
        <w:rPr>
          <w:rStyle w:val="Ninguno"/>
          <w:i w:val="1"/>
          <w:iCs w:val="1"/>
          <w:sz w:val="20"/>
          <w:szCs w:val="20"/>
          <w:rtl w:val="0"/>
          <w:lang w:val="en-US"/>
        </w:rPr>
        <w:t xml:space="preserve"> Journal of Aesthetic Education,</w:t>
      </w:r>
      <w:r>
        <w:rPr>
          <w:rStyle w:val="Ninguno"/>
          <w:sz w:val="20"/>
          <w:szCs w:val="20"/>
          <w:rtl w:val="0"/>
          <w:lang w:val="it-IT"/>
        </w:rPr>
        <w:t xml:space="preserve"> Vol. 8, No. 4 (1974), pp. 61</w:t>
      </w:r>
    </w:p>
  </w:footnote>
  <w:footnote w:id="16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Dane Rudhyar, </w:t>
      </w:r>
      <w:r>
        <w:rPr>
          <w:rStyle w:val="Ninguno"/>
          <w:i w:val="1"/>
          <w:iCs w:val="1"/>
          <w:sz w:val="20"/>
          <w:szCs w:val="20"/>
          <w:rtl w:val="0"/>
          <w:lang w:val="en-US"/>
        </w:rPr>
        <w:t>Astrology of Personality</w:t>
      </w:r>
      <w:r>
        <w:rPr>
          <w:rStyle w:val="Ninguno"/>
          <w:sz w:val="20"/>
          <w:szCs w:val="20"/>
          <w:rtl w:val="0"/>
        </w:rPr>
        <w:t xml:space="preserve"> (USA: Aurora Press, 1991),  pp. 12-14</w:t>
      </w:r>
    </w:p>
  </w:footnote>
  <w:footnote w:id="16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Abraham Maslow, </w:t>
      </w:r>
      <w:r>
        <w:rPr>
          <w:rStyle w:val="Ninguno"/>
          <w:i w:val="1"/>
          <w:iCs w:val="1"/>
          <w:sz w:val="20"/>
          <w:szCs w:val="20"/>
          <w:rtl w:val="0"/>
          <w:lang w:val="en-US"/>
        </w:rPr>
        <w:t>Religion, Values and Peak Experience</w:t>
      </w:r>
      <w:r>
        <w:rPr>
          <w:rStyle w:val="Ninguno"/>
          <w:sz w:val="20"/>
          <w:szCs w:val="20"/>
          <w:rtl w:val="0"/>
          <w:lang w:val="en-US"/>
        </w:rPr>
        <w:t>s, (Canada: Rare Treasures, Kindle Edition, 1964), Loc. 837</w:t>
      </w:r>
    </w:p>
  </w:footnote>
  <w:footnote w:id="16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Astrology and Cosmology in the World</w:t>
      </w:r>
      <w:r>
        <w:rPr>
          <w:rStyle w:val="Ninguno"/>
          <w:rFonts w:ascii="Arial Unicode MS" w:hAnsi="Arial Unicode MS" w:hint="default"/>
          <w:sz w:val="20"/>
          <w:szCs w:val="20"/>
          <w:rtl w:val="1"/>
        </w:rPr>
        <w:t>’</w:t>
      </w:r>
      <w:r>
        <w:rPr>
          <w:rStyle w:val="Ninguno"/>
          <w:i w:val="1"/>
          <w:iCs w:val="1"/>
          <w:sz w:val="20"/>
          <w:szCs w:val="20"/>
          <w:rtl w:val="0"/>
          <w:lang w:val="en-US"/>
        </w:rPr>
        <w:t>s Religions`</w:t>
      </w:r>
      <w:r>
        <w:rPr>
          <w:rStyle w:val="Ninguno"/>
          <w:sz w:val="20"/>
          <w:szCs w:val="20"/>
          <w:rtl w:val="0"/>
          <w:lang w:val="en-US"/>
        </w:rPr>
        <w:t>, (New York: New York University Press, Kindle Edition, 2012), pp. 15</w:t>
      </w:r>
    </w:p>
  </w:footnote>
  <w:footnote w:id="16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w:t>
      </w:r>
      <w:r>
        <w:rPr>
          <w:rStyle w:val="Ninguno"/>
          <w:i w:val="1"/>
          <w:iCs w:val="1"/>
          <w:sz w:val="20"/>
          <w:szCs w:val="20"/>
          <w:rtl w:val="0"/>
          <w:lang w:val="de-DE"/>
        </w:rPr>
        <w:t>Jung</w:t>
      </w:r>
      <w:r>
        <w:rPr>
          <w:rStyle w:val="Ninguno"/>
          <w:i w:val="1"/>
          <w:iCs w:val="1"/>
          <w:sz w:val="20"/>
          <w:szCs w:val="20"/>
          <w:rtl w:val="0"/>
          <w:lang w:val="de-DE"/>
        </w:rPr>
        <w:t>´</w:t>
      </w:r>
      <w:r>
        <w:rPr>
          <w:rStyle w:val="Ninguno"/>
          <w:i w:val="1"/>
          <w:iCs w:val="1"/>
          <w:sz w:val="20"/>
          <w:szCs w:val="20"/>
          <w:rtl w:val="0"/>
          <w:lang w:val="en-US"/>
        </w:rPr>
        <w:t xml:space="preserve">s Studies in Astrology`, </w:t>
      </w:r>
      <w:r>
        <w:rPr>
          <w:rStyle w:val="Ninguno"/>
          <w:sz w:val="20"/>
          <w:szCs w:val="20"/>
          <w:rtl w:val="0"/>
          <w:lang w:val="en-US"/>
        </w:rPr>
        <w:t>(UK: Routledge, 2018), pp. 80</w:t>
      </w:r>
    </w:p>
  </w:footnote>
  <w:footnote w:id="16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Roderick Main, </w:t>
      </w:r>
      <w:r>
        <w:rPr>
          <w:rStyle w:val="Ninguno"/>
          <w:i w:val="1"/>
          <w:iCs w:val="1"/>
          <w:sz w:val="20"/>
          <w:szCs w:val="20"/>
          <w:rtl w:val="0"/>
          <w:lang w:val="en-US"/>
        </w:rPr>
        <w:t xml:space="preserve">Jung on Synchronicity and the Paranormal </w:t>
      </w:r>
      <w:r>
        <w:rPr>
          <w:rStyle w:val="Ninguno"/>
          <w:sz w:val="20"/>
          <w:szCs w:val="20"/>
          <w:rtl w:val="0"/>
          <w:lang w:val="en-US"/>
        </w:rPr>
        <w:t>(USA: Princeton University Press, 1997), pp. 84</w:t>
      </w:r>
    </w:p>
  </w:footnote>
  <w:footnote w:id="16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Abraham Maslow, </w:t>
      </w:r>
      <w:r>
        <w:rPr>
          <w:rStyle w:val="Ninguno"/>
          <w:i w:val="1"/>
          <w:iCs w:val="1"/>
          <w:sz w:val="20"/>
          <w:szCs w:val="20"/>
          <w:rtl w:val="0"/>
          <w:lang w:val="en-US"/>
        </w:rPr>
        <w:t>Religion, Values and Peak Experiences</w:t>
      </w:r>
      <w:r>
        <w:rPr>
          <w:rStyle w:val="Ninguno"/>
          <w:sz w:val="20"/>
          <w:szCs w:val="20"/>
          <w:rtl w:val="0"/>
        </w:rPr>
        <w:t>, Loc. 848</w:t>
      </w:r>
    </w:p>
  </w:footnote>
  <w:footnote w:id="17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Abraham Maslow, </w:t>
      </w:r>
      <w:r>
        <w:rPr>
          <w:rStyle w:val="Ninguno"/>
          <w:i w:val="1"/>
          <w:iCs w:val="1"/>
          <w:sz w:val="20"/>
          <w:szCs w:val="20"/>
          <w:rtl w:val="0"/>
          <w:lang w:val="en-US"/>
        </w:rPr>
        <w:t>Religion, Values and Peak Experiences</w:t>
      </w:r>
      <w:r>
        <w:rPr>
          <w:rStyle w:val="Ninguno"/>
          <w:sz w:val="20"/>
          <w:szCs w:val="20"/>
          <w:rtl w:val="0"/>
        </w:rPr>
        <w:t xml:space="preserve">, pp. 61 </w:t>
      </w:r>
    </w:p>
  </w:footnote>
  <w:footnote w:id="17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Abraham Maslow, </w:t>
      </w:r>
      <w:r>
        <w:rPr>
          <w:rStyle w:val="Ninguno"/>
          <w:i w:val="1"/>
          <w:iCs w:val="1"/>
          <w:sz w:val="20"/>
          <w:szCs w:val="20"/>
          <w:rtl w:val="0"/>
          <w:lang w:val="en-US"/>
        </w:rPr>
        <w:t>Religion, Values and Peak Experiences</w:t>
      </w:r>
      <w:r>
        <w:rPr>
          <w:rStyle w:val="Ninguno"/>
          <w:sz w:val="20"/>
          <w:szCs w:val="20"/>
          <w:rtl w:val="0"/>
        </w:rPr>
        <w:t>, Loc. 864</w:t>
      </w:r>
    </w:p>
  </w:footnote>
  <w:footnote w:id="17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w:t>
      </w:r>
      <w:r>
        <w:rPr>
          <w:rStyle w:val="Ninguno"/>
          <w:sz w:val="20"/>
          <w:szCs w:val="20"/>
          <w:rtl w:val="0"/>
        </w:rPr>
        <w:t>, pp. 11-12</w:t>
      </w:r>
    </w:p>
  </w:footnote>
  <w:footnote w:id="17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Dane Rudhyar, </w:t>
      </w:r>
      <w:r>
        <w:rPr>
          <w:rStyle w:val="Ninguno"/>
          <w:i w:val="1"/>
          <w:iCs w:val="1"/>
          <w:sz w:val="20"/>
          <w:szCs w:val="20"/>
          <w:rtl w:val="0"/>
          <w:lang w:val="en-US"/>
        </w:rPr>
        <w:t>Astrology of Personality</w:t>
      </w:r>
      <w:r>
        <w:rPr>
          <w:rStyle w:val="Ninguno"/>
          <w:sz w:val="20"/>
          <w:szCs w:val="20"/>
          <w:rtl w:val="0"/>
        </w:rPr>
        <w:t>, pp. 15</w:t>
      </w:r>
    </w:p>
  </w:footnote>
  <w:footnote w:id="17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Mircea Eliade, </w:t>
      </w:r>
      <w:r>
        <w:rPr>
          <w:rStyle w:val="Ninguno"/>
          <w:i w:val="1"/>
          <w:iCs w:val="1"/>
          <w:sz w:val="20"/>
          <w:szCs w:val="20"/>
          <w:rtl w:val="0"/>
          <w:lang w:val="en-US"/>
        </w:rPr>
        <w:t>The Sacred and the Profane</w:t>
      </w:r>
      <w:r>
        <w:rPr>
          <w:rStyle w:val="Ninguno"/>
          <w:sz w:val="20"/>
          <w:szCs w:val="20"/>
          <w:rtl w:val="0"/>
        </w:rPr>
        <w:t>, pp. 21</w:t>
      </w:r>
    </w:p>
  </w:footnote>
  <w:footnote w:id="17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Daniel Breslauer, `Maslow's Category of Peak-Experience and the Theological Critique of Religion`, IN </w:t>
      </w:r>
      <w:r>
        <w:rPr>
          <w:rStyle w:val="Ninguno"/>
          <w:i w:val="1"/>
          <w:iCs w:val="1"/>
          <w:sz w:val="20"/>
          <w:szCs w:val="20"/>
          <w:rtl w:val="0"/>
          <w:lang w:val="en-US"/>
        </w:rPr>
        <w:t>Review of Religious Research, Vol. 18, No. 1</w:t>
      </w:r>
      <w:r>
        <w:rPr>
          <w:rStyle w:val="Ninguno"/>
          <w:sz w:val="20"/>
          <w:szCs w:val="20"/>
          <w:rtl w:val="0"/>
        </w:rPr>
        <w:t xml:space="preserve"> (1976), pp. 54</w:t>
      </w:r>
    </w:p>
  </w:footnote>
  <w:footnote w:id="17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Lawrence J. Dennis and J. Francis Powers, `Dewey, Maslow, and Consummatory Experience`, </w:t>
      </w:r>
      <w:r>
        <w:rPr>
          <w:rStyle w:val="Ninguno"/>
          <w:i w:val="1"/>
          <w:iCs w:val="1"/>
          <w:sz w:val="20"/>
          <w:szCs w:val="20"/>
          <w:rtl w:val="0"/>
          <w:lang w:val="en-US"/>
        </w:rPr>
        <w:t xml:space="preserve">Journal of Aesthetic Education, </w:t>
      </w:r>
      <w:r>
        <w:rPr>
          <w:rStyle w:val="Ninguno"/>
          <w:sz w:val="20"/>
          <w:szCs w:val="20"/>
          <w:rtl w:val="0"/>
          <w:lang w:val="it-IT"/>
        </w:rPr>
        <w:t>Vol. 8, No. 4 (1974), pp. 60</w:t>
      </w:r>
    </w:p>
  </w:footnote>
  <w:footnote w:id="17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Abraham Maslow, </w:t>
      </w:r>
      <w:r>
        <w:rPr>
          <w:rStyle w:val="Ninguno"/>
          <w:i w:val="1"/>
          <w:iCs w:val="1"/>
          <w:sz w:val="20"/>
          <w:szCs w:val="20"/>
          <w:rtl w:val="0"/>
          <w:lang w:val="en-US"/>
        </w:rPr>
        <w:t>Religion, Values and Peak Experiences</w:t>
      </w:r>
      <w:r>
        <w:rPr>
          <w:rStyle w:val="Ninguno"/>
          <w:sz w:val="20"/>
          <w:szCs w:val="20"/>
          <w:rtl w:val="0"/>
        </w:rPr>
        <w:t>, Loc. 903</w:t>
      </w:r>
    </w:p>
  </w:footnote>
  <w:footnote w:id="17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Daniel Breslauer, `Maslow's Category of Peak-Experience and the Theological Critique of Religion`, </w:t>
      </w:r>
      <w:r>
        <w:rPr>
          <w:rStyle w:val="Ninguno"/>
          <w:i w:val="1"/>
          <w:iCs w:val="1"/>
          <w:sz w:val="20"/>
          <w:szCs w:val="20"/>
          <w:rtl w:val="0"/>
          <w:lang w:val="en-US"/>
        </w:rPr>
        <w:t xml:space="preserve">Review of Religious Research, </w:t>
      </w:r>
      <w:r>
        <w:rPr>
          <w:rStyle w:val="Ninguno"/>
          <w:sz w:val="20"/>
          <w:szCs w:val="20"/>
          <w:rtl w:val="0"/>
        </w:rPr>
        <w:t>Vol. 18, No. 1 (1976) pp. 54</w:t>
      </w:r>
    </w:p>
  </w:footnote>
  <w:footnote w:id="17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Abraham Maslow, </w:t>
      </w:r>
      <w:r>
        <w:rPr>
          <w:rStyle w:val="Ninguno"/>
          <w:i w:val="1"/>
          <w:iCs w:val="1"/>
          <w:sz w:val="20"/>
          <w:szCs w:val="20"/>
          <w:rtl w:val="0"/>
          <w:lang w:val="en-US"/>
        </w:rPr>
        <w:t>Religion, Values and Peak Experiences</w:t>
      </w:r>
      <w:r>
        <w:rPr>
          <w:rStyle w:val="Ninguno"/>
          <w:sz w:val="20"/>
          <w:szCs w:val="20"/>
          <w:rtl w:val="0"/>
        </w:rPr>
        <w:t>,  Loc. 911</w:t>
      </w:r>
    </w:p>
  </w:footnote>
  <w:footnote w:id="18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Lawrence J. Dennis and J. Francis Powers, `Dewey, Maslow, and Consummatory Experience`, </w:t>
      </w:r>
      <w:r>
        <w:rPr>
          <w:rStyle w:val="Ninguno"/>
          <w:i w:val="1"/>
          <w:iCs w:val="1"/>
          <w:sz w:val="20"/>
          <w:szCs w:val="20"/>
          <w:rtl w:val="0"/>
          <w:lang w:val="en-US"/>
        </w:rPr>
        <w:t xml:space="preserve">Journal of Aesthetic Education, </w:t>
      </w:r>
      <w:r>
        <w:rPr>
          <w:rStyle w:val="Ninguno"/>
          <w:sz w:val="20"/>
          <w:szCs w:val="20"/>
          <w:rtl w:val="0"/>
          <w:lang w:val="it-IT"/>
        </w:rPr>
        <w:t>Vol. 8, No. 4 (1974), pp. 60</w:t>
      </w:r>
    </w:p>
  </w:footnote>
  <w:footnote w:id="18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Daniel Breslauer, `Maslow's Category of Peak-Experience and the Theological Critique of Religion`, </w:t>
      </w:r>
      <w:r>
        <w:rPr>
          <w:rStyle w:val="Ninguno"/>
          <w:i w:val="1"/>
          <w:iCs w:val="1"/>
          <w:sz w:val="20"/>
          <w:szCs w:val="20"/>
          <w:rtl w:val="0"/>
          <w:lang w:val="en-US"/>
        </w:rPr>
        <w:t>Review of Religious Research</w:t>
      </w:r>
      <w:r>
        <w:rPr>
          <w:rStyle w:val="Ninguno"/>
          <w:sz w:val="20"/>
          <w:szCs w:val="20"/>
          <w:rtl w:val="0"/>
          <w:lang w:val="it-IT"/>
        </w:rPr>
        <w:t>, Vol. 18, No. 1 (1976), pp. 55</w:t>
      </w:r>
    </w:p>
  </w:footnote>
  <w:footnote w:id="18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Stanislav Grof, `Revision and Re-Enchantment of Psychology`, </w:t>
      </w:r>
      <w:r>
        <w:rPr>
          <w:rStyle w:val="Ninguno"/>
          <w:i w:val="1"/>
          <w:iCs w:val="1"/>
          <w:sz w:val="20"/>
          <w:szCs w:val="20"/>
          <w:rtl w:val="0"/>
          <w:lang w:val="en-US"/>
        </w:rPr>
        <w:t xml:space="preserve">The Journal of Transpersonal Psychology, </w:t>
      </w:r>
      <w:r>
        <w:rPr>
          <w:rStyle w:val="Ninguno"/>
          <w:sz w:val="20"/>
          <w:szCs w:val="20"/>
          <w:rtl w:val="0"/>
        </w:rPr>
        <w:t>Vol. 44, No. 2 (2012), pp. 137</w:t>
      </w:r>
    </w:p>
  </w:footnote>
  <w:footnote w:id="18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Abraham Maslow, </w:t>
      </w:r>
      <w:r>
        <w:rPr>
          <w:rStyle w:val="Ninguno"/>
          <w:i w:val="1"/>
          <w:iCs w:val="1"/>
          <w:sz w:val="20"/>
          <w:szCs w:val="20"/>
          <w:rtl w:val="0"/>
          <w:lang w:val="en-US"/>
        </w:rPr>
        <w:t>Religion, Values and Peak Experiences</w:t>
      </w:r>
      <w:r>
        <w:rPr>
          <w:rStyle w:val="Ninguno"/>
          <w:sz w:val="20"/>
          <w:szCs w:val="20"/>
          <w:rtl w:val="0"/>
          <w:lang w:val="en-US"/>
        </w:rPr>
        <w:t>, Loc. 837; Lawrence J. Dennis and J. Francis Powers, `Dewey, Maslow, and Consummatory Experience</w:t>
      </w:r>
      <w:r>
        <w:rPr>
          <w:rStyle w:val="Ninguno"/>
          <w:i w:val="1"/>
          <w:iCs w:val="1"/>
          <w:sz w:val="20"/>
          <w:szCs w:val="20"/>
          <w:rtl w:val="0"/>
          <w:lang w:val="en-US"/>
        </w:rPr>
        <w:t>`, Journal of Aesthetic Education,</w:t>
      </w:r>
      <w:r>
        <w:rPr>
          <w:rStyle w:val="Ninguno"/>
          <w:sz w:val="20"/>
          <w:szCs w:val="20"/>
          <w:rtl w:val="0"/>
          <w:lang w:val="it-IT"/>
        </w:rPr>
        <w:t xml:space="preserve"> Vol. 8, No. 4 (1974), pp. 59</w:t>
      </w:r>
    </w:p>
  </w:footnote>
  <w:footnote w:id="18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Abraham Maslow, </w:t>
      </w:r>
      <w:r>
        <w:rPr>
          <w:rStyle w:val="Ninguno"/>
          <w:i w:val="1"/>
          <w:iCs w:val="1"/>
          <w:sz w:val="20"/>
          <w:szCs w:val="20"/>
          <w:rtl w:val="0"/>
          <w:lang w:val="en-US"/>
        </w:rPr>
        <w:t>Religion, Values and Peak Experiences</w:t>
      </w:r>
      <w:r>
        <w:rPr>
          <w:rStyle w:val="Ninguno"/>
          <w:sz w:val="20"/>
          <w:szCs w:val="20"/>
          <w:rtl w:val="0"/>
        </w:rPr>
        <w:t>, Loc. 371</w:t>
      </w:r>
    </w:p>
  </w:footnote>
  <w:footnote w:id="18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Abraham Maslow, </w:t>
      </w:r>
      <w:r>
        <w:rPr>
          <w:rStyle w:val="Ninguno"/>
          <w:i w:val="1"/>
          <w:iCs w:val="1"/>
          <w:sz w:val="20"/>
          <w:szCs w:val="20"/>
          <w:rtl w:val="0"/>
          <w:lang w:val="en-US"/>
        </w:rPr>
        <w:t>Religion, Values and Peak Experiences</w:t>
      </w:r>
      <w:r>
        <w:rPr>
          <w:rStyle w:val="Ninguno"/>
          <w:sz w:val="20"/>
          <w:szCs w:val="20"/>
          <w:rtl w:val="0"/>
        </w:rPr>
        <w:t>, Loc. 822</w:t>
      </w:r>
    </w:p>
  </w:footnote>
  <w:footnote w:id="18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`Mystical Experiences Among Astrologers`, </w:t>
      </w:r>
      <w:r>
        <w:rPr>
          <w:rStyle w:val="Ninguno"/>
          <w:i w:val="1"/>
          <w:iCs w:val="1"/>
          <w:sz w:val="20"/>
          <w:szCs w:val="20"/>
          <w:rtl w:val="0"/>
          <w:lang w:val="en-US"/>
        </w:rPr>
        <w:t xml:space="preserve">Culture and Cosmos </w:t>
      </w:r>
      <w:r>
        <w:rPr>
          <w:rStyle w:val="Ninguno"/>
          <w:sz w:val="20"/>
          <w:szCs w:val="20"/>
          <w:rtl w:val="0"/>
        </w:rPr>
        <w:t>Vol.13, No. 2 (2009), pp. 3-32</w:t>
      </w:r>
    </w:p>
  </w:footnote>
  <w:footnote w:id="18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David Lukoff, `The Diagnosis of Mystical Experiences with Psychotic Features`, </w:t>
      </w:r>
      <w:r>
        <w:rPr>
          <w:rStyle w:val="Ninguno"/>
          <w:i w:val="1"/>
          <w:iCs w:val="1"/>
          <w:sz w:val="20"/>
          <w:szCs w:val="20"/>
          <w:rtl w:val="0"/>
          <w:lang w:val="en-US"/>
        </w:rPr>
        <w:t>Journal of Transpersonal Psychology,</w:t>
      </w:r>
      <w:r>
        <w:rPr>
          <w:rStyle w:val="Ninguno"/>
          <w:sz w:val="20"/>
          <w:szCs w:val="20"/>
          <w:rtl w:val="0"/>
        </w:rPr>
        <w:t xml:space="preserve"> Vol. 17, No. 2 (1985), pp. 155-181</w:t>
      </w:r>
    </w:p>
  </w:footnote>
  <w:footnote w:id="18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David Ray Griffin,</w:t>
      </w:r>
      <w:r>
        <w:rPr>
          <w:rStyle w:val="Ninguno"/>
          <w:i w:val="1"/>
          <w:iCs w:val="1"/>
          <w:sz w:val="20"/>
          <w:szCs w:val="20"/>
          <w:rtl w:val="0"/>
          <w:lang w:val="en-US"/>
        </w:rPr>
        <w:t xml:space="preserve"> Archetypal Process</w:t>
      </w:r>
      <w:r>
        <w:rPr>
          <w:rStyle w:val="Ninguno"/>
          <w:sz w:val="20"/>
          <w:szCs w:val="20"/>
          <w:rtl w:val="0"/>
          <w:lang w:val="en-US"/>
        </w:rPr>
        <w:t>, (USA: Northwestern University Press, 1989), pp.124</w:t>
      </w:r>
    </w:p>
  </w:footnote>
  <w:footnote w:id="18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David Ray Griffin, </w:t>
      </w:r>
      <w:r>
        <w:rPr>
          <w:rStyle w:val="Ninguno"/>
          <w:i w:val="1"/>
          <w:iCs w:val="1"/>
          <w:sz w:val="20"/>
          <w:szCs w:val="20"/>
          <w:rtl w:val="0"/>
          <w:lang w:val="en-US"/>
        </w:rPr>
        <w:t>Archetypal Process</w:t>
      </w:r>
      <w:r>
        <w:rPr>
          <w:rStyle w:val="Ninguno"/>
          <w:sz w:val="20"/>
          <w:szCs w:val="20"/>
          <w:rtl w:val="0"/>
        </w:rPr>
        <w:t>, pp. 226</w:t>
      </w:r>
    </w:p>
  </w:footnote>
  <w:footnote w:id="19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David Ray Griffin, </w:t>
      </w:r>
      <w:r>
        <w:rPr>
          <w:rStyle w:val="Ninguno"/>
          <w:i w:val="1"/>
          <w:iCs w:val="1"/>
          <w:sz w:val="20"/>
          <w:szCs w:val="20"/>
          <w:rtl w:val="0"/>
          <w:lang w:val="en-US"/>
        </w:rPr>
        <w:t>Archetypal Process,</w:t>
      </w:r>
      <w:r>
        <w:rPr>
          <w:rStyle w:val="Ninguno"/>
          <w:sz w:val="20"/>
          <w:szCs w:val="20"/>
          <w:rtl w:val="0"/>
        </w:rPr>
        <w:t xml:space="preserve"> pp. 243</w:t>
      </w:r>
    </w:p>
  </w:footnote>
  <w:footnote w:id="19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lang w:val="en-US"/>
        </w:rPr>
        <w:t>Synchronicity: An Acausal Connecting Principle</w:t>
      </w:r>
      <w:r>
        <w:rPr>
          <w:rStyle w:val="Ninguno"/>
          <w:sz w:val="20"/>
          <w:szCs w:val="20"/>
          <w:rtl w:val="0"/>
          <w:lang w:val="en-US"/>
        </w:rPr>
        <w:t>, The Collected Works Vol. 8 (USA: Princeton University Press, 1969), pp.115;  Roderick Main,</w:t>
      </w:r>
      <w:r>
        <w:rPr>
          <w:rStyle w:val="Ninguno"/>
          <w:i w:val="1"/>
          <w:iCs w:val="1"/>
          <w:sz w:val="20"/>
          <w:szCs w:val="20"/>
          <w:rtl w:val="0"/>
          <w:lang w:val="en-US"/>
        </w:rPr>
        <w:t xml:space="preserve"> Jung on Synchronicity and the Paranormal </w:t>
      </w:r>
      <w:r>
        <w:rPr>
          <w:rStyle w:val="Ninguno"/>
          <w:sz w:val="20"/>
          <w:szCs w:val="20"/>
          <w:rtl w:val="0"/>
          <w:lang w:val="en-US"/>
        </w:rPr>
        <w:t>(USA: Princeton University Press, 1997), pp. 88</w:t>
      </w:r>
    </w:p>
  </w:footnote>
  <w:footnote w:id="19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Richard Tarnas, </w:t>
      </w:r>
      <w:r>
        <w:rPr>
          <w:rStyle w:val="Ninguno"/>
          <w:i w:val="1"/>
          <w:iCs w:val="1"/>
          <w:sz w:val="20"/>
          <w:szCs w:val="20"/>
          <w:rtl w:val="0"/>
          <w:lang w:val="en-US"/>
        </w:rPr>
        <w:t>The Passion of the Western Mind</w:t>
      </w:r>
      <w:r>
        <w:rPr>
          <w:rStyle w:val="Ninguno"/>
          <w:sz w:val="20"/>
          <w:szCs w:val="20"/>
          <w:rtl w:val="0"/>
        </w:rPr>
        <w:t>, Loc. 7740</w:t>
      </w:r>
    </w:p>
  </w:footnote>
  <w:footnote w:id="19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Richard Tarnas, </w:t>
      </w:r>
      <w:r>
        <w:rPr>
          <w:rStyle w:val="Ninguno"/>
          <w:i w:val="1"/>
          <w:iCs w:val="1"/>
          <w:sz w:val="20"/>
          <w:szCs w:val="20"/>
          <w:rtl w:val="0"/>
          <w:lang w:val="en-US"/>
        </w:rPr>
        <w:t>The Passion of the Western Mind</w:t>
      </w:r>
      <w:r>
        <w:rPr>
          <w:rStyle w:val="Ninguno"/>
          <w:sz w:val="20"/>
          <w:szCs w:val="20"/>
          <w:rtl w:val="0"/>
        </w:rPr>
        <w:t>, Loc. 6998</w:t>
      </w:r>
    </w:p>
  </w:footnote>
  <w:footnote w:id="19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lang w:val="en-US"/>
        </w:rPr>
        <w:t>Synchronicity: An Acausal Connecting Principle</w:t>
      </w:r>
      <w:r>
        <w:rPr>
          <w:rStyle w:val="Ninguno"/>
          <w:sz w:val="20"/>
          <w:szCs w:val="20"/>
          <w:rtl w:val="0"/>
          <w:lang w:val="en-US"/>
        </w:rPr>
        <w:t>, The Collected Works Vol. 8 (USA: Princeton University Press, 1969), pp.111</w:t>
      </w:r>
    </w:p>
  </w:footnote>
  <w:footnote w:id="19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Carl Jung, </w:t>
      </w:r>
      <w:r>
        <w:rPr>
          <w:rStyle w:val="Ninguno"/>
          <w:i w:val="1"/>
          <w:iCs w:val="1"/>
          <w:sz w:val="20"/>
          <w:szCs w:val="20"/>
          <w:rtl w:val="0"/>
          <w:lang w:val="en-US"/>
        </w:rPr>
        <w:t>Synchronicity: An Acausal Connecting Principle</w:t>
      </w:r>
      <w:r>
        <w:rPr>
          <w:rStyle w:val="Ninguno"/>
          <w:sz w:val="20"/>
          <w:szCs w:val="20"/>
          <w:rtl w:val="0"/>
        </w:rPr>
        <w:t>, pp.126</w:t>
      </w:r>
    </w:p>
  </w:footnote>
  <w:footnote w:id="19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Stanislav Grof, `Revision and Re-Enchantment of Psychology`, </w:t>
      </w:r>
      <w:r>
        <w:rPr>
          <w:rStyle w:val="Ninguno"/>
          <w:i w:val="1"/>
          <w:iCs w:val="1"/>
          <w:sz w:val="20"/>
          <w:szCs w:val="20"/>
          <w:rtl w:val="0"/>
          <w:lang w:val="en-US"/>
        </w:rPr>
        <w:t xml:space="preserve">The Journal of Transpersonal Psychology, </w:t>
      </w:r>
      <w:r>
        <w:rPr>
          <w:rStyle w:val="Ninguno"/>
          <w:sz w:val="20"/>
          <w:szCs w:val="20"/>
          <w:rtl w:val="0"/>
        </w:rPr>
        <w:t>Vol. 44, No. 2 (2012), pp.157-161</w:t>
      </w:r>
    </w:p>
  </w:footnote>
  <w:footnote w:id="19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Stanislav Grof, `Revision and Re-Enchantment of Psychology`, </w:t>
      </w:r>
      <w:r>
        <w:rPr>
          <w:rStyle w:val="Ninguno"/>
          <w:i w:val="1"/>
          <w:iCs w:val="1"/>
          <w:sz w:val="20"/>
          <w:szCs w:val="20"/>
          <w:rtl w:val="0"/>
          <w:lang w:val="en-US"/>
        </w:rPr>
        <w:t xml:space="preserve">The Journal of Transpersonal Psychology, </w:t>
      </w:r>
      <w:r>
        <w:rPr>
          <w:rStyle w:val="Ninguno"/>
          <w:sz w:val="20"/>
          <w:szCs w:val="20"/>
          <w:rtl w:val="0"/>
        </w:rPr>
        <w:t>Vol. 44, No. 2 (2012), pp.157-161</w:t>
      </w:r>
    </w:p>
  </w:footnote>
  <w:footnote w:id="19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Stanislav Grof, `Revision and Re-Enchantment of Psychology`, </w:t>
      </w:r>
      <w:r>
        <w:rPr>
          <w:rStyle w:val="Ninguno"/>
          <w:i w:val="1"/>
          <w:iCs w:val="1"/>
          <w:sz w:val="20"/>
          <w:szCs w:val="20"/>
          <w:rtl w:val="0"/>
          <w:lang w:val="en-US"/>
        </w:rPr>
        <w:t xml:space="preserve">The Journal of Transpersonal Psychology, </w:t>
      </w:r>
      <w:r>
        <w:rPr>
          <w:rStyle w:val="Ninguno"/>
          <w:sz w:val="20"/>
          <w:szCs w:val="20"/>
          <w:rtl w:val="0"/>
        </w:rPr>
        <w:t>Vol. 44, No. 2 (2012), pp.157-161</w:t>
      </w:r>
    </w:p>
  </w:footnote>
  <w:footnote w:id="19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Stanislav Grof, `Revision and Re-Enchantment of Psychology`, </w:t>
      </w:r>
      <w:r>
        <w:rPr>
          <w:rStyle w:val="Ninguno"/>
          <w:i w:val="1"/>
          <w:iCs w:val="1"/>
          <w:sz w:val="20"/>
          <w:szCs w:val="20"/>
          <w:rtl w:val="0"/>
          <w:lang w:val="en-US"/>
        </w:rPr>
        <w:t xml:space="preserve">The Journal of Transpersonal Psychology, </w:t>
      </w:r>
      <w:r>
        <w:rPr>
          <w:rStyle w:val="Ninguno"/>
          <w:sz w:val="20"/>
          <w:szCs w:val="20"/>
          <w:rtl w:val="0"/>
        </w:rPr>
        <w:t>Vol. 44, No. 2 (2012), pp.157-161</w:t>
      </w:r>
    </w:p>
  </w:footnote>
  <w:footnote w:id="20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Stanislav Grof, `Revision and Re-Enchantment of Psychology`, </w:t>
      </w:r>
      <w:r>
        <w:rPr>
          <w:rStyle w:val="Ninguno"/>
          <w:i w:val="1"/>
          <w:iCs w:val="1"/>
          <w:sz w:val="20"/>
          <w:szCs w:val="20"/>
          <w:rtl w:val="0"/>
          <w:lang w:val="en-US"/>
        </w:rPr>
        <w:t xml:space="preserve">The Journal of Transpersonal Psychology, </w:t>
      </w:r>
      <w:r>
        <w:rPr>
          <w:rStyle w:val="Ninguno"/>
          <w:sz w:val="20"/>
          <w:szCs w:val="20"/>
          <w:rtl w:val="0"/>
        </w:rPr>
        <w:t>Vol. 44, No. 2 (2012), pp.157-161</w:t>
      </w:r>
    </w:p>
  </w:footnote>
  <w:footnote w:id="20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Jorge Ferrer, `</w:t>
      </w:r>
      <w:r>
        <w:rPr>
          <w:rStyle w:val="Ninguno"/>
          <w:i w:val="1"/>
          <w:iCs w:val="1"/>
          <w:sz w:val="20"/>
          <w:szCs w:val="20"/>
          <w:rtl w:val="0"/>
          <w:lang w:val="en-US"/>
        </w:rPr>
        <w:t>Participatory Spirituality and Transpersonal Theory`</w:t>
      </w:r>
      <w:r>
        <w:rPr>
          <w:rStyle w:val="Ninguno"/>
          <w:sz w:val="20"/>
          <w:szCs w:val="20"/>
          <w:rtl w:val="0"/>
        </w:rPr>
        <w:t xml:space="preserve">, </w:t>
      </w:r>
      <w:r>
        <w:rPr>
          <w:rStyle w:val="Ninguno"/>
          <w:i w:val="1"/>
          <w:iCs w:val="1"/>
          <w:sz w:val="20"/>
          <w:szCs w:val="20"/>
          <w:rtl w:val="0"/>
          <w:lang w:val="en-US"/>
        </w:rPr>
        <w:t>The Journal of Transpersonal Psychology,,</w:t>
      </w:r>
      <w:r>
        <w:rPr>
          <w:rStyle w:val="Ninguno"/>
          <w:sz w:val="20"/>
          <w:szCs w:val="20"/>
          <w:rtl w:val="0"/>
        </w:rPr>
        <w:t xml:space="preserve"> Vol. 43, No. 1 (2011), pp.16</w:t>
      </w:r>
    </w:p>
  </w:footnote>
  <w:footnote w:id="20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Jorge Ferrer, `Participatory Spirituality and Transpersonal Theory`, pp.16</w:t>
      </w:r>
    </w:p>
  </w:footnote>
  <w:footnote w:id="20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Jorge Ferrer, `Participatory Spirituality and Transpersonal Theory`, pp. 11</w:t>
      </w:r>
    </w:p>
  </w:footnote>
  <w:footnote w:id="20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Jorge Ferrer, `Participatory Spirituality and Transpersonal Theory`, pp. 11</w:t>
      </w:r>
    </w:p>
  </w:footnote>
  <w:footnote w:id="20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Interview with Jorge Ferrer </w:t>
      </w:r>
      <w:r>
        <w:rPr>
          <w:rStyle w:val="Ninguno"/>
          <w:outline w:val="0"/>
          <w:color w:val="1155cc"/>
          <w:sz w:val="20"/>
          <w:szCs w:val="20"/>
          <w:u w:val="single" w:color="1155cc"/>
          <w:rtl w:val="0"/>
          <w:lang w:val="en-US"/>
          <w14:textFill>
            <w14:solidFill>
              <w14:srgbClr w14:val="1155CC"/>
            </w14:solidFill>
          </w14:textFill>
        </w:rPr>
        <w:t>https://youtu.be/TISHqqXZ6C0</w:t>
      </w:r>
      <w:r>
        <w:rPr>
          <w:rStyle w:val="Ninguno"/>
          <w:sz w:val="20"/>
          <w:szCs w:val="20"/>
          <w:rtl w:val="0"/>
          <w:lang w:val="en-US"/>
        </w:rPr>
        <w:t xml:space="preserve"> [accessed 13 February 2021]</w:t>
      </w:r>
    </w:p>
  </w:footnote>
  <w:footnote w:id="20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Interview with Jorge Ferrer </w:t>
      </w:r>
      <w:r>
        <w:rPr>
          <w:rStyle w:val="Hyperlink.0"/>
        </w:rPr>
        <w:fldChar w:fldCharType="begin" w:fldLock="0"/>
      </w:r>
      <w:r>
        <w:rPr>
          <w:rStyle w:val="Hyperlink.0"/>
        </w:rPr>
        <w:instrText xml:space="preserve"> HYPERLINK "https://youtu.be/TISHqqXZ6C0"</w:instrText>
      </w:r>
      <w:r>
        <w:rPr>
          <w:rStyle w:val="Hyperlink.0"/>
        </w:rPr>
        <w:fldChar w:fldCharType="separate" w:fldLock="0"/>
      </w:r>
      <w:r>
        <w:rPr>
          <w:rStyle w:val="Hyperlink.0"/>
          <w:rtl w:val="0"/>
          <w:lang w:val="en-US"/>
        </w:rPr>
        <w:t>https://youtu.be/TISHqqXZ6C0</w:t>
      </w:r>
      <w:r>
        <w:rPr/>
        <w:fldChar w:fldCharType="end" w:fldLock="0"/>
      </w:r>
      <w:r>
        <w:rPr>
          <w:rStyle w:val="Ninguno"/>
          <w:sz w:val="20"/>
          <w:szCs w:val="20"/>
          <w:rtl w:val="0"/>
          <w:lang w:val="en-US"/>
        </w:rPr>
        <w:t xml:space="preserve"> [accessed 13 February 2021]</w:t>
      </w:r>
    </w:p>
  </w:footnote>
  <w:footnote w:id="20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The Passion of the Western Mind</w:t>
      </w:r>
      <w:r>
        <w:rPr>
          <w:rStyle w:val="Ninguno"/>
          <w:sz w:val="20"/>
          <w:szCs w:val="20"/>
          <w:rtl w:val="0"/>
        </w:rPr>
        <w:t>, pp. 435</w:t>
      </w:r>
    </w:p>
  </w:footnote>
  <w:footnote w:id="208">
    <w:p>
      <w:pPr>
        <w:pStyle w:val="Cuerpo A"/>
        <w:spacing w:line="240" w:lineRule="auto"/>
      </w:pPr>
      <w:r>
        <w:rPr>
          <w:rStyle w:val="Ninguno"/>
          <w:rFonts w:ascii="EB Garamond" w:cs="EB Garamond" w:hAnsi="EB Garamond" w:eastAsia="EB Garamond"/>
          <w:sz w:val="28"/>
          <w:szCs w:val="28"/>
          <w:vertAlign w:val="superscript"/>
        </w:rPr>
        <w:footnoteRef/>
      </w:r>
      <w:r>
        <w:rPr>
          <w:rStyle w:val="Ninguno A"/>
          <w:rtl w:val="0"/>
        </w:rPr>
        <w:t xml:space="preserve"> </w:t>
      </w:r>
      <w:r>
        <w:rPr>
          <w:rStyle w:val="Ninguno"/>
          <w:sz w:val="20"/>
          <w:szCs w:val="20"/>
          <w:rtl w:val="0"/>
          <w:lang w:val="pt-PT"/>
        </w:rPr>
        <w:t xml:space="preserve">Richard Tarnas, </w:t>
      </w:r>
      <w:r>
        <w:rPr>
          <w:rStyle w:val="Ninguno"/>
          <w:i w:val="1"/>
          <w:iCs w:val="1"/>
          <w:sz w:val="20"/>
          <w:szCs w:val="20"/>
          <w:rtl w:val="0"/>
          <w:lang w:val="en-US"/>
        </w:rPr>
        <w:t>The Passion of the Western Mind</w:t>
      </w:r>
      <w:r>
        <w:rPr>
          <w:rStyle w:val="Ninguno"/>
          <w:sz w:val="20"/>
          <w:szCs w:val="20"/>
          <w:rtl w:val="0"/>
        </w:rPr>
        <w:t>, p</w:t>
      </w:r>
      <w:r>
        <w:rPr>
          <w:rStyle w:val="Ninguno A"/>
          <w:rtl w:val="0"/>
        </w:rPr>
        <w:t>p. 491</w:t>
      </w:r>
    </w:p>
  </w:footnote>
  <w:footnote w:id="20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Angela Voss, </w:t>
      </w:r>
      <w:r>
        <w:rPr>
          <w:rStyle w:val="Ninguno"/>
          <w:sz w:val="20"/>
          <w:szCs w:val="20"/>
          <w:rtl w:val="0"/>
          <w:lang w:val="de-DE"/>
        </w:rPr>
        <w:t>´</w:t>
      </w:r>
      <w:r>
        <w:rPr>
          <w:rStyle w:val="Ninguno"/>
          <w:sz w:val="20"/>
          <w:szCs w:val="20"/>
          <w:rtl w:val="0"/>
          <w:lang w:val="en-US"/>
        </w:rPr>
        <w:t xml:space="preserve">A Methodology of the Imagination`, </w:t>
      </w:r>
      <w:r>
        <w:rPr>
          <w:rStyle w:val="Ninguno"/>
          <w:i w:val="1"/>
          <w:iCs w:val="1"/>
          <w:sz w:val="20"/>
          <w:szCs w:val="20"/>
          <w:rtl w:val="0"/>
          <w:lang w:val="en-US"/>
        </w:rPr>
        <w:t xml:space="preserve">Eye of the Heart: A Journal of Traditional Wisdom, </w:t>
      </w:r>
      <w:r>
        <w:rPr>
          <w:rStyle w:val="Ninguno"/>
          <w:sz w:val="20"/>
          <w:szCs w:val="20"/>
          <w:rtl w:val="0"/>
        </w:rPr>
        <w:t>(2009),  pp. 42</w:t>
      </w:r>
    </w:p>
  </w:footnote>
  <w:footnote w:id="21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The Passion of the Western Mind</w:t>
      </w:r>
      <w:r>
        <w:rPr>
          <w:rStyle w:val="Ninguno"/>
          <w:sz w:val="20"/>
          <w:szCs w:val="20"/>
          <w:rtl w:val="0"/>
        </w:rPr>
        <w:t>, pp. 435</w:t>
      </w:r>
    </w:p>
  </w:footnote>
  <w:footnote w:id="21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The Passion of the Western Mind</w:t>
      </w:r>
      <w:r>
        <w:rPr>
          <w:rStyle w:val="Ninguno"/>
          <w:sz w:val="20"/>
          <w:szCs w:val="20"/>
          <w:rtl w:val="0"/>
        </w:rPr>
        <w:t>, pp. 437</w:t>
      </w:r>
    </w:p>
  </w:footnote>
  <w:footnote w:id="21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Lucien L</w:t>
      </w:r>
      <w:r>
        <w:rPr>
          <w:rStyle w:val="Ninguno"/>
          <w:sz w:val="20"/>
          <w:szCs w:val="20"/>
          <w:rtl w:val="0"/>
          <w:lang w:val="fr-FR"/>
        </w:rPr>
        <w:t>é</w:t>
      </w:r>
      <w:r>
        <w:rPr>
          <w:rStyle w:val="Ninguno"/>
          <w:sz w:val="20"/>
          <w:szCs w:val="20"/>
          <w:rtl w:val="0"/>
          <w:lang w:val="de-DE"/>
        </w:rPr>
        <w:t xml:space="preserve">vy-Bruhl, </w:t>
      </w:r>
      <w:r>
        <w:rPr>
          <w:rStyle w:val="Ninguno"/>
          <w:i w:val="1"/>
          <w:iCs w:val="1"/>
          <w:sz w:val="20"/>
          <w:szCs w:val="20"/>
          <w:rtl w:val="0"/>
          <w:lang w:val="en-US"/>
        </w:rPr>
        <w:t>How Natives Think</w:t>
      </w:r>
      <w:r>
        <w:rPr>
          <w:rStyle w:val="Ninguno"/>
          <w:sz w:val="20"/>
          <w:szCs w:val="20"/>
          <w:rtl w:val="0"/>
          <w:lang w:val="en-US"/>
        </w:rPr>
        <w:t xml:space="preserve">, (Ravenio Books, Kindle Edition, 2015), pp. 336-337 </w:t>
      </w:r>
    </w:p>
  </w:footnote>
  <w:footnote w:id="21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Becca Tarnas, </w:t>
      </w:r>
      <w:r>
        <w:rPr>
          <w:rStyle w:val="Ninguno"/>
          <w:i w:val="1"/>
          <w:iCs w:val="1"/>
          <w:sz w:val="20"/>
          <w:szCs w:val="20"/>
          <w:rtl w:val="0"/>
          <w:lang w:val="en-US"/>
        </w:rPr>
        <w:t>The Back of Beyond: The Red Books of C.G. Jung and J.R.R. Tolkien</w:t>
      </w:r>
      <w:r>
        <w:rPr>
          <w:rStyle w:val="Ninguno"/>
          <w:sz w:val="20"/>
          <w:szCs w:val="20"/>
          <w:rtl w:val="0"/>
          <w:lang w:val="en-US"/>
        </w:rPr>
        <w:t xml:space="preserve"> https://youtu.be/3soOYajHUBM</w:t>
      </w:r>
    </w:p>
  </w:footnote>
  <w:footnote w:id="21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Astrology and Cosmology in the World</w:t>
      </w:r>
      <w:r>
        <w:rPr>
          <w:rStyle w:val="Ninguno"/>
          <w:rFonts w:ascii="Arial Unicode MS" w:hAnsi="Arial Unicode MS" w:hint="default"/>
          <w:sz w:val="20"/>
          <w:szCs w:val="20"/>
          <w:rtl w:val="1"/>
        </w:rPr>
        <w:t>’</w:t>
      </w:r>
      <w:r>
        <w:rPr>
          <w:rStyle w:val="Ninguno"/>
          <w:i w:val="1"/>
          <w:iCs w:val="1"/>
          <w:sz w:val="20"/>
          <w:szCs w:val="20"/>
          <w:rtl w:val="0"/>
          <w:lang w:val="fr-FR"/>
        </w:rPr>
        <w:t xml:space="preserve">s Religions, </w:t>
      </w:r>
      <w:r>
        <w:rPr>
          <w:rStyle w:val="Ninguno"/>
          <w:sz w:val="20"/>
          <w:szCs w:val="20"/>
          <w:rtl w:val="0"/>
        </w:rPr>
        <w:t>pp. 59</w:t>
      </w:r>
    </w:p>
  </w:footnote>
  <w:footnote w:id="21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 History of Western Astrology</w:t>
      </w:r>
      <w:r>
        <w:rPr>
          <w:rStyle w:val="Ninguno"/>
          <w:sz w:val="20"/>
          <w:szCs w:val="20"/>
          <w:rtl w:val="0"/>
          <w:lang w:val="nl-NL"/>
        </w:rPr>
        <w:t>, Vol. I, (London: Continuum, 2008), pp.119</w:t>
      </w:r>
    </w:p>
  </w:footnote>
  <w:footnote w:id="21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Nicholas Campion, </w:t>
      </w:r>
      <w:r>
        <w:rPr>
          <w:rStyle w:val="Ninguno"/>
          <w:i w:val="1"/>
          <w:iCs w:val="1"/>
          <w:sz w:val="20"/>
          <w:szCs w:val="20"/>
          <w:rtl w:val="0"/>
          <w:lang w:val="en-US"/>
        </w:rPr>
        <w:t>Astrology and Cosmology in the World</w:t>
      </w:r>
      <w:r>
        <w:rPr>
          <w:rStyle w:val="Ninguno"/>
          <w:rFonts w:ascii="Arial Unicode MS" w:hAnsi="Arial Unicode MS" w:hint="default"/>
          <w:sz w:val="20"/>
          <w:szCs w:val="20"/>
          <w:rtl w:val="1"/>
        </w:rPr>
        <w:t>’</w:t>
      </w:r>
      <w:r>
        <w:rPr>
          <w:rStyle w:val="Ninguno"/>
          <w:i w:val="1"/>
          <w:iCs w:val="1"/>
          <w:sz w:val="20"/>
          <w:szCs w:val="20"/>
          <w:rtl w:val="0"/>
          <w:lang w:val="fr-FR"/>
        </w:rPr>
        <w:t>s Religions,</w:t>
      </w:r>
      <w:r>
        <w:rPr>
          <w:rStyle w:val="Ninguno"/>
          <w:sz w:val="20"/>
          <w:szCs w:val="20"/>
          <w:rtl w:val="0"/>
        </w:rPr>
        <w:t xml:space="preserve"> Loc. 120</w:t>
      </w:r>
    </w:p>
  </w:footnote>
  <w:footnote w:id="21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`Mystical Experiences Among Astrologers`, </w:t>
      </w:r>
      <w:r>
        <w:rPr>
          <w:rStyle w:val="Ninguno"/>
          <w:i w:val="1"/>
          <w:iCs w:val="1"/>
          <w:sz w:val="20"/>
          <w:szCs w:val="20"/>
          <w:rtl w:val="0"/>
          <w:lang w:val="en-US"/>
        </w:rPr>
        <w:t>Culture and Cosmos</w:t>
      </w:r>
      <w:r>
        <w:rPr>
          <w:rStyle w:val="Ninguno"/>
          <w:sz w:val="20"/>
          <w:szCs w:val="20"/>
          <w:rtl w:val="0"/>
        </w:rPr>
        <w:t xml:space="preserve"> Vol.13, No. 2 (2009), pp. 3</w:t>
      </w:r>
    </w:p>
  </w:footnote>
  <w:footnote w:id="21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Astrology and Cosmology in the World</w:t>
      </w:r>
      <w:r>
        <w:rPr>
          <w:rStyle w:val="Ninguno"/>
          <w:rFonts w:ascii="Arial Unicode MS" w:hAnsi="Arial Unicode MS" w:hint="default"/>
          <w:sz w:val="20"/>
          <w:szCs w:val="20"/>
          <w:rtl w:val="1"/>
        </w:rPr>
        <w:t>’</w:t>
      </w:r>
      <w:r>
        <w:rPr>
          <w:rStyle w:val="Ninguno"/>
          <w:i w:val="1"/>
          <w:iCs w:val="1"/>
          <w:sz w:val="20"/>
          <w:szCs w:val="20"/>
          <w:rtl w:val="0"/>
          <w:lang w:val="fr-FR"/>
        </w:rPr>
        <w:t>s Religions,</w:t>
      </w:r>
      <w:r>
        <w:rPr>
          <w:rStyle w:val="Ninguno"/>
          <w:sz w:val="20"/>
          <w:szCs w:val="20"/>
          <w:rtl w:val="0"/>
        </w:rPr>
        <w:t xml:space="preserve"> pp. 51</w:t>
      </w:r>
    </w:p>
  </w:footnote>
  <w:footnote w:id="21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Nicholas Campion, A</w:t>
      </w:r>
      <w:r>
        <w:rPr>
          <w:rStyle w:val="Ninguno"/>
          <w:i w:val="1"/>
          <w:iCs w:val="1"/>
          <w:sz w:val="20"/>
          <w:szCs w:val="20"/>
          <w:rtl w:val="0"/>
          <w:lang w:val="en-US"/>
        </w:rPr>
        <w:t>strology and Cosmology in the World</w:t>
      </w:r>
      <w:r>
        <w:rPr>
          <w:rStyle w:val="Ninguno"/>
          <w:i w:val="1"/>
          <w:iCs w:val="1"/>
          <w:sz w:val="20"/>
          <w:szCs w:val="20"/>
          <w:rtl w:val="0"/>
          <w:lang w:val="de-DE"/>
        </w:rPr>
        <w:t>´</w:t>
      </w:r>
      <w:r>
        <w:rPr>
          <w:rStyle w:val="Ninguno"/>
          <w:i w:val="1"/>
          <w:iCs w:val="1"/>
          <w:sz w:val="20"/>
          <w:szCs w:val="20"/>
          <w:rtl w:val="0"/>
          <w:lang w:val="it-IT"/>
        </w:rPr>
        <w:t>s Religion</w:t>
      </w:r>
      <w:r>
        <w:rPr>
          <w:rStyle w:val="Ninguno"/>
          <w:sz w:val="20"/>
          <w:szCs w:val="20"/>
          <w:rtl w:val="0"/>
        </w:rPr>
        <w:t>, Loc. 241</w:t>
      </w:r>
    </w:p>
  </w:footnote>
  <w:footnote w:id="22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Richard Tarnas, </w:t>
      </w:r>
      <w:r>
        <w:rPr>
          <w:rStyle w:val="Ninguno"/>
          <w:i w:val="1"/>
          <w:iCs w:val="1"/>
          <w:sz w:val="20"/>
          <w:szCs w:val="20"/>
          <w:rtl w:val="0"/>
          <w:lang w:val="en-US"/>
        </w:rPr>
        <w:t>Cosmos &amp; Psyche</w:t>
      </w:r>
      <w:r>
        <w:rPr>
          <w:rStyle w:val="Ninguno"/>
          <w:sz w:val="20"/>
          <w:szCs w:val="20"/>
          <w:rtl w:val="0"/>
        </w:rPr>
        <w:t>, pp. 57</w:t>
      </w:r>
    </w:p>
  </w:footnote>
  <w:footnote w:id="22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Richard Tarnas, </w:t>
      </w:r>
      <w:r>
        <w:rPr>
          <w:rStyle w:val="Ninguno"/>
          <w:i w:val="1"/>
          <w:iCs w:val="1"/>
          <w:sz w:val="20"/>
          <w:szCs w:val="20"/>
          <w:rtl w:val="0"/>
          <w:lang w:val="en-US"/>
        </w:rPr>
        <w:t>Cosmos &amp; Psyche</w:t>
      </w:r>
      <w:r>
        <w:rPr>
          <w:rStyle w:val="Ninguno"/>
          <w:sz w:val="20"/>
          <w:szCs w:val="20"/>
          <w:rtl w:val="0"/>
        </w:rPr>
        <w:t>, Loc. 1211</w:t>
      </w:r>
    </w:p>
  </w:footnote>
  <w:footnote w:id="22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Nicholas Campion, </w:t>
      </w:r>
      <w:r>
        <w:rPr>
          <w:rStyle w:val="Ninguno"/>
          <w:i w:val="1"/>
          <w:iCs w:val="1"/>
          <w:sz w:val="20"/>
          <w:szCs w:val="20"/>
          <w:rtl w:val="0"/>
          <w:lang w:val="en-US"/>
        </w:rPr>
        <w:t>A History of Western Astrology</w:t>
      </w:r>
      <w:r>
        <w:rPr>
          <w:rStyle w:val="Ninguno"/>
          <w:sz w:val="20"/>
          <w:szCs w:val="20"/>
          <w:rtl w:val="0"/>
          <w:lang w:val="de-DE"/>
        </w:rPr>
        <w:t xml:space="preserve">´ </w:t>
      </w:r>
      <w:r>
        <w:rPr>
          <w:rStyle w:val="Ninguno"/>
          <w:sz w:val="20"/>
          <w:szCs w:val="20"/>
          <w:rtl w:val="0"/>
          <w:lang w:val="nl-NL"/>
        </w:rPr>
        <w:t>Vol. I, (London: Continuum, 2008), pp. 145</w:t>
      </w:r>
    </w:p>
  </w:footnote>
  <w:footnote w:id="22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Psychology Today, `Abraham Maslow`, https://www.psychologytoday.com/intl/articles/199201/abraham-maslow,  [accessed 02 January 2019]</w:t>
      </w:r>
    </w:p>
  </w:footnote>
  <w:footnote w:id="22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Lawrence J. Dennis and J. Francis Powers, `Dewey, Maslow, and Consummatory Experience`, </w:t>
      </w:r>
      <w:r>
        <w:rPr>
          <w:rStyle w:val="Ninguno"/>
          <w:i w:val="1"/>
          <w:iCs w:val="1"/>
          <w:sz w:val="20"/>
          <w:szCs w:val="20"/>
          <w:rtl w:val="0"/>
          <w:lang w:val="en-US"/>
        </w:rPr>
        <w:t xml:space="preserve">Journal of Aesthetic Education, </w:t>
      </w:r>
      <w:r>
        <w:rPr>
          <w:rStyle w:val="Ninguno"/>
          <w:sz w:val="20"/>
          <w:szCs w:val="20"/>
          <w:rtl w:val="0"/>
          <w:lang w:val="en-US"/>
        </w:rPr>
        <w:t xml:space="preserve">Vol. 8, No. 4 (1974);  Alfred Whitehead, </w:t>
      </w:r>
      <w:r>
        <w:rPr>
          <w:rStyle w:val="Ninguno"/>
          <w:i w:val="1"/>
          <w:iCs w:val="1"/>
          <w:sz w:val="20"/>
          <w:szCs w:val="20"/>
          <w:rtl w:val="0"/>
          <w:lang w:val="en-US"/>
        </w:rPr>
        <w:t xml:space="preserve">Symbolism: Its Meaning and Effect </w:t>
      </w:r>
      <w:r>
        <w:rPr>
          <w:rStyle w:val="Ninguno"/>
          <w:sz w:val="20"/>
          <w:szCs w:val="20"/>
          <w:rtl w:val="0"/>
          <w:lang w:val="en-US"/>
        </w:rPr>
        <w:t>(New York: G.P. Putman</w:t>
      </w:r>
      <w:r>
        <w:rPr>
          <w:rStyle w:val="Ninguno"/>
          <w:sz w:val="20"/>
          <w:szCs w:val="20"/>
          <w:rtl w:val="0"/>
          <w:lang w:val="de-DE"/>
        </w:rPr>
        <w:t>´</w:t>
      </w:r>
      <w:r>
        <w:rPr>
          <w:rStyle w:val="Ninguno"/>
          <w:sz w:val="20"/>
          <w:szCs w:val="20"/>
          <w:rtl w:val="0"/>
          <w:lang w:val="en-US"/>
        </w:rPr>
        <w:t xml:space="preserve">s Sons, Capricorn Books, 1959), cited in David Ray Griffin, </w:t>
      </w:r>
      <w:r>
        <w:rPr>
          <w:rStyle w:val="Ninguno"/>
          <w:i w:val="1"/>
          <w:iCs w:val="1"/>
          <w:sz w:val="20"/>
          <w:szCs w:val="20"/>
          <w:rtl w:val="0"/>
          <w:lang w:val="en-US"/>
        </w:rPr>
        <w:t>Archetypal Process</w:t>
      </w:r>
      <w:r>
        <w:rPr>
          <w:rStyle w:val="Ninguno"/>
          <w:sz w:val="20"/>
          <w:szCs w:val="20"/>
          <w:rtl w:val="0"/>
          <w:lang w:val="en-US"/>
        </w:rPr>
        <w:t xml:space="preserve"> (USA: Northwestern University Press, 1989), pp.123</w:t>
      </w:r>
    </w:p>
  </w:footnote>
  <w:footnote w:id="22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David Ray Griffin, </w:t>
      </w:r>
      <w:r>
        <w:rPr>
          <w:rStyle w:val="Ninguno"/>
          <w:i w:val="1"/>
          <w:iCs w:val="1"/>
          <w:sz w:val="20"/>
          <w:szCs w:val="20"/>
          <w:rtl w:val="0"/>
          <w:lang w:val="en-US"/>
        </w:rPr>
        <w:t>Archetypal Process</w:t>
      </w:r>
      <w:r>
        <w:rPr>
          <w:rStyle w:val="Ninguno"/>
          <w:sz w:val="20"/>
          <w:szCs w:val="20"/>
          <w:rtl w:val="0"/>
          <w:lang w:val="en-US"/>
        </w:rPr>
        <w:t>, (USA: Northwestern University Press, 1989), pp. 73</w:t>
      </w:r>
    </w:p>
  </w:footnote>
  <w:footnote w:id="22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David Ray Griffin, </w:t>
      </w:r>
      <w:r>
        <w:rPr>
          <w:rStyle w:val="Ninguno"/>
          <w:i w:val="1"/>
          <w:iCs w:val="1"/>
          <w:sz w:val="20"/>
          <w:szCs w:val="20"/>
          <w:rtl w:val="0"/>
        </w:rPr>
        <w:t>Archetypal Proces</w:t>
      </w:r>
      <w:r>
        <w:rPr>
          <w:rStyle w:val="Ninguno"/>
          <w:sz w:val="20"/>
          <w:szCs w:val="20"/>
          <w:rtl w:val="0"/>
        </w:rPr>
        <w:t>s, pp.123-124</w:t>
      </w:r>
    </w:p>
  </w:footnote>
  <w:footnote w:id="22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Safron Rossi and Keiron LeGrice </w:t>
      </w:r>
      <w:r>
        <w:rPr>
          <w:rStyle w:val="Hyperlink.0"/>
          <w:rtl w:val="0"/>
          <w:lang w:val="en-US"/>
        </w:rPr>
        <w:t>https://youtu.be/15PoPHsLjA0</w:t>
      </w:r>
      <w:r>
        <w:rPr>
          <w:rStyle w:val="Ninguno"/>
          <w:sz w:val="20"/>
          <w:szCs w:val="20"/>
          <w:rtl w:val="0"/>
          <w:lang w:val="en-US"/>
        </w:rPr>
        <w:t xml:space="preserve"> [accessed 12 June 2020]</w:t>
      </w:r>
    </w:p>
  </w:footnote>
  <w:footnote w:id="22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Dane Rudhyar, </w:t>
      </w:r>
      <w:r>
        <w:rPr>
          <w:rStyle w:val="Ninguno"/>
          <w:i w:val="1"/>
          <w:iCs w:val="1"/>
          <w:sz w:val="20"/>
          <w:szCs w:val="20"/>
          <w:rtl w:val="0"/>
          <w:lang w:val="en-US"/>
        </w:rPr>
        <w:t xml:space="preserve">Person Centered Astrology </w:t>
      </w:r>
      <w:r>
        <w:rPr>
          <w:rStyle w:val="Ninguno"/>
          <w:sz w:val="20"/>
          <w:szCs w:val="20"/>
          <w:rtl w:val="0"/>
          <w:lang w:val="de-DE"/>
        </w:rPr>
        <w:t xml:space="preserve">(USA: Aurora Press, Kindle Edition. 1980);  Richard Tarnas, </w:t>
      </w:r>
      <w:r>
        <w:rPr>
          <w:rStyle w:val="Ninguno"/>
          <w:i w:val="1"/>
          <w:iCs w:val="1"/>
          <w:sz w:val="20"/>
          <w:szCs w:val="20"/>
          <w:rtl w:val="0"/>
          <w:lang w:val="en-US"/>
        </w:rPr>
        <w:t>Cosmos and Psyche</w:t>
      </w:r>
      <w:r>
        <w:rPr>
          <w:rStyle w:val="Ninguno"/>
          <w:sz w:val="20"/>
          <w:szCs w:val="20"/>
          <w:rtl w:val="0"/>
          <w:lang w:val="en-US"/>
        </w:rPr>
        <w:t>, (New York: Penguin Publishing Group, 2006), pp. 129</w:t>
      </w:r>
    </w:p>
  </w:footnote>
  <w:footnote w:id="22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xml:space="preserve"> pp. 298</w:t>
      </w:r>
    </w:p>
  </w:footnote>
  <w:footnote w:id="23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 xml:space="preserve">Prophecy, Cosmology and the New Age Movement: The Extent and Nature of Contemporary Belief in Astrology </w:t>
      </w:r>
      <w:r>
        <w:rPr>
          <w:rStyle w:val="Ninguno"/>
          <w:sz w:val="20"/>
          <w:szCs w:val="20"/>
          <w:rtl w:val="0"/>
          <w:lang w:val="en-US"/>
        </w:rPr>
        <w:t>(PhD Thesis, Bath Spa University, 2003), p. 243.</w:t>
      </w:r>
    </w:p>
  </w:footnote>
  <w:footnote w:id="23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 History of Western Astrology</w:t>
      </w:r>
      <w:r>
        <w:rPr>
          <w:rStyle w:val="Ninguno"/>
          <w:sz w:val="20"/>
          <w:szCs w:val="20"/>
          <w:rtl w:val="0"/>
        </w:rPr>
        <w:t>, Vol. II, pp. 242</w:t>
      </w:r>
    </w:p>
  </w:footnote>
  <w:footnote w:id="23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 History of Western Astrology</w:t>
      </w:r>
      <w:r>
        <w:rPr>
          <w:rStyle w:val="Ninguno"/>
          <w:sz w:val="20"/>
          <w:szCs w:val="20"/>
          <w:rtl w:val="0"/>
        </w:rPr>
        <w:t>, Vol. II, pp. 249</w:t>
      </w:r>
    </w:p>
  </w:footnote>
  <w:footnote w:id="23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w:t>
      </w:r>
      <w:r>
        <w:rPr>
          <w:rStyle w:val="Ninguno"/>
          <w:i w:val="1"/>
          <w:iCs w:val="1"/>
          <w:sz w:val="20"/>
          <w:szCs w:val="20"/>
          <w:rtl w:val="0"/>
          <w:lang w:val="de-DE"/>
        </w:rPr>
        <w:t>Jung</w:t>
      </w:r>
      <w:r>
        <w:rPr>
          <w:rStyle w:val="Ninguno"/>
          <w:i w:val="1"/>
          <w:iCs w:val="1"/>
          <w:sz w:val="20"/>
          <w:szCs w:val="20"/>
          <w:rtl w:val="0"/>
          <w:lang w:val="de-DE"/>
        </w:rPr>
        <w:t>´</w:t>
      </w:r>
      <w:r>
        <w:rPr>
          <w:rStyle w:val="Ninguno"/>
          <w:i w:val="1"/>
          <w:iCs w:val="1"/>
          <w:sz w:val="20"/>
          <w:szCs w:val="20"/>
          <w:rtl w:val="0"/>
          <w:lang w:val="en-US"/>
        </w:rPr>
        <w:t>s Studies in Astrology,</w:t>
      </w:r>
      <w:r>
        <w:rPr>
          <w:rStyle w:val="Ninguno"/>
          <w:sz w:val="20"/>
          <w:szCs w:val="20"/>
          <w:rtl w:val="0"/>
        </w:rPr>
        <w:t xml:space="preserve"> pp. 41</w:t>
      </w:r>
    </w:p>
  </w:footnote>
  <w:footnote w:id="23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w:t>
      </w:r>
      <w:r>
        <w:rPr>
          <w:rStyle w:val="Ninguno"/>
          <w:i w:val="1"/>
          <w:iCs w:val="1"/>
          <w:sz w:val="20"/>
          <w:szCs w:val="20"/>
          <w:rtl w:val="0"/>
          <w:lang w:val="de-DE"/>
        </w:rPr>
        <w:t>Jung</w:t>
      </w:r>
      <w:r>
        <w:rPr>
          <w:rStyle w:val="Ninguno"/>
          <w:i w:val="1"/>
          <w:iCs w:val="1"/>
          <w:sz w:val="20"/>
          <w:szCs w:val="20"/>
          <w:rtl w:val="0"/>
          <w:lang w:val="de-DE"/>
        </w:rPr>
        <w:t>´</w:t>
      </w:r>
      <w:r>
        <w:rPr>
          <w:rStyle w:val="Ninguno"/>
          <w:i w:val="1"/>
          <w:iCs w:val="1"/>
          <w:sz w:val="20"/>
          <w:szCs w:val="20"/>
          <w:rtl w:val="0"/>
          <w:lang w:val="en-US"/>
        </w:rPr>
        <w:t xml:space="preserve">s Studies in Astrology, </w:t>
      </w:r>
      <w:r>
        <w:rPr>
          <w:rStyle w:val="Ninguno"/>
          <w:sz w:val="20"/>
          <w:szCs w:val="20"/>
          <w:rtl w:val="0"/>
        </w:rPr>
        <w:t>pp. 41</w:t>
      </w:r>
    </w:p>
  </w:footnote>
  <w:footnote w:id="23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Liz Greene, </w:t>
      </w:r>
      <w:r>
        <w:rPr>
          <w:rStyle w:val="Ninguno"/>
          <w:i w:val="1"/>
          <w:iCs w:val="1"/>
          <w:sz w:val="20"/>
          <w:szCs w:val="20"/>
          <w:rtl w:val="0"/>
          <w:lang w:val="de-DE"/>
        </w:rPr>
        <w:t>Jung</w:t>
      </w:r>
      <w:r>
        <w:rPr>
          <w:rStyle w:val="Ninguno"/>
          <w:i w:val="1"/>
          <w:iCs w:val="1"/>
          <w:sz w:val="20"/>
          <w:szCs w:val="20"/>
          <w:rtl w:val="0"/>
          <w:lang w:val="de-DE"/>
        </w:rPr>
        <w:t>´</w:t>
      </w:r>
      <w:r>
        <w:rPr>
          <w:rStyle w:val="Ninguno"/>
          <w:i w:val="1"/>
          <w:iCs w:val="1"/>
          <w:sz w:val="20"/>
          <w:szCs w:val="20"/>
          <w:rtl w:val="0"/>
          <w:lang w:val="en-US"/>
        </w:rPr>
        <w:t xml:space="preserve">s Studies in Astrology, </w:t>
      </w:r>
      <w:r>
        <w:rPr>
          <w:rStyle w:val="Ninguno"/>
          <w:sz w:val="20"/>
          <w:szCs w:val="20"/>
          <w:rtl w:val="0"/>
        </w:rPr>
        <w:t>pp. 39</w:t>
      </w:r>
    </w:p>
  </w:footnote>
  <w:footnote w:id="23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 History of Western Astrology</w:t>
      </w:r>
      <w:r>
        <w:rPr>
          <w:rStyle w:val="Ninguno"/>
          <w:sz w:val="20"/>
          <w:szCs w:val="20"/>
          <w:rtl w:val="0"/>
        </w:rPr>
        <w:t>, Vol. II, pp. 24</w:t>
      </w:r>
    </w:p>
  </w:footnote>
  <w:footnote w:id="23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Dane Rudhyar, </w:t>
      </w:r>
      <w:r>
        <w:rPr>
          <w:rStyle w:val="Ninguno"/>
          <w:i w:val="1"/>
          <w:iCs w:val="1"/>
          <w:sz w:val="20"/>
          <w:szCs w:val="20"/>
          <w:rtl w:val="0"/>
          <w:lang w:val="en-US"/>
        </w:rPr>
        <w:t>Astrology of Personality</w:t>
      </w:r>
      <w:r>
        <w:rPr>
          <w:rStyle w:val="Ninguno"/>
          <w:sz w:val="20"/>
          <w:szCs w:val="20"/>
          <w:rtl w:val="0"/>
          <w:lang w:val="it-IT"/>
        </w:rPr>
        <w:t xml:space="preserve"> (USA: Aurora Press, 1991), pp 26 </w:t>
      </w:r>
    </w:p>
  </w:footnote>
  <w:footnote w:id="23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Dane Rudhyar, </w:t>
      </w:r>
      <w:r>
        <w:rPr>
          <w:rStyle w:val="Ninguno"/>
          <w:i w:val="1"/>
          <w:iCs w:val="1"/>
          <w:sz w:val="20"/>
          <w:szCs w:val="20"/>
          <w:rtl w:val="0"/>
          <w:lang w:val="en-US"/>
        </w:rPr>
        <w:t>Person Centered Astrology</w:t>
      </w:r>
      <w:r>
        <w:rPr>
          <w:rStyle w:val="Ninguno"/>
          <w:sz w:val="20"/>
          <w:szCs w:val="20"/>
          <w:rtl w:val="0"/>
          <w:lang w:val="de-DE"/>
        </w:rPr>
        <w:t xml:space="preserve"> (USA: Aurora Press, Kindle Edition, 1980);</w:t>
      </w:r>
    </w:p>
  </w:footnote>
  <w:footnote w:id="23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lang w:val="en-US"/>
        </w:rPr>
        <w:t xml:space="preserve"> (New York: Penguin Publishing Group, 2006), pp. 78</w:t>
      </w:r>
    </w:p>
  </w:footnote>
  <w:footnote w:id="24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rPr>
        <w:t>, pp. 95</w:t>
      </w:r>
    </w:p>
  </w:footnote>
  <w:footnote w:id="24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rPr>
        <w:t xml:space="preserve">, pp. 67 </w:t>
      </w:r>
    </w:p>
  </w:footnote>
  <w:footnote w:id="24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sz w:val="20"/>
          <w:szCs w:val="20"/>
          <w:rtl w:val="0"/>
          <w:lang w:val="de-DE"/>
        </w:rPr>
        <w:t>´</w:t>
      </w:r>
      <w:r>
        <w:rPr>
          <w:rStyle w:val="Ninguno"/>
          <w:i w:val="1"/>
          <w:iCs w:val="1"/>
          <w:sz w:val="20"/>
          <w:szCs w:val="20"/>
          <w:rtl w:val="0"/>
          <w:lang w:val="en-US"/>
        </w:rPr>
        <w:t>Cosmos and Psyche</w:t>
      </w:r>
      <w:r>
        <w:rPr>
          <w:rStyle w:val="Ninguno"/>
          <w:sz w:val="20"/>
          <w:szCs w:val="20"/>
          <w:rtl w:val="0"/>
        </w:rPr>
        <w:t>, pp. 68</w:t>
      </w:r>
    </w:p>
  </w:footnote>
  <w:footnote w:id="24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Dane Rudhyar, </w:t>
      </w:r>
      <w:r>
        <w:rPr>
          <w:rStyle w:val="Ninguno"/>
          <w:i w:val="1"/>
          <w:iCs w:val="1"/>
          <w:sz w:val="20"/>
          <w:szCs w:val="20"/>
          <w:rtl w:val="0"/>
          <w:lang w:val="en-US"/>
        </w:rPr>
        <w:t>Person Centered Astrology</w:t>
      </w:r>
      <w:r>
        <w:rPr>
          <w:rStyle w:val="Ninguno"/>
          <w:sz w:val="20"/>
          <w:szCs w:val="20"/>
          <w:rtl w:val="0"/>
        </w:rPr>
        <w:t>, Loc. 329</w:t>
      </w:r>
    </w:p>
  </w:footnote>
  <w:footnote w:id="24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rPr>
        <w:t>, pp. 78</w:t>
      </w:r>
    </w:p>
  </w:footnote>
  <w:footnote w:id="24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pt-PT"/>
        </w:rPr>
        <w:t xml:space="preserve"> Richard Tarnas, </w:t>
      </w:r>
      <w:r>
        <w:rPr>
          <w:rStyle w:val="Ninguno"/>
          <w:i w:val="1"/>
          <w:iCs w:val="1"/>
          <w:sz w:val="20"/>
          <w:szCs w:val="20"/>
          <w:rtl w:val="0"/>
          <w:lang w:val="en-US"/>
        </w:rPr>
        <w:t>Cosmos and Psyche</w:t>
      </w:r>
      <w:r>
        <w:rPr>
          <w:rStyle w:val="Ninguno"/>
          <w:sz w:val="20"/>
          <w:szCs w:val="20"/>
          <w:rtl w:val="0"/>
        </w:rPr>
        <w:t>, pp. 61</w:t>
      </w:r>
    </w:p>
  </w:footnote>
  <w:footnote w:id="24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Dane Rudhyar, </w:t>
      </w:r>
      <w:r>
        <w:rPr>
          <w:rStyle w:val="Ninguno"/>
          <w:i w:val="1"/>
          <w:iCs w:val="1"/>
          <w:sz w:val="20"/>
          <w:szCs w:val="20"/>
          <w:rtl w:val="0"/>
          <w:lang w:val="en-US"/>
        </w:rPr>
        <w:t>Astrology of Personality</w:t>
      </w:r>
      <w:r>
        <w:rPr>
          <w:rStyle w:val="Ninguno"/>
          <w:sz w:val="20"/>
          <w:szCs w:val="20"/>
          <w:rtl w:val="0"/>
          <w:lang w:val="it-IT"/>
        </w:rPr>
        <w:t xml:space="preserve"> (USA: Aurora Press, 1991), pp. 12-13</w:t>
      </w:r>
    </w:p>
  </w:footnote>
  <w:footnote w:id="24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Roderick Main, </w:t>
      </w:r>
      <w:r>
        <w:rPr>
          <w:rStyle w:val="Ninguno"/>
          <w:i w:val="1"/>
          <w:iCs w:val="1"/>
          <w:sz w:val="20"/>
          <w:szCs w:val="20"/>
          <w:rtl w:val="0"/>
          <w:lang w:val="en-US"/>
        </w:rPr>
        <w:t xml:space="preserve">Jung on Synchronicity and the Paranormal </w:t>
      </w:r>
      <w:r>
        <w:rPr>
          <w:rStyle w:val="Ninguno"/>
          <w:sz w:val="20"/>
          <w:szCs w:val="20"/>
          <w:rtl w:val="0"/>
          <w:lang w:val="en-US"/>
        </w:rPr>
        <w:t>(USA: Princeton University Press, 1997), pp. 84</w:t>
      </w:r>
    </w:p>
  </w:footnote>
  <w:footnote w:id="24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David Ray Griffin, </w:t>
      </w:r>
      <w:r>
        <w:rPr>
          <w:rStyle w:val="Ninguno"/>
          <w:i w:val="1"/>
          <w:iCs w:val="1"/>
          <w:sz w:val="20"/>
          <w:szCs w:val="20"/>
          <w:rtl w:val="0"/>
          <w:lang w:val="en-US"/>
        </w:rPr>
        <w:t>Archetypal Process</w:t>
      </w:r>
      <w:r>
        <w:rPr>
          <w:rStyle w:val="Ninguno"/>
          <w:sz w:val="20"/>
          <w:szCs w:val="20"/>
          <w:rtl w:val="0"/>
        </w:rPr>
        <w:t>, pp. 8</w:t>
      </w:r>
    </w:p>
  </w:footnote>
  <w:footnote w:id="24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fr-FR"/>
        </w:rPr>
        <w:t xml:space="preserve"> David Ray Griffin, </w:t>
      </w:r>
      <w:r>
        <w:rPr>
          <w:rStyle w:val="Ninguno"/>
          <w:i w:val="1"/>
          <w:iCs w:val="1"/>
          <w:sz w:val="20"/>
          <w:szCs w:val="20"/>
          <w:rtl w:val="0"/>
          <w:lang w:val="en-US"/>
        </w:rPr>
        <w:t>Archetypal Process</w:t>
      </w:r>
      <w:r>
        <w:rPr>
          <w:rStyle w:val="Ninguno"/>
          <w:sz w:val="20"/>
          <w:szCs w:val="20"/>
          <w:rtl w:val="0"/>
        </w:rPr>
        <w:t>, pp. 6</w:t>
      </w:r>
    </w:p>
  </w:footnote>
  <w:footnote w:id="25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de-DE"/>
        </w:rPr>
        <w:t xml:space="preserve"> See Nicholas Campion, </w:t>
      </w:r>
      <w:r>
        <w:rPr>
          <w:rStyle w:val="Ninguno"/>
          <w:i w:val="1"/>
          <w:iCs w:val="1"/>
          <w:sz w:val="20"/>
          <w:szCs w:val="20"/>
          <w:rtl w:val="0"/>
          <w:lang w:val="en-US"/>
        </w:rPr>
        <w:t>A History of Western Astrolog</w:t>
      </w:r>
      <w:r>
        <w:rPr>
          <w:rStyle w:val="Ninguno"/>
          <w:sz w:val="20"/>
          <w:szCs w:val="20"/>
          <w:rtl w:val="0"/>
          <w:lang w:val="nl-NL"/>
        </w:rPr>
        <w:t>y, Vol. I &amp; II, (London: Continuum, 2008)</w:t>
      </w:r>
    </w:p>
  </w:footnote>
  <w:footnote w:id="25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pp. 146</w:t>
      </w:r>
    </w:p>
  </w:footnote>
  <w:footnote w:id="252">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rPr>
        <w:t xml:space="preserve">  Claudius Ptolemy, </w:t>
      </w:r>
      <w:r>
        <w:rPr>
          <w:rStyle w:val="Ninguno"/>
          <w:i w:val="1"/>
          <w:iCs w:val="1"/>
          <w:sz w:val="20"/>
          <w:szCs w:val="20"/>
          <w:rtl w:val="0"/>
          <w:lang w:val="es-ES_tradnl"/>
        </w:rPr>
        <w:t>Tetrabiblos</w:t>
      </w:r>
      <w:r>
        <w:rPr>
          <w:rStyle w:val="Ninguno"/>
          <w:sz w:val="20"/>
          <w:szCs w:val="20"/>
          <w:rtl w:val="0"/>
          <w:lang w:val="en-US"/>
        </w:rPr>
        <w:t>, trans. F.E.Robbins, (Harvard University: Loeb Classical Library, 1940), pp.49</w:t>
      </w:r>
    </w:p>
  </w:footnote>
  <w:footnote w:id="253">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lang w:val="en-US"/>
        </w:rPr>
        <w:t>, pp 81</w:t>
      </w:r>
    </w:p>
  </w:footnote>
  <w:footnote w:id="254">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pp 74</w:t>
      </w:r>
    </w:p>
  </w:footnote>
  <w:footnote w:id="255">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 History of Western Astrology</w:t>
      </w:r>
      <w:r>
        <w:rPr>
          <w:rStyle w:val="Ninguno"/>
          <w:sz w:val="20"/>
          <w:szCs w:val="20"/>
          <w:rtl w:val="0"/>
          <w:lang w:val="it-IT"/>
        </w:rPr>
        <w:t>, Vol. I, (London: Continuum, 2008), pp. xii</w:t>
      </w:r>
    </w:p>
  </w:footnote>
  <w:footnote w:id="256">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Carole Taylor, </w:t>
      </w:r>
      <w:r>
        <w:rPr>
          <w:rStyle w:val="Ninguno"/>
          <w:i w:val="1"/>
          <w:iCs w:val="1"/>
          <w:sz w:val="20"/>
          <w:szCs w:val="20"/>
          <w:rtl w:val="0"/>
          <w:lang w:val="en-US"/>
        </w:rPr>
        <w:t>Imagining the World: Contemplating the Reality of the Astrological Horoscope</w:t>
      </w:r>
      <w:r>
        <w:rPr>
          <w:rStyle w:val="Ninguno"/>
          <w:sz w:val="20"/>
          <w:szCs w:val="20"/>
          <w:rtl w:val="0"/>
          <w:lang w:val="en-US"/>
        </w:rPr>
        <w:t xml:space="preserve">, (Dissertation submitted for the MA in Myth, Cosmology and the Sacred Canterbury Christ Church University, 2015), pp.12 </w:t>
      </w:r>
      <w:r>
        <w:rPr>
          <w:rStyle w:val="Hyperlink.0"/>
          <w:rtl w:val="0"/>
          <w:lang w:val="en-US"/>
        </w:rPr>
        <w:t>https://mythcosmologysacred.com/wp-content/uploads/2020/06/Carole-Taylor-dissertation-Imagining-the-World.pdf</w:t>
      </w:r>
      <w:r>
        <w:rPr>
          <w:rStyle w:val="Ninguno"/>
          <w:sz w:val="20"/>
          <w:szCs w:val="20"/>
          <w:rtl w:val="0"/>
        </w:rPr>
        <w:t xml:space="preserve"> </w:t>
      </w:r>
    </w:p>
  </w:footnote>
  <w:footnote w:id="257">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en-US"/>
        </w:rPr>
        <w:t xml:space="preserve"> Nicholas Campion, A History of Western Astrology, Vol. II, (London: Continuum, 2008), pp. 3</w:t>
      </w:r>
    </w:p>
  </w:footnote>
  <w:footnote w:id="258">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w:t>
      </w:r>
      <w:r>
        <w:rPr>
          <w:rStyle w:val="Ninguno"/>
          <w:i w:val="1"/>
          <w:iCs w:val="1"/>
          <w:sz w:val="20"/>
          <w:szCs w:val="20"/>
          <w:rtl w:val="0"/>
          <w:lang w:val="en-US"/>
        </w:rPr>
        <w:t xml:space="preserve"> A History of Western Astrology,</w:t>
      </w:r>
      <w:r>
        <w:rPr>
          <w:rStyle w:val="Ninguno"/>
          <w:sz w:val="20"/>
          <w:szCs w:val="20"/>
          <w:rtl w:val="0"/>
        </w:rPr>
        <w:t xml:space="preserve"> Vol. II, pp. 39-45</w:t>
      </w:r>
    </w:p>
  </w:footnote>
  <w:footnote w:id="259">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Nicholas Campion, </w:t>
      </w:r>
      <w:r>
        <w:rPr>
          <w:rStyle w:val="Ninguno"/>
          <w:i w:val="1"/>
          <w:iCs w:val="1"/>
          <w:sz w:val="20"/>
          <w:szCs w:val="20"/>
          <w:rtl w:val="0"/>
          <w:lang w:val="en-US"/>
        </w:rPr>
        <w:t>A History of Western Astrology,</w:t>
      </w:r>
      <w:r>
        <w:rPr>
          <w:rStyle w:val="Ninguno"/>
          <w:sz w:val="20"/>
          <w:szCs w:val="20"/>
          <w:rtl w:val="0"/>
          <w:lang w:val="nl-NL"/>
        </w:rPr>
        <w:t xml:space="preserve"> Vol. II, (London: Continuum, 2008), pp. 17</w:t>
      </w:r>
    </w:p>
  </w:footnote>
  <w:footnote w:id="260">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lang w:val="en-US"/>
        </w:rPr>
        <w:t>, pp 81</w:t>
      </w:r>
    </w:p>
  </w:footnote>
  <w:footnote w:id="261">
    <w:p>
      <w:pPr>
        <w:pStyle w:val="Cuerpo A"/>
        <w:spacing w:line="240" w:lineRule="auto"/>
      </w:pPr>
      <w:r>
        <w:rPr>
          <w:rStyle w:val="Ninguno"/>
          <w:rFonts w:ascii="EB Garamond" w:cs="EB Garamond" w:hAnsi="EB Garamond" w:eastAsia="EB Garamond"/>
          <w:sz w:val="28"/>
          <w:szCs w:val="28"/>
          <w:vertAlign w:val="superscript"/>
        </w:rPr>
        <w:footnoteRef/>
      </w:r>
      <w:r>
        <w:rPr>
          <w:rStyle w:val="Ninguno"/>
          <w:sz w:val="20"/>
          <w:szCs w:val="20"/>
          <w:rtl w:val="0"/>
          <w:lang w:val="it-IT"/>
        </w:rPr>
        <w:t xml:space="preserve"> Geoffrey Cornelius, </w:t>
      </w:r>
      <w:r>
        <w:rPr>
          <w:rStyle w:val="Ninguno"/>
          <w:i w:val="1"/>
          <w:iCs w:val="1"/>
          <w:sz w:val="20"/>
          <w:szCs w:val="20"/>
          <w:rtl w:val="0"/>
          <w:lang w:val="en-US"/>
        </w:rPr>
        <w:t>The Moment of Astrology,</w:t>
      </w:r>
      <w:r>
        <w:rPr>
          <w:rStyle w:val="Ninguno"/>
          <w:sz w:val="20"/>
          <w:szCs w:val="20"/>
          <w:rtl w:val="0"/>
        </w:rPr>
        <w:t xml:space="preserve"> pp. 289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Cabecera y pie"/>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Estilo importado 1"/>
  </w:abstractNum>
  <w:abstractNum w:abstractNumId="1">
    <w:multiLevelType w:val="hybridMultilevel"/>
    <w:styleLink w:val="Estilo importado 1"/>
    <w:lvl w:ilvl="0">
      <w:start w:val="1"/>
      <w:numFmt w:val="bullet"/>
      <w:suff w:val="tab"/>
      <w:lvlText w:val="-"/>
      <w:lvlJc w:val="left"/>
      <w:pPr>
        <w:ind w:left="7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Estilo importado 2"/>
  </w:abstractNum>
  <w:abstractNum w:abstractNumId="3">
    <w:multiLevelType w:val="hybridMultilevel"/>
    <w:styleLink w:val="Estilo importado 2"/>
    <w:lvl w:ilvl="0">
      <w:start w:val="1"/>
      <w:numFmt w:val="bullet"/>
      <w:suff w:val="tab"/>
      <w:lvlText w:val="-"/>
      <w:lvlJc w:val="left"/>
      <w:pPr>
        <w:ind w:left="7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spañol" w:val="‘“(〔[{〈《「『【⦅〘〖«〝︵︷︹︻︽︿﹁﹃﹇﹙﹛﹝｢"/>
  <w:noLineBreaksBefore w:lang="español"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Cabecera y pie">
    <w:name w:val="Cabecera y pie"/>
    <w:next w:val="Cabecera y pie"/>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Cuerpo A">
    <w:name w:val="Cuerpo A"/>
    <w:next w:val="Cuerpo A"/>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inguno">
    <w:name w:val="Ninguno"/>
  </w:style>
  <w:style w:type="character" w:styleId="Ninguno A">
    <w:name w:val="Ninguno A"/>
    <w:basedOn w:val="Ninguno"/>
  </w:style>
  <w:style w:type="paragraph" w:styleId="Encabezamiento 2">
    <w:name w:val="Encabezamiento 2"/>
    <w:next w:val="Cuerpo A"/>
    <w:pPr>
      <w:keepNext w:val="1"/>
      <w:keepLines w:val="1"/>
      <w:pageBreakBefore w:val="0"/>
      <w:widowControl w:val="1"/>
      <w:shd w:val="clear" w:color="auto" w:fill="auto"/>
      <w:suppressAutoHyphens w:val="0"/>
      <w:bidi w:val="0"/>
      <w:spacing w:before="360" w:after="120" w:line="276" w:lineRule="auto"/>
      <w:ind w:left="0" w:right="0" w:firstLine="0"/>
      <w:jc w:val="left"/>
      <w:outlineLvl w:val="0"/>
    </w:pPr>
    <w:rPr>
      <w:rFonts w:ascii="Arial" w:cs="Arial Unicode MS" w:hAnsi="Arial" w:eastAsia="Arial Unicode MS"/>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Encabezam. 3">
    <w:name w:val="Encabezam. 3"/>
    <w:next w:val="Cuerpo A"/>
    <w:pPr>
      <w:keepNext w:val="1"/>
      <w:keepLines w:val="1"/>
      <w:pageBreakBefore w:val="0"/>
      <w:widowControl w:val="1"/>
      <w:shd w:val="clear" w:color="auto" w:fill="auto"/>
      <w:suppressAutoHyphens w:val="0"/>
      <w:bidi w:val="0"/>
      <w:spacing w:before="320" w:after="80" w:line="276" w:lineRule="auto"/>
      <w:ind w:left="0" w:right="0" w:firstLine="0"/>
      <w:jc w:val="left"/>
      <w:outlineLvl w:val="1"/>
    </w:pPr>
    <w:rPr>
      <w:rFonts w:ascii="Arial" w:cs="Arial" w:hAnsi="Arial" w:eastAsia="Arial"/>
      <w:b w:val="0"/>
      <w:bCs w:val="0"/>
      <w:i w:val="0"/>
      <w:iCs w:val="0"/>
      <w:caps w:val="0"/>
      <w:smallCaps w:val="0"/>
      <w:strike w:val="0"/>
      <w:dstrike w:val="0"/>
      <w:outline w:val="0"/>
      <w:color w:val="434343"/>
      <w:spacing w:val="0"/>
      <w:kern w:val="0"/>
      <w:position w:val="0"/>
      <w:sz w:val="28"/>
      <w:szCs w:val="28"/>
      <w:u w:val="none" w:color="434343"/>
      <w:shd w:val="nil" w:color="auto" w:fill="auto"/>
      <w:vertAlign w:val="baseline"/>
      <w14:textOutline w14:w="12700" w14:cap="flat">
        <w14:noFill/>
        <w14:miter w14:lim="400000"/>
      </w14:textOutline>
      <w14:textFill>
        <w14:solidFill>
          <w14:srgbClr w14:val="434343"/>
        </w14:solidFill>
      </w14:textFill>
    </w:rPr>
  </w:style>
  <w:style w:type="character" w:styleId="Hyperlink.0">
    <w:name w:val="Hyperlink.0"/>
    <w:basedOn w:val="Ninguno"/>
    <w:next w:val="Hyperlink.0"/>
    <w:rPr>
      <w:outline w:val="0"/>
      <w:color w:val="1155cc"/>
      <w:sz w:val="20"/>
      <w:szCs w:val="20"/>
      <w:u w:val="single" w:color="1155cc"/>
      <w:lang w:val="en-US"/>
      <w14:textFill>
        <w14:solidFill>
          <w14:srgbClr w14:val="1155CC"/>
        </w14:solidFill>
      </w14:textFill>
    </w:rPr>
  </w:style>
  <w:style w:type="numbering" w:styleId="Estilo importado 1">
    <w:name w:val="Estilo importado 1"/>
    <w:pPr>
      <w:numPr>
        <w:numId w:val="1"/>
      </w:numPr>
    </w:pPr>
  </w:style>
  <w:style w:type="numbering" w:styleId="Estilo importado 2">
    <w:name w:val="Estilo importado 2"/>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