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ED6CD9" w14:textId="77777777" w:rsidR="003B108D" w:rsidRPr="00CA7359" w:rsidRDefault="00CA7359">
      <w:pPr>
        <w:rPr>
          <w:u w:val="single"/>
        </w:rPr>
      </w:pPr>
      <w:r w:rsidRPr="00CA7359">
        <w:rPr>
          <w:u w:val="single"/>
        </w:rPr>
        <w:t>Explain why teacher subject knowledge is important in relation to teaching Language and Mathematics in primary schools in Wales.</w:t>
      </w:r>
    </w:p>
    <w:p w14:paraId="00757789" w14:textId="77777777" w:rsidR="00CA7359" w:rsidRDefault="00CA7359"/>
    <w:p w14:paraId="40AFFB33" w14:textId="77777777" w:rsidR="00CA7359" w:rsidRDefault="00CA7359"/>
    <w:p w14:paraId="3A44BD54" w14:textId="1B4CDF17" w:rsidR="002A4A9E" w:rsidRDefault="00F029FF">
      <w:r>
        <w:t>Throughout my time on the professional Teaching Experience (PTE)</w:t>
      </w:r>
      <w:r w:rsidR="0078214B">
        <w:t>,</w:t>
      </w:r>
      <w:r>
        <w:t xml:space="preserve"> I was able to observe a</w:t>
      </w:r>
      <w:r w:rsidR="002A4A9E">
        <w:t>nd demonstrate a</w:t>
      </w:r>
      <w:r>
        <w:t xml:space="preserve"> plethora of </w:t>
      </w:r>
      <w:r w:rsidR="002A4A9E">
        <w:t>language and mathematical skills which were used in both Foundation Phase and Key Stage 2</w:t>
      </w:r>
      <w:r w:rsidR="0078214B">
        <w:t>. These skills can be linked to different learning theories which helps to enable information to be passed between teachers and pupils whilst ens</w:t>
      </w:r>
      <w:bookmarkStart w:id="0" w:name="_GoBack"/>
      <w:bookmarkEnd w:id="0"/>
      <w:r w:rsidR="0078214B">
        <w:t>uring that children get the most out of the teaching experience laid out for them through the use of a range of stimuli suitable for children’s age and ability.</w:t>
      </w:r>
      <w:r w:rsidR="009A0A2F">
        <w:t xml:space="preserve"> </w:t>
      </w:r>
      <w:r w:rsidR="00293083">
        <w:t xml:space="preserve">Teachers subject knowledge is imperative to the </w:t>
      </w:r>
      <w:r w:rsidR="004153A6">
        <w:t>art of teaching, ensuring children understand tasks set and building individuals confidence in their own abilities. This paired with the different learning theories can enable teachers to generate a unique experience where children can become immersed in the learning taking place.</w:t>
      </w:r>
      <w:r w:rsidR="000402FA">
        <w:t xml:space="preserve"> A blend of different learning theories can enable for a greater learning experience to take place and for children to get a greater understanding of the world around them and can generate new links as they learn new skills from across the curriculum.</w:t>
      </w:r>
      <w:r w:rsidR="002934E8" w:rsidRPr="002934E8">
        <w:t xml:space="preserve"> </w:t>
      </w:r>
      <w:r w:rsidR="002934E8">
        <w:t>T</w:t>
      </w:r>
      <w:r w:rsidR="002934E8" w:rsidRPr="002934E8">
        <w:t xml:space="preserve">eacher subject knowledge </w:t>
      </w:r>
      <w:r w:rsidR="006A3BC2">
        <w:t>can be described as</w:t>
      </w:r>
      <w:r w:rsidR="002934E8" w:rsidRPr="002934E8">
        <w:t xml:space="preserve"> being knowledgeable about the topic being taught but that it also means </w:t>
      </w:r>
      <w:r w:rsidR="006A3BC2">
        <w:t>that teachers must be aware of</w:t>
      </w:r>
      <w:r w:rsidR="002934E8" w:rsidRPr="002934E8">
        <w:t xml:space="preserve"> pedagogical knowledge, being able to choose activities and resources appropriately, in order to transfer knowledge and enable pupils to learn.</w:t>
      </w:r>
      <w:r w:rsidR="004153A6">
        <w:t xml:space="preserve">   </w:t>
      </w:r>
      <w:r w:rsidR="009A0A2F">
        <w:t xml:space="preserve"> </w:t>
      </w:r>
      <w:r w:rsidR="0078214B">
        <w:t xml:space="preserve">  </w:t>
      </w:r>
    </w:p>
    <w:p w14:paraId="672B709D" w14:textId="77777777" w:rsidR="0091786D" w:rsidRDefault="0091786D" w:rsidP="00A0056D"/>
    <w:p w14:paraId="4D480A7A" w14:textId="3BCA9E66" w:rsidR="00173B73" w:rsidRDefault="0034107C" w:rsidP="00A0056D">
      <w:pPr>
        <w:rPr>
          <w:rFonts w:ascii="Calibri" w:hAnsi="Calibri" w:cs="Calibri"/>
        </w:rPr>
      </w:pPr>
      <w:r>
        <w:t xml:space="preserve">For the first mathematical skill I used in my lesson with a year 2 class, I decided to teach children on their 2, </w:t>
      </w:r>
      <w:r w:rsidR="00CC34D4">
        <w:t>5- and 10-times tables.</w:t>
      </w:r>
      <w:r w:rsidR="00DB51F3">
        <w:t xml:space="preserve"> This skill can be found in the “using number skill</w:t>
      </w:r>
      <w:r w:rsidR="00173B73">
        <w:t>s</w:t>
      </w:r>
      <w:r w:rsidR="00DB51F3">
        <w:t>” strand in the foundation phase framework with the skill reading “</w:t>
      </w:r>
      <w:r w:rsidR="00173B73">
        <w:t>recall and use 2, 5 and 10 multiplication tables</w:t>
      </w:r>
      <w:r w:rsidR="00DB51F3">
        <w:t xml:space="preserve">”. </w:t>
      </w:r>
      <w:r w:rsidR="00CC34D4">
        <w:t>This is a very basic but yet very important skill for the future mathematical development of the children as this could be used in a range of areas in their future lives, whether that’s in school or in a work scenario. Teacher subject knowledge is imperative to ensuring children are engaged and underst</w:t>
      </w:r>
      <w:r w:rsidR="00DB51F3">
        <w:t>and the topic and don’t promote incorrect information which could be dangerous as children may carry incorrect information and methods with them. The session on this topic involved learning through repetition through the use of chanting</w:t>
      </w:r>
      <w:r w:rsidR="00200C42">
        <w:t xml:space="preserve"> their 2, 5- and 10-times tables. This method of learning can be linked to</w:t>
      </w:r>
      <w:r w:rsidR="004E361A">
        <w:t xml:space="preserve"> a behaviourist teaching approach where repetition is at the centre of the current task. This theory suggests that children can learn through a </w:t>
      </w:r>
      <w:r w:rsidR="00173B73">
        <w:t>s</w:t>
      </w:r>
      <w:r w:rsidR="004E361A">
        <w:t xml:space="preserve">timulus-response model which means that </w:t>
      </w:r>
      <w:r w:rsidR="00C371C3">
        <w:t>children are more likely to repeat a behaviour when it is met with a positive response.</w:t>
      </w:r>
      <w:r w:rsidR="009A0A2F">
        <w:t xml:space="preserve"> This form of learning is similar to that found in Pavlov’s theory of operant conditioning which involves dogs </w:t>
      </w:r>
      <w:r w:rsidR="00173B73">
        <w:t>“</w:t>
      </w:r>
      <w:r w:rsidR="00173B73" w:rsidRPr="00173B73">
        <w:t>learning to associate an unconditioned stimulus that already brings about a particular response (i.e., a reflex) with a new (conditioned) stimulus, so that the new stimulus brings about the same response</w:t>
      </w:r>
      <w:r w:rsidR="00173B73">
        <w:t>”</w:t>
      </w:r>
      <w:r w:rsidR="00173B73" w:rsidRPr="00173B73">
        <w:t>.</w:t>
      </w:r>
      <w:r w:rsidR="009A0A2F">
        <w:t xml:space="preserve"> </w:t>
      </w:r>
      <w:r w:rsidR="00C371C3">
        <w:t xml:space="preserve"> In future, this form of learning needs to be reinforced and encouraged by teachers effectively to ensure this knowledge is held by the student which could involve simply testing students on a regular basis to ensure this skill has been learnt and adopted by the whole class. If </w:t>
      </w:r>
      <w:r w:rsidR="00B113D2">
        <w:t>the positive reinforcement</w:t>
      </w:r>
      <w:r w:rsidR="00C371C3">
        <w:t xml:space="preserve"> does not occur</w:t>
      </w:r>
      <w:r w:rsidR="00B113D2">
        <w:t xml:space="preserve"> children will be more likely to make this behaviour extinct which negates the use of this activity. Donaldson’s Successful Futures report suggests that “praise and support are </w:t>
      </w:r>
      <w:r w:rsidR="00B113D2" w:rsidRPr="00B113D2">
        <w:t xml:space="preserve">essential </w:t>
      </w:r>
      <w:r w:rsidR="00B113D2" w:rsidRPr="00B113D2">
        <w:rPr>
          <w:rFonts w:ascii="Calibri" w:hAnsi="Calibri" w:cs="Calibri"/>
        </w:rPr>
        <w:t>but the opportunity to make and learn from errors in the pursuit of challenging goals builds confidence and resilience</w:t>
      </w:r>
      <w:r w:rsidR="00B113D2">
        <w:rPr>
          <w:rFonts w:ascii="Calibri" w:hAnsi="Calibri" w:cs="Calibri"/>
        </w:rPr>
        <w:t xml:space="preserve">”. This </w:t>
      </w:r>
      <w:r w:rsidR="009A0A2F">
        <w:rPr>
          <w:rFonts w:ascii="Calibri" w:hAnsi="Calibri" w:cs="Calibri"/>
        </w:rPr>
        <w:t>encourages</w:t>
      </w:r>
      <w:r w:rsidR="00B113D2">
        <w:rPr>
          <w:rFonts w:ascii="Calibri" w:hAnsi="Calibri" w:cs="Calibri"/>
        </w:rPr>
        <w:t xml:space="preserve"> the </w:t>
      </w:r>
      <w:r w:rsidR="009A0A2F">
        <w:rPr>
          <w:rFonts w:ascii="Calibri" w:hAnsi="Calibri" w:cs="Calibri"/>
        </w:rPr>
        <w:t>use</w:t>
      </w:r>
      <w:r w:rsidR="00B113D2">
        <w:rPr>
          <w:rFonts w:ascii="Calibri" w:hAnsi="Calibri" w:cs="Calibri"/>
        </w:rPr>
        <w:t xml:space="preserve"> of repeti</w:t>
      </w:r>
      <w:r w:rsidR="009A0A2F">
        <w:rPr>
          <w:rFonts w:ascii="Calibri" w:hAnsi="Calibri" w:cs="Calibri"/>
        </w:rPr>
        <w:t>tion and positive reinforcement whilst making sure that certain behaviours are repeated allowing children to flourish academically.</w:t>
      </w:r>
    </w:p>
    <w:p w14:paraId="293F234E" w14:textId="763A21B4" w:rsidR="00A0056D" w:rsidRDefault="00A0056D" w:rsidP="00A0056D">
      <w:pPr>
        <w:rPr>
          <w:rFonts w:ascii="Calibri" w:hAnsi="Calibri" w:cs="Calibri"/>
        </w:rPr>
      </w:pPr>
    </w:p>
    <w:p w14:paraId="6B6B4E90" w14:textId="6278777C" w:rsidR="000D10E6" w:rsidRDefault="00A0056D" w:rsidP="00A0056D">
      <w:pPr>
        <w:rPr>
          <w:rFonts w:ascii="Calibri" w:hAnsi="Calibri" w:cs="Calibri"/>
        </w:rPr>
      </w:pPr>
      <w:r>
        <w:rPr>
          <w:rFonts w:ascii="Calibri" w:hAnsi="Calibri" w:cs="Calibri"/>
        </w:rPr>
        <w:t>For the language skill I chose to teach the skill of “</w:t>
      </w:r>
      <w:r w:rsidRPr="00A0056D">
        <w:rPr>
          <w:rFonts w:ascii="Calibri" w:hAnsi="Calibri" w:cs="Calibri"/>
        </w:rPr>
        <w:t>use spelling strategies such as segmenting,</w:t>
      </w:r>
      <w:r>
        <w:rPr>
          <w:rFonts w:ascii="Calibri" w:hAnsi="Calibri" w:cs="Calibri"/>
        </w:rPr>
        <w:t xml:space="preserve"> </w:t>
      </w:r>
      <w:r w:rsidRPr="00A0056D">
        <w:rPr>
          <w:rFonts w:ascii="Calibri" w:hAnsi="Calibri" w:cs="Calibri"/>
        </w:rPr>
        <w:t>simple roots and suffixes, e.g. ing, ed</w:t>
      </w:r>
      <w:r>
        <w:rPr>
          <w:rFonts w:ascii="Calibri" w:hAnsi="Calibri" w:cs="Calibri"/>
        </w:rPr>
        <w:t xml:space="preserve">” from the “writing accurately” strand of the </w:t>
      </w:r>
      <w:r w:rsidR="0091786D">
        <w:rPr>
          <w:rFonts w:ascii="Calibri" w:hAnsi="Calibri" w:cs="Calibri"/>
        </w:rPr>
        <w:t>F</w:t>
      </w:r>
      <w:r>
        <w:rPr>
          <w:rFonts w:ascii="Calibri" w:hAnsi="Calibri" w:cs="Calibri"/>
        </w:rPr>
        <w:t xml:space="preserve">oundation </w:t>
      </w:r>
      <w:r w:rsidR="0091786D">
        <w:rPr>
          <w:rFonts w:ascii="Calibri" w:hAnsi="Calibri" w:cs="Calibri"/>
        </w:rPr>
        <w:t>P</w:t>
      </w:r>
      <w:r>
        <w:rPr>
          <w:rFonts w:ascii="Calibri" w:hAnsi="Calibri" w:cs="Calibri"/>
        </w:rPr>
        <w:t xml:space="preserve">hase </w:t>
      </w:r>
      <w:r w:rsidR="0091786D">
        <w:rPr>
          <w:rFonts w:ascii="Calibri" w:hAnsi="Calibri" w:cs="Calibri"/>
        </w:rPr>
        <w:t>F</w:t>
      </w:r>
      <w:r>
        <w:rPr>
          <w:rFonts w:ascii="Calibri" w:hAnsi="Calibri" w:cs="Calibri"/>
        </w:rPr>
        <w:t xml:space="preserve">ramework. This learning also follows a behaviourist approach where children will be shown a range of </w:t>
      </w:r>
      <w:r w:rsidR="0024689B">
        <w:rPr>
          <w:rFonts w:ascii="Calibri" w:hAnsi="Calibri" w:cs="Calibri"/>
        </w:rPr>
        <w:t>words with matching suffixes or roots and will be promoted to learn these relationships which can then be used in their writing in the future. The teacher’s subject knowledge is very important for this learning as you must be aware of a wide array of examples which children may ask if they fit in a specific category and the teache</w:t>
      </w:r>
      <w:r w:rsidR="000D10E6">
        <w:rPr>
          <w:rFonts w:ascii="Calibri" w:hAnsi="Calibri" w:cs="Calibri"/>
        </w:rPr>
        <w:t>r</w:t>
      </w:r>
      <w:r w:rsidR="0024689B">
        <w:rPr>
          <w:rFonts w:ascii="Calibri" w:hAnsi="Calibri" w:cs="Calibri"/>
        </w:rPr>
        <w:t xml:space="preserve"> must know these to be able to help children further their understanding on this area. A repetitive nature seemed to prevail in this exercise with the year 2 class I was with as it allowed them to grow in confidence as they began to link “ing” and “ed” ending words together</w:t>
      </w:r>
      <w:r w:rsidR="00610798">
        <w:rPr>
          <w:rFonts w:ascii="Calibri" w:hAnsi="Calibri" w:cs="Calibri"/>
        </w:rPr>
        <w:t xml:space="preserve"> which led to a better understanding from all of the students as they were met with positive reinforcement.</w:t>
      </w:r>
      <w:r w:rsidR="00D26440">
        <w:rPr>
          <w:rFonts w:ascii="Calibri" w:hAnsi="Calibri" w:cs="Calibri"/>
        </w:rPr>
        <w:t xml:space="preserve"> This repetitive nature then led to an extension activity where the children were asked if they could write as many words ending in “ing” or “ed” with the winner receiving a sticker. This method of healthy competitive learning can encourage children tremendously as it pushes them to strive towards a prize through learning and gives them the positive reinforcement aspect that the teacher should be looking to use in similar areas of learning</w:t>
      </w:r>
      <w:r w:rsidR="00371159">
        <w:rPr>
          <w:rFonts w:ascii="Calibri" w:hAnsi="Calibri" w:cs="Calibri"/>
        </w:rPr>
        <w:t xml:space="preserve"> throughout all of their sessions</w:t>
      </w:r>
      <w:r w:rsidR="00D26440">
        <w:rPr>
          <w:rFonts w:ascii="Calibri" w:hAnsi="Calibri" w:cs="Calibri"/>
        </w:rPr>
        <w:t xml:space="preserve">.   </w:t>
      </w:r>
    </w:p>
    <w:p w14:paraId="05D1151B" w14:textId="41234E60" w:rsidR="0091786D" w:rsidRDefault="0091786D" w:rsidP="00A0056D">
      <w:pPr>
        <w:rPr>
          <w:rFonts w:ascii="Calibri" w:hAnsi="Calibri" w:cs="Calibri"/>
        </w:rPr>
      </w:pPr>
    </w:p>
    <w:p w14:paraId="598CD0B4" w14:textId="1AF0ED76" w:rsidR="00D144FC" w:rsidRDefault="0091786D" w:rsidP="000D10E6">
      <w:pPr>
        <w:rPr>
          <w:rFonts w:ascii="Calibri" w:hAnsi="Calibri" w:cs="Calibri"/>
        </w:rPr>
      </w:pPr>
      <w:r>
        <w:rPr>
          <w:rFonts w:ascii="Calibri" w:hAnsi="Calibri" w:cs="Calibri"/>
        </w:rPr>
        <w:t xml:space="preserve">For my next </w:t>
      </w:r>
      <w:r w:rsidR="00D144FC">
        <w:rPr>
          <w:rFonts w:ascii="Calibri" w:hAnsi="Calibri" w:cs="Calibri"/>
        </w:rPr>
        <w:t xml:space="preserve">Language </w:t>
      </w:r>
      <w:r w:rsidR="001420B1">
        <w:rPr>
          <w:rFonts w:ascii="Calibri" w:hAnsi="Calibri" w:cs="Calibri"/>
        </w:rPr>
        <w:t>skill,</w:t>
      </w:r>
      <w:r>
        <w:rPr>
          <w:rFonts w:ascii="Calibri" w:hAnsi="Calibri" w:cs="Calibri"/>
        </w:rPr>
        <w:t xml:space="preserve"> </w:t>
      </w:r>
      <w:r w:rsidR="00D144FC">
        <w:rPr>
          <w:rFonts w:ascii="Calibri" w:hAnsi="Calibri" w:cs="Calibri"/>
        </w:rPr>
        <w:t>I</w:t>
      </w:r>
      <w:r>
        <w:rPr>
          <w:rFonts w:ascii="Calibri" w:hAnsi="Calibri" w:cs="Calibri"/>
        </w:rPr>
        <w:t xml:space="preserve"> decided to help the children to “</w:t>
      </w:r>
      <w:r w:rsidR="000D10E6">
        <w:rPr>
          <w:rFonts w:ascii="Calibri" w:hAnsi="Calibri" w:cs="Calibri"/>
        </w:rPr>
        <w:t>I</w:t>
      </w:r>
      <w:r w:rsidR="000D10E6" w:rsidRPr="000D10E6">
        <w:rPr>
          <w:rFonts w:ascii="Calibri" w:hAnsi="Calibri" w:cs="Calibri"/>
        </w:rPr>
        <w:t>dentify and use text features, e.g. titles,</w:t>
      </w:r>
      <w:r w:rsidR="000D10E6">
        <w:rPr>
          <w:rFonts w:ascii="Calibri" w:hAnsi="Calibri" w:cs="Calibri"/>
        </w:rPr>
        <w:t xml:space="preserve"> </w:t>
      </w:r>
      <w:r w:rsidR="000D10E6" w:rsidRPr="000D10E6">
        <w:rPr>
          <w:rFonts w:ascii="Calibri" w:hAnsi="Calibri" w:cs="Calibri"/>
        </w:rPr>
        <w:t>headings and pictures, to locate and</w:t>
      </w:r>
      <w:r w:rsidR="000D10E6">
        <w:rPr>
          <w:rFonts w:ascii="Calibri" w:hAnsi="Calibri" w:cs="Calibri"/>
        </w:rPr>
        <w:t xml:space="preserve"> </w:t>
      </w:r>
      <w:r w:rsidR="000D10E6" w:rsidRPr="000D10E6">
        <w:rPr>
          <w:rFonts w:ascii="Calibri" w:hAnsi="Calibri" w:cs="Calibri"/>
        </w:rPr>
        <w:t>understand</w:t>
      </w:r>
      <w:r w:rsidR="000D10E6">
        <w:rPr>
          <w:rFonts w:ascii="Calibri" w:hAnsi="Calibri" w:cs="Calibri"/>
        </w:rPr>
        <w:t xml:space="preserve"> </w:t>
      </w:r>
      <w:r w:rsidR="000D10E6" w:rsidRPr="000D10E6">
        <w:rPr>
          <w:rFonts w:ascii="Calibri" w:hAnsi="Calibri" w:cs="Calibri"/>
        </w:rPr>
        <w:t>specific information</w:t>
      </w:r>
      <w:r>
        <w:rPr>
          <w:rFonts w:ascii="Calibri" w:hAnsi="Calibri" w:cs="Calibri"/>
        </w:rPr>
        <w:t xml:space="preserve">” which can be found in the “locating, selecting and using information” strand of the Foundation Phase Framework. For this session, the teacher may find it more useful to provide a social constructivists approach which is proposed by Vygotsky. This involves using scaffolding by demonstrating to the children how to solve a problem then allowing children to work together to </w:t>
      </w:r>
      <w:r w:rsidR="007D10C0">
        <w:rPr>
          <w:rFonts w:ascii="Calibri" w:hAnsi="Calibri" w:cs="Calibri"/>
        </w:rPr>
        <w:t>allow them to cross the zone of proximal development (ZPD). Vygotsky’s theory demonstrates a belief that “much important learning by the child occurs through social interaction with a skilful teacher” which explains for the use of group work to help children discuss and collaborate on their answers on a new area of the curriculum which they have not seen before to help bridge their known knowledge to where the teacher wants them to reach.</w:t>
      </w:r>
      <w:r w:rsidR="001420B1">
        <w:rPr>
          <w:rFonts w:ascii="Calibri" w:hAnsi="Calibri" w:cs="Calibri"/>
        </w:rPr>
        <w:t xml:space="preserve"> This means that the teacher must be able to demonstrate an appropriate and useful example to the children for them to be able to comprehend this new information being taught.</w:t>
      </w:r>
      <w:r w:rsidR="00533E80">
        <w:rPr>
          <w:rFonts w:ascii="Calibri" w:hAnsi="Calibri" w:cs="Calibri"/>
        </w:rPr>
        <w:t xml:space="preserve"> The teacher’s subject knowledge needs to be watertight when using this learning theory as some children may need to be given small hints or some help at first to understand what you want from them. If help is given to some </w:t>
      </w:r>
      <w:r w:rsidR="007A3DA7">
        <w:rPr>
          <w:rFonts w:ascii="Calibri" w:hAnsi="Calibri" w:cs="Calibri"/>
        </w:rPr>
        <w:t>children,</w:t>
      </w:r>
      <w:r w:rsidR="00533E80">
        <w:rPr>
          <w:rFonts w:ascii="Calibri" w:hAnsi="Calibri" w:cs="Calibri"/>
        </w:rPr>
        <w:t xml:space="preserve"> the teacher must refrain from over-teaching and must hold back allowing children to cross over the ZPD themselve</w:t>
      </w:r>
      <w:r w:rsidR="007A3DA7">
        <w:rPr>
          <w:rFonts w:ascii="Calibri" w:hAnsi="Calibri" w:cs="Calibri"/>
        </w:rPr>
        <w:t>s</w:t>
      </w:r>
      <w:r w:rsidR="00533E80">
        <w:rPr>
          <w:rFonts w:ascii="Calibri" w:hAnsi="Calibri" w:cs="Calibri"/>
        </w:rPr>
        <w:t xml:space="preserve"> through social interaction </w:t>
      </w:r>
      <w:r w:rsidR="007A3DA7">
        <w:rPr>
          <w:rFonts w:ascii="Calibri" w:hAnsi="Calibri" w:cs="Calibri"/>
        </w:rPr>
        <w:t xml:space="preserve">with other people of a similar age and ability. </w:t>
      </w:r>
      <w:r w:rsidR="00533E80">
        <w:rPr>
          <w:rFonts w:ascii="Calibri" w:hAnsi="Calibri" w:cs="Calibri"/>
        </w:rPr>
        <w:t xml:space="preserve">  </w:t>
      </w:r>
    </w:p>
    <w:p w14:paraId="5868CFCF" w14:textId="77777777" w:rsidR="00D144FC" w:rsidRDefault="00D144FC" w:rsidP="000D10E6">
      <w:pPr>
        <w:rPr>
          <w:rFonts w:ascii="Calibri" w:hAnsi="Calibri" w:cs="Calibri"/>
        </w:rPr>
      </w:pPr>
    </w:p>
    <w:p w14:paraId="58D2B993" w14:textId="01453264" w:rsidR="00E41E76" w:rsidRDefault="007A3DA7" w:rsidP="00535464">
      <w:r>
        <w:rPr>
          <w:rFonts w:ascii="Calibri" w:hAnsi="Calibri" w:cs="Calibri"/>
        </w:rPr>
        <w:t>Whilst I was in school on my Primary Teaching Experience</w:t>
      </w:r>
      <w:r w:rsidR="00E41E76">
        <w:rPr>
          <w:rFonts w:ascii="Calibri" w:hAnsi="Calibri" w:cs="Calibri"/>
        </w:rPr>
        <w:t xml:space="preserve"> (PTE)</w:t>
      </w:r>
      <w:r>
        <w:rPr>
          <w:rFonts w:ascii="Calibri" w:hAnsi="Calibri" w:cs="Calibri"/>
        </w:rPr>
        <w:t>, I decided that the year 2 class I was with could play a game in the maths session I was leading. This game was made to test their previousl</w:t>
      </w:r>
      <w:r w:rsidR="00E41E76">
        <w:rPr>
          <w:rFonts w:ascii="Calibri" w:hAnsi="Calibri" w:cs="Calibri"/>
        </w:rPr>
        <w:t>y</w:t>
      </w:r>
      <w:r>
        <w:rPr>
          <w:rFonts w:ascii="Calibri" w:hAnsi="Calibri" w:cs="Calibri"/>
        </w:rPr>
        <w:t xml:space="preserve"> learnt skill to </w:t>
      </w:r>
      <w:r>
        <w:t xml:space="preserve">“recall and use 2, 5 and 10 multiplication tables” from the “using number skills” strand of the Foundation Phase Framework in Wales. </w:t>
      </w:r>
      <w:r w:rsidR="00F041EF">
        <w:t xml:space="preserve">This game allowed me to use a different learning theory linking to Vygotsky’s theory of social constructivism. </w:t>
      </w:r>
      <w:r w:rsidR="00E1224C">
        <w:t xml:space="preserve">The game consisted of rolling two dice and multiplying their score by 10 and then the children would be encouraged to find their score on a number grid and put a counter down to mark their score visually. This would help children </w:t>
      </w:r>
      <w:r w:rsidR="006562BC">
        <w:t xml:space="preserve">to remember their own score. The teacher’s subject knowledge is required to make sure this activity runs smoothly </w:t>
      </w:r>
      <w:r w:rsidR="006562BC">
        <w:lastRenderedPageBreak/>
        <w:t>to make sure children get the correct answe</w:t>
      </w:r>
      <w:r w:rsidR="00535464">
        <w:t>r</w:t>
      </w:r>
      <w:r w:rsidR="006562BC">
        <w:t xml:space="preserve"> when multiplying their score by 10 otherwise an incorrect score could hint that the child needs more help with this topic and could lead them to win the game incorrectly.</w:t>
      </w:r>
      <w:r w:rsidR="00535464">
        <w:t xml:space="preserve"> This metho</w:t>
      </w:r>
      <w:r w:rsidR="00E34F4C">
        <w:t>d</w:t>
      </w:r>
      <w:r w:rsidR="00535464">
        <w:t xml:space="preserve"> of teaching also reinforces the behaviourist approach taken before and can be used to gauge if this method has been successful in promoting good behaviour whilst learning their “2, 5- and 10-times multiplication tables”. Donaldson’s Successful Futures report suggests that “Good teaching and learning means employing a blend of approaches including direct teaching” which supports the argumen</w:t>
      </w:r>
      <w:r w:rsidR="00E34F4C">
        <w:t>t</w:t>
      </w:r>
      <w:r w:rsidR="00535464">
        <w:t xml:space="preserve"> for using a mixture of different learning theories to greater improve the learning experience </w:t>
      </w:r>
      <w:r w:rsidR="00E34F4C">
        <w:t>for children to get the most out of an activity. To finish this session children was asked to identify their highest score and posed the question “What multiple of 10 is your highest score?”. This end to the activity was used to promote confidence in their new skills with the multiplication tables</w:t>
      </w:r>
      <w:r w:rsidR="000402FA">
        <w:t xml:space="preserve"> and should be backed up with praise for children</w:t>
      </w:r>
      <w:r w:rsidR="0094425A">
        <w:t xml:space="preserve"> who repeat </w:t>
      </w:r>
      <w:r w:rsidR="000F107C">
        <w:t>wanted behaviour to reinforc</w:t>
      </w:r>
      <w:r w:rsidR="00101E84">
        <w:t>e</w:t>
      </w:r>
      <w:r w:rsidR="000F107C">
        <w:t xml:space="preserve"> their</w:t>
      </w:r>
      <w:r w:rsidR="00101E84">
        <w:t xml:space="preserve"> learnt skill and not wanting it to become </w:t>
      </w:r>
      <w:r w:rsidR="00B90109">
        <w:t>“</w:t>
      </w:r>
      <w:r w:rsidR="00101E84">
        <w:t>extinct</w:t>
      </w:r>
      <w:r w:rsidR="00B90109">
        <w:t>”</w:t>
      </w:r>
      <w:r w:rsidR="00101E84">
        <w:t>.</w:t>
      </w:r>
    </w:p>
    <w:p w14:paraId="70A5A925" w14:textId="1E56F48B" w:rsidR="00E41E76" w:rsidRDefault="00E41E76" w:rsidP="00535464"/>
    <w:p w14:paraId="5021236A" w14:textId="086BC3FB" w:rsidR="006F32A8" w:rsidRDefault="00E41E76" w:rsidP="00B90109">
      <w:r>
        <w:t xml:space="preserve">During my PTE, I observed the class teacher leading a group of </w:t>
      </w:r>
      <w:r w:rsidR="00B90109">
        <w:t>“academically more able” students which involved th</w:t>
      </w:r>
      <w:r w:rsidR="00911210">
        <w:t>e teacher</w:t>
      </w:r>
      <w:r w:rsidR="00B90109">
        <w:t xml:space="preserve"> demonstrating the skill of being able to “follow and build upon a form modelled by the teacher” from the “Writing” strand with a focus on the “organising ideas and information” element from the Foundation Phase Framework.</w:t>
      </w:r>
      <w:r w:rsidR="00A7451C">
        <w:t xml:space="preserve"> The chosen form of writing in this task was a letter which the teacher took particular care in explaining</w:t>
      </w:r>
      <w:r w:rsidR="004E353E">
        <w:t xml:space="preserve"> how a letter should be laid out appropriately. To complete this task the teacher must have a basic knowledge and understanding of how to format a letter appropriately. This format of teaching is explained by Donaldson as “direct teaching” where the children should copy what the teacher has told them to copy and are then given the freedom to write what they want in the main body of text in the letter. The most appropriate theory used here is Skinners theory of operant conditioning known as “reinforcement”. This theory is best suited as the school I was in for my PTE used a “token economy” giving rewards for good behaviour </w:t>
      </w:r>
      <w:r w:rsidR="008B36C6">
        <w:t xml:space="preserve">(positive reinforcement) </w:t>
      </w:r>
      <w:r w:rsidR="004E353E">
        <w:t xml:space="preserve">and </w:t>
      </w:r>
      <w:r w:rsidR="008B36C6">
        <w:t xml:space="preserve">punishing bad behaviour (negative reinforcement) in the hopers to deter children from repeating “undesirable” actions within a learning experience. Two boys within the group being taught by the teacher were constantly </w:t>
      </w:r>
      <w:r w:rsidR="006F32A8">
        <w:t>talking out of turn whilst the teacher was trying to describe what they wanted the children to do. This led to the children being thre</w:t>
      </w:r>
      <w:r w:rsidR="00427745">
        <w:t>a</w:t>
      </w:r>
      <w:r w:rsidR="006F32A8">
        <w:t>tened with a punishment of moving their pegs resulting in them losing some of their break time. This immediately worked as the children had then become fearful of the punishment and were very compliant for the remainder of the session. This session relies a lot less on the teacher’s quantity of subject knowledge other than a very basic understanding of the formatting of a letter and needs less compared to other areas of the curriculum in Wales.</w:t>
      </w:r>
    </w:p>
    <w:p w14:paraId="38F4507C" w14:textId="77777777" w:rsidR="006F32A8" w:rsidRDefault="006F32A8" w:rsidP="00B90109"/>
    <w:p w14:paraId="4DC9DDAB" w14:textId="1922B0F3" w:rsidR="000532D2" w:rsidRDefault="006F32A8" w:rsidP="00B90109">
      <w:r>
        <w:t xml:space="preserve">A mathematical skill I witnessed whilst on PTE, </w:t>
      </w:r>
      <w:r w:rsidR="00BA3E26">
        <w:t xml:space="preserve">was that children were </w:t>
      </w:r>
      <w:r w:rsidR="00427745">
        <w:t>learning to” read ’half-past’, ‘quarter-past’ and ‘quarter to’ on an analogue clock”. This again was taught using a similar approach using operant conditioning whilst learning the rules of telling these times through repetition</w:t>
      </w:r>
      <w:r w:rsidR="009C3D8F">
        <w:t xml:space="preserve"> of similar examples</w:t>
      </w:r>
      <w:r w:rsidR="00427745">
        <w:t>.</w:t>
      </w:r>
      <w:r w:rsidR="00436B3C">
        <w:t xml:space="preserve"> This</w:t>
      </w:r>
      <w:r w:rsidR="00950508">
        <w:t xml:space="preserve"> skill</w:t>
      </w:r>
      <w:r w:rsidR="00436B3C">
        <w:t xml:space="preserve"> belongs to the “using measuring skills</w:t>
      </w:r>
      <w:r w:rsidR="00950508">
        <w:t>”</w:t>
      </w:r>
      <w:r w:rsidR="00436B3C">
        <w:t xml:space="preserve"> strand of the </w:t>
      </w:r>
      <w:r w:rsidR="00950508">
        <w:t>Foundation Phase Framework and benefits greatly from the use of repetition and operant conditioning theories. For this session the teacher would demonstrat</w:t>
      </w:r>
      <w:r w:rsidR="00F34DC1">
        <w:t>e</w:t>
      </w:r>
      <w:r w:rsidR="00950508">
        <w:t xml:space="preserve"> a specific half-past, quarter-past or quarter-to time using a large clock to make sure that all children can see the learning taking place which encourages engagement within the session.</w:t>
      </w:r>
      <w:r w:rsidR="00B71C2A">
        <w:t xml:space="preserve"> Teacher subject knowledge in this skill on the curriculum is required at a basic understanding of how to tell the time </w:t>
      </w:r>
      <w:r w:rsidR="00262447">
        <w:t xml:space="preserve">and how to show this best to students for them to </w:t>
      </w:r>
      <w:r w:rsidR="00262447">
        <w:lastRenderedPageBreak/>
        <w:t>understand how this works. For example, the teacher of this session used chanting to count the minutes around the whole of the clock whilst highlighting</w:t>
      </w:r>
      <w:r w:rsidR="00B869CB">
        <w:t xml:space="preserve"> (</w:t>
      </w:r>
      <w:r w:rsidR="00262447">
        <w:t>using an exaggerated pronunciation</w:t>
      </w:r>
      <w:r w:rsidR="00B869CB">
        <w:t>) the specific minutes associated with quarter-past, half-past and quarter-to times.</w:t>
      </w:r>
      <w:r w:rsidR="002934E8">
        <w:t xml:space="preserve"> This</w:t>
      </w:r>
      <w:r w:rsidR="00A003C5">
        <w:t xml:space="preserve"> skill involves using Auditory </w:t>
      </w:r>
      <w:r w:rsidR="00A36FB8">
        <w:t>learning,</w:t>
      </w:r>
      <w:r w:rsidR="00A003C5">
        <w:t xml:space="preserve"> which</w:t>
      </w:r>
      <w:r w:rsidR="00A2124B">
        <w:t xml:space="preserve"> is learning through listening and </w:t>
      </w:r>
      <w:r w:rsidR="00A36FB8">
        <w:t>speaking,</w:t>
      </w:r>
      <w:r w:rsidR="00A2124B">
        <w:t xml:space="preserve"> and the teacher has decided to use an appropriate resource (an oversized clock) to enable children to learn effectively.</w:t>
      </w:r>
      <w:r w:rsidR="008F0BDF">
        <w:t xml:space="preserve"> The teacher also decided to take the children outside to make their own clock using playground resources such as hockey sticks and hoops. This allows children to get out of the classroom and use a new area to learn in and to try to</w:t>
      </w:r>
      <w:r w:rsidR="00F34DC1">
        <w:t xml:space="preserve"> ground this information making it as simple as possible whilst encouraging engagement from all students.</w:t>
      </w:r>
      <w:r w:rsidR="008F0BDF">
        <w:t xml:space="preserve">  </w:t>
      </w:r>
    </w:p>
    <w:p w14:paraId="2E80F541" w14:textId="77777777" w:rsidR="000532D2" w:rsidRDefault="000532D2" w:rsidP="00B90109"/>
    <w:p w14:paraId="095A92A6" w14:textId="77777777" w:rsidR="00985148" w:rsidRDefault="004A4335" w:rsidP="00740569">
      <w:r>
        <w:t>Another mathematical skill I witnessed while on PTE was a focus on making children” gather and record data from: lists and tables, diagrams, block graphs and pictograms where the symbol represents one unit”</w:t>
      </w:r>
      <w:r w:rsidR="0076099F">
        <w:t xml:space="preserve"> from the “using data skills” strand from the Foundation Phase Framework. This session mainly focused on the children taking part in gathering and recording their own data for their favourit</w:t>
      </w:r>
      <w:r w:rsidR="003B108D">
        <w:t>e</w:t>
      </w:r>
      <w:r w:rsidR="0076099F">
        <w:t xml:space="preserve"> pancake toppings for a pancake day activity</w:t>
      </w:r>
      <w:r w:rsidR="003B108D">
        <w:t xml:space="preserve"> then using laptops to create pictograms to show off their findings from their very own survey</w:t>
      </w:r>
      <w:r w:rsidR="0076099F">
        <w:t>.</w:t>
      </w:r>
      <w:r w:rsidR="003B108D">
        <w:t xml:space="preserve"> Teacher subject knowledge for this activity is only needed for knowing what the easiest way is to demonstrate to the children how to create their own pictograms and what software on computers would be the best to show this aspect off.</w:t>
      </w:r>
      <w:r w:rsidR="00272442">
        <w:t xml:space="preserve"> The learning theory employed here involves constructivism which</w:t>
      </w:r>
      <w:r w:rsidR="005533DD">
        <w:t xml:space="preserve"> alludes to children learning through real world experiences to make connections. Donaldson supports this notion by emphasising the importance of</w:t>
      </w:r>
      <w:r w:rsidR="000B1ED7">
        <w:t xml:space="preserve"> being “ambitious, capable learners” who “</w:t>
      </w:r>
      <w:r w:rsidR="000B1ED7" w:rsidRPr="000B1ED7">
        <w:t>understand how to interpret data and apply mathematical concepts</w:t>
      </w:r>
      <w:r w:rsidR="000B1ED7">
        <w:t xml:space="preserve">” and </w:t>
      </w:r>
      <w:r w:rsidR="00740569">
        <w:t>can “</w:t>
      </w:r>
      <w:r w:rsidR="00740569">
        <w:t>use digital technologies creatively to communicate, find and analyse</w:t>
      </w:r>
      <w:r w:rsidR="00740569">
        <w:t xml:space="preserve"> </w:t>
      </w:r>
      <w:r w:rsidR="00740569">
        <w:t>information</w:t>
      </w:r>
      <w:r w:rsidR="00740569">
        <w:t xml:space="preserve">”. </w:t>
      </w:r>
      <w:r w:rsidR="007C5448">
        <w:t>This skill does not require a large amount of subject knowledge to be able to teach this but does require a technical knowhow to be able to engage children in learning about collecting and representing data in different suitable forms.</w:t>
      </w:r>
    </w:p>
    <w:p w14:paraId="2D9B6993" w14:textId="77777777" w:rsidR="00985148" w:rsidRDefault="00985148" w:rsidP="00740569"/>
    <w:p w14:paraId="7BC1588F" w14:textId="0928AB44" w:rsidR="00490D2F" w:rsidRDefault="002B4900" w:rsidP="002E1BFD">
      <w:r>
        <w:t xml:space="preserve">During my time in year 2 I also observed a language skill </w:t>
      </w:r>
      <w:r w:rsidR="002E1BFD">
        <w:t>where children were expected to “</w:t>
      </w:r>
      <w:r w:rsidR="002E1BFD">
        <w:t>identify key words to search for</w:t>
      </w:r>
      <w:r w:rsidR="002E1BFD">
        <w:t xml:space="preserve"> </w:t>
      </w:r>
      <w:r w:rsidR="002E1BFD">
        <w:t>information on-screen, and modify search</w:t>
      </w:r>
      <w:r w:rsidR="002E1BFD">
        <w:t xml:space="preserve"> </w:t>
      </w:r>
      <w:r w:rsidR="002E1BFD">
        <w:t>words as necessary</w:t>
      </w:r>
      <w:r w:rsidR="002E1BFD">
        <w:t>”</w:t>
      </w:r>
      <w:r w:rsidR="0099314D">
        <w:t xml:space="preserve"> which is a part of the “locating, selecting and using information” element from the “reading” strand of the Foundation Phase Framework.</w:t>
      </w:r>
      <w:r w:rsidR="00CC6898">
        <w:t xml:space="preserve"> This skill was tested using a list of “lost words” which are words that are very rarely used in modern society and are rarely seen in the surrounding environment. This knowledge of the surroundin</w:t>
      </w:r>
      <w:r w:rsidR="00F65B35">
        <w:t>g</w:t>
      </w:r>
      <w:r w:rsidR="00041BEF">
        <w:t xml:space="preserve"> </w:t>
      </w:r>
      <w:r w:rsidR="00CC6898">
        <w:t>environment is encouraged by Donaldson’s Successful Futures report where learning can take place “through exploring the local environment</w:t>
      </w:r>
      <w:r w:rsidR="00041BEF">
        <w:t>”. The learning theory used by the teacher in this session was constructivism where the children are left to explore and were given a task where they matched the name of the “lost word” to their picture. This tests the children’s knowledge and understanding of what t</w:t>
      </w:r>
      <w:r w:rsidR="00F65B35">
        <w:t xml:space="preserve">hey know already and are then given the opportunity to research the words they have not come across or are unsure of what the “lost word” looks like. The children reacted positively to this session as they were exploring new types of wildlife which is most likely due to the constructivist-style of learning. Some children performed excellently in this task and began creating fact files on all of the </w:t>
      </w:r>
      <w:r w:rsidR="00F65227">
        <w:t xml:space="preserve">words </w:t>
      </w:r>
      <w:r w:rsidR="00133DA1">
        <w:t>and the teacher utilised a “token economy” awarding points to these children to encourage this performance and behaviour in future.</w:t>
      </w:r>
    </w:p>
    <w:p w14:paraId="783F0A5E" w14:textId="257DC0F8" w:rsidR="00490D2F" w:rsidRDefault="00490D2F" w:rsidP="002E1BFD"/>
    <w:p w14:paraId="6460B7A5" w14:textId="0766AFF1" w:rsidR="00490D2F" w:rsidRDefault="00490D2F" w:rsidP="002E1BFD">
      <w:r>
        <w:lastRenderedPageBreak/>
        <w:t>From the experiences of my first Professional Teaching Practice, I discovered that teaching in some sessions on the curriculum work best when a range of learning theories are adapted to the needs of the class</w:t>
      </w:r>
      <w:r w:rsidR="0077162E">
        <w:t>.</w:t>
      </w:r>
      <w:r w:rsidR="00371DD8">
        <w:t xml:space="preserve"> Teacher Subject Knowledge</w:t>
      </w:r>
      <w:r w:rsidR="001C5F85">
        <w:t xml:space="preserve"> is proved to be vital across the curriculum as a greater knowledge </w:t>
      </w:r>
      <w:r w:rsidR="005D0978">
        <w:t xml:space="preserve">of some topics is </w:t>
      </w:r>
      <w:r w:rsidR="001C5F85">
        <w:t>useful to help children when trying to transfer knowledge from teacher to pupil</w:t>
      </w:r>
      <w:r w:rsidR="00532162">
        <w:t>s. Teacher Subject Knowledge</w:t>
      </w:r>
      <w:r w:rsidR="005D0978">
        <w:t xml:space="preserve"> is not </w:t>
      </w:r>
      <w:r w:rsidR="00532162">
        <w:t xml:space="preserve">as </w:t>
      </w:r>
      <w:r w:rsidR="005D0978">
        <w:t>essential in some</w:t>
      </w:r>
      <w:r w:rsidR="00532162">
        <w:t xml:space="preserve"> more straightforward skills e.g. telling the time. In this instance more focus should be on how you can best transfer knowledge through the appropriate use of resources and learning theories.</w:t>
      </w:r>
      <w:r w:rsidR="008932F7">
        <w:t xml:space="preserve"> Many teachers have been known to have a slight lack of confidence when it comes to teaching mathematics which could be linked to their own lessons in mathematics not being appropriately planned for the whole class leading to a reduction in confidence. This should change in the future with Donaldson’s approach to learning which has an emphasis on</w:t>
      </w:r>
      <w:r w:rsidR="00976C70">
        <w:t xml:space="preserve"> </w:t>
      </w:r>
      <w:r w:rsidR="008F0BDF">
        <w:t>making sure that</w:t>
      </w:r>
      <w:r w:rsidR="00976C70">
        <w:t xml:space="preserve"> “e</w:t>
      </w:r>
      <w:r w:rsidR="00976C70" w:rsidRPr="00976C70">
        <w:t>very child and young person benefits from personalised learning</w:t>
      </w:r>
      <w:r w:rsidR="00976C70">
        <w:t xml:space="preserve">” </w:t>
      </w:r>
      <w:r w:rsidR="008F0BDF">
        <w:t>in aid to help students become “</w:t>
      </w:r>
      <w:r w:rsidR="008F0BDF" w:rsidRPr="008F0BDF">
        <w:t>ambitious, capable learners, ready to learn throughout their lives</w:t>
      </w:r>
      <w:r w:rsidR="008F0BDF">
        <w:t>”.</w:t>
      </w:r>
      <w:r w:rsidR="00371159">
        <w:t xml:space="preserve"> This outlook by Donaldson should be encouraged and used by all teachers for both language and mathematical skills from the Foundation Phase Framework.</w:t>
      </w:r>
      <w:r w:rsidR="008F0BDF">
        <w:t xml:space="preserve">  </w:t>
      </w:r>
      <w:r w:rsidR="00976C70">
        <w:t xml:space="preserve"> </w:t>
      </w:r>
      <w:r w:rsidR="008932F7">
        <w:t xml:space="preserve"> </w:t>
      </w:r>
      <w:r w:rsidR="00532162">
        <w:t xml:space="preserve"> </w:t>
      </w:r>
      <w:r w:rsidR="00532162">
        <w:tab/>
      </w:r>
      <w:r w:rsidR="00532162">
        <w:tab/>
      </w:r>
      <w:r w:rsidR="00532162">
        <w:tab/>
      </w:r>
      <w:r w:rsidR="00532162">
        <w:tab/>
      </w:r>
      <w:r w:rsidR="00532162">
        <w:tab/>
      </w:r>
      <w:r w:rsidR="00532162">
        <w:tab/>
      </w:r>
      <w:r w:rsidR="00532162">
        <w:tab/>
      </w:r>
      <w:r w:rsidR="00532162">
        <w:tab/>
      </w:r>
      <w:r w:rsidR="00532162">
        <w:tab/>
      </w:r>
      <w:r w:rsidR="00532162">
        <w:tab/>
      </w:r>
      <w:r w:rsidR="00532162">
        <w:tab/>
      </w:r>
      <w:r w:rsidR="00532162">
        <w:tab/>
        <w:t xml:space="preserve"> </w:t>
      </w:r>
      <w:r w:rsidR="005D0978">
        <w:t xml:space="preserve"> </w:t>
      </w:r>
      <w:r w:rsidR="00532162">
        <w:t xml:space="preserve"> </w:t>
      </w:r>
      <w:r w:rsidR="00371DD8">
        <w:t xml:space="preserve"> </w:t>
      </w:r>
      <w:r>
        <w:t xml:space="preserve"> </w:t>
      </w:r>
    </w:p>
    <w:p w14:paraId="20EB97BB" w14:textId="77777777" w:rsidR="00490D2F" w:rsidRDefault="00490D2F" w:rsidP="002E1BFD"/>
    <w:p w14:paraId="08F034F8" w14:textId="436F53B8" w:rsidR="00E41E76" w:rsidRDefault="00133DA1" w:rsidP="002E1BFD">
      <w:r>
        <w:t xml:space="preserve"> </w:t>
      </w:r>
      <w:r w:rsidR="00F65B35">
        <w:t xml:space="preserve"> </w:t>
      </w:r>
      <w:r w:rsidR="00041BEF">
        <w:t xml:space="preserve"> </w:t>
      </w:r>
      <w:r w:rsidR="00CC6898">
        <w:t xml:space="preserve"> </w:t>
      </w:r>
      <w:r w:rsidR="0099314D">
        <w:t xml:space="preserve">   </w:t>
      </w:r>
      <w:r w:rsidR="002E1BFD">
        <w:t xml:space="preserve"> </w:t>
      </w:r>
      <w:r w:rsidR="002B4900">
        <w:t xml:space="preserve"> </w:t>
      </w:r>
      <w:r w:rsidR="00985148">
        <w:t xml:space="preserve">  </w:t>
      </w:r>
      <w:r w:rsidR="007C5448">
        <w:t xml:space="preserve"> </w:t>
      </w:r>
      <w:r w:rsidR="000B1ED7">
        <w:t xml:space="preserve">                                                                                                                                                                                          </w:t>
      </w:r>
      <w:r w:rsidR="005533DD">
        <w:t xml:space="preserve"> </w:t>
      </w:r>
      <w:r w:rsidR="00272442">
        <w:t xml:space="preserve">  </w:t>
      </w:r>
      <w:r w:rsidR="0076099F">
        <w:t xml:space="preserve">  </w:t>
      </w:r>
      <w:r w:rsidR="00A2124B">
        <w:t xml:space="preserve">  </w:t>
      </w:r>
      <w:r w:rsidR="00A003C5">
        <w:t xml:space="preserve"> </w:t>
      </w:r>
      <w:r w:rsidR="002934E8">
        <w:t xml:space="preserve"> </w:t>
      </w:r>
      <w:r w:rsidR="00B869CB">
        <w:t xml:space="preserve">   </w:t>
      </w:r>
    </w:p>
    <w:p w14:paraId="2F2BE356" w14:textId="2EB52337" w:rsidR="00A0056D" w:rsidRDefault="00A0056D" w:rsidP="00535464"/>
    <w:p w14:paraId="7614BB2F" w14:textId="77777777" w:rsidR="004670CE" w:rsidRPr="00535464" w:rsidRDefault="004670CE" w:rsidP="00535464"/>
    <w:p w14:paraId="1221AFE8" w14:textId="77777777" w:rsidR="00173B73" w:rsidRDefault="00173B73" w:rsidP="00B113D2">
      <w:pPr>
        <w:rPr>
          <w:rFonts w:ascii="Calibri" w:hAnsi="Calibri" w:cs="Calibri"/>
        </w:rPr>
      </w:pPr>
    </w:p>
    <w:p w14:paraId="174DCEA7" w14:textId="77777777" w:rsidR="00293083" w:rsidRDefault="00293083" w:rsidP="00B113D2">
      <w:pPr>
        <w:rPr>
          <w:rFonts w:ascii="Calibri" w:hAnsi="Calibri" w:cs="Calibri"/>
          <w:u w:val="single"/>
        </w:rPr>
      </w:pPr>
    </w:p>
    <w:p w14:paraId="799C7F76" w14:textId="77777777" w:rsidR="009C3D8F" w:rsidRDefault="009C3D8F" w:rsidP="00B113D2">
      <w:pPr>
        <w:rPr>
          <w:rFonts w:ascii="Calibri" w:hAnsi="Calibri" w:cs="Calibri"/>
        </w:rPr>
      </w:pPr>
    </w:p>
    <w:p w14:paraId="49DD4DC5" w14:textId="77777777" w:rsidR="009C3D8F" w:rsidRDefault="009C3D8F" w:rsidP="00B113D2">
      <w:pPr>
        <w:rPr>
          <w:rFonts w:ascii="Calibri" w:hAnsi="Calibri" w:cs="Calibri"/>
        </w:rPr>
      </w:pPr>
    </w:p>
    <w:p w14:paraId="6FAF55F0" w14:textId="77777777" w:rsidR="00EF7EE0" w:rsidRDefault="00EF7EE0" w:rsidP="00B113D2">
      <w:pPr>
        <w:rPr>
          <w:rFonts w:ascii="Calibri" w:hAnsi="Calibri" w:cs="Calibri"/>
          <w:u w:val="single"/>
        </w:rPr>
      </w:pPr>
    </w:p>
    <w:p w14:paraId="1310DBFE" w14:textId="77777777" w:rsidR="00EF7EE0" w:rsidRDefault="00EF7EE0" w:rsidP="00B113D2">
      <w:pPr>
        <w:rPr>
          <w:rFonts w:ascii="Calibri" w:hAnsi="Calibri" w:cs="Calibri"/>
          <w:u w:val="single"/>
        </w:rPr>
      </w:pPr>
    </w:p>
    <w:p w14:paraId="57E9D9B8" w14:textId="77777777" w:rsidR="00EF7EE0" w:rsidRDefault="00EF7EE0" w:rsidP="00B113D2">
      <w:pPr>
        <w:rPr>
          <w:rFonts w:ascii="Calibri" w:hAnsi="Calibri" w:cs="Calibri"/>
          <w:u w:val="single"/>
        </w:rPr>
      </w:pPr>
    </w:p>
    <w:p w14:paraId="49FCA595" w14:textId="08D469C1" w:rsidR="00173B73" w:rsidRDefault="00173B73" w:rsidP="00B113D2">
      <w:pPr>
        <w:rPr>
          <w:rFonts w:ascii="Calibri" w:hAnsi="Calibri" w:cs="Calibri"/>
          <w:u w:val="single"/>
        </w:rPr>
      </w:pPr>
      <w:r w:rsidRPr="00173B73">
        <w:rPr>
          <w:rFonts w:ascii="Calibri" w:hAnsi="Calibri" w:cs="Calibri"/>
          <w:u w:val="single"/>
        </w:rPr>
        <w:t>Reference List:</w:t>
      </w:r>
    </w:p>
    <w:p w14:paraId="58FB526C" w14:textId="77777777" w:rsidR="00D144FC" w:rsidRDefault="00D144FC" w:rsidP="00B113D2">
      <w:pPr>
        <w:rPr>
          <w:rFonts w:ascii="Calibri" w:hAnsi="Calibri" w:cs="Calibri"/>
        </w:rPr>
      </w:pPr>
    </w:p>
    <w:p w14:paraId="66C7D203" w14:textId="4B781646" w:rsidR="00173B73" w:rsidRDefault="00173B73" w:rsidP="00B113D2">
      <w:pPr>
        <w:rPr>
          <w:rFonts w:ascii="Calibri" w:hAnsi="Calibri" w:cs="Calibri"/>
        </w:rPr>
      </w:pPr>
      <w:r>
        <w:rPr>
          <w:rFonts w:ascii="Calibri" w:hAnsi="Calibri" w:cs="Calibri"/>
        </w:rPr>
        <w:t xml:space="preserve">Welsh Government (2015) </w:t>
      </w:r>
      <w:r w:rsidRPr="00293083">
        <w:rPr>
          <w:rFonts w:ascii="Calibri" w:hAnsi="Calibri" w:cs="Calibri"/>
          <w:i/>
        </w:rPr>
        <w:t>Curriculum for Wales: Foundation Phase Framework</w:t>
      </w:r>
    </w:p>
    <w:p w14:paraId="05DDEB6E" w14:textId="77777777" w:rsidR="00293083" w:rsidRDefault="00293083" w:rsidP="00B113D2">
      <w:pPr>
        <w:rPr>
          <w:rFonts w:ascii="Calibri" w:hAnsi="Calibri" w:cs="Calibri"/>
        </w:rPr>
      </w:pPr>
    </w:p>
    <w:p w14:paraId="7306CD0B" w14:textId="587E71BB" w:rsidR="00173B73" w:rsidRDefault="00293083" w:rsidP="00B113D2">
      <w:pPr>
        <w:rPr>
          <w:rFonts w:ascii="Calibri" w:hAnsi="Calibri" w:cs="Calibri"/>
        </w:rPr>
      </w:pPr>
      <w:r w:rsidRPr="00293083">
        <w:rPr>
          <w:rFonts w:ascii="Calibri" w:hAnsi="Calibri" w:cs="Calibri"/>
        </w:rPr>
        <w:t xml:space="preserve">McLeod, S. A. (2018, Oct 08). </w:t>
      </w:r>
      <w:r w:rsidRPr="00293083">
        <w:rPr>
          <w:rFonts w:ascii="Calibri" w:hAnsi="Calibri" w:cs="Calibri"/>
          <w:i/>
        </w:rPr>
        <w:t>Pavlov's dogs</w:t>
      </w:r>
      <w:r w:rsidRPr="00293083">
        <w:rPr>
          <w:rFonts w:ascii="Calibri" w:hAnsi="Calibri" w:cs="Calibri"/>
        </w:rPr>
        <w:t xml:space="preserve">. Retrieved from </w:t>
      </w:r>
      <w:hyperlink r:id="rId4" w:history="1">
        <w:r w:rsidRPr="00293083">
          <w:rPr>
            <w:rStyle w:val="Hyperlink"/>
            <w:rFonts w:ascii="Calibri" w:hAnsi="Calibri" w:cs="Calibri"/>
          </w:rPr>
          <w:t>https://www.simplypsych</w:t>
        </w:r>
        <w:r w:rsidRPr="00293083">
          <w:rPr>
            <w:rStyle w:val="Hyperlink"/>
            <w:rFonts w:ascii="Calibri" w:hAnsi="Calibri" w:cs="Calibri"/>
          </w:rPr>
          <w:t>o</w:t>
        </w:r>
        <w:r w:rsidRPr="00293083">
          <w:rPr>
            <w:rStyle w:val="Hyperlink"/>
            <w:rFonts w:ascii="Calibri" w:hAnsi="Calibri" w:cs="Calibri"/>
          </w:rPr>
          <w:t>logy.org/pavlov.html</w:t>
        </w:r>
      </w:hyperlink>
    </w:p>
    <w:p w14:paraId="4922D627" w14:textId="2D9D7BEE" w:rsidR="00293083" w:rsidRDefault="00293083" w:rsidP="00B113D2">
      <w:pPr>
        <w:rPr>
          <w:rFonts w:ascii="Calibri" w:hAnsi="Calibri" w:cs="Calibri"/>
        </w:rPr>
      </w:pPr>
    </w:p>
    <w:p w14:paraId="53DF5A5A" w14:textId="77777777" w:rsidR="009968BA" w:rsidRDefault="00293083" w:rsidP="00B113D2">
      <w:pPr>
        <w:rPr>
          <w:rFonts w:ascii="Calibri" w:hAnsi="Calibri" w:cs="Calibri"/>
          <w:i/>
        </w:rPr>
      </w:pPr>
      <w:r>
        <w:rPr>
          <w:rFonts w:ascii="Calibri" w:hAnsi="Calibri" w:cs="Calibri"/>
        </w:rPr>
        <w:t>Professor Graham Donaldson CB (2015, February)</w:t>
      </w:r>
      <w:r>
        <w:rPr>
          <w:rFonts w:ascii="Calibri" w:hAnsi="Calibri" w:cs="Calibri"/>
          <w:i/>
        </w:rPr>
        <w:t xml:space="preserve"> Successful Futures</w:t>
      </w:r>
    </w:p>
    <w:p w14:paraId="430F7864" w14:textId="77777777" w:rsidR="009968BA" w:rsidRDefault="009968BA" w:rsidP="00B113D2">
      <w:pPr>
        <w:rPr>
          <w:rFonts w:ascii="Calibri" w:hAnsi="Calibri" w:cs="Calibri"/>
          <w:i/>
        </w:rPr>
      </w:pPr>
    </w:p>
    <w:p w14:paraId="0DA8304E" w14:textId="47D4D87E" w:rsidR="00293083" w:rsidRPr="009968BA" w:rsidRDefault="009968BA" w:rsidP="00B113D2">
      <w:pPr>
        <w:rPr>
          <w:rFonts w:ascii="Calibri" w:hAnsi="Calibri" w:cs="Calibri"/>
        </w:rPr>
      </w:pPr>
      <w:r w:rsidRPr="009968BA">
        <w:rPr>
          <w:rFonts w:ascii="Calibri" w:hAnsi="Calibri" w:cs="Calibri"/>
        </w:rPr>
        <w:t xml:space="preserve">McLeod, S. A. (2018, Aug 05). </w:t>
      </w:r>
      <w:r w:rsidRPr="009968BA">
        <w:rPr>
          <w:rFonts w:ascii="Calibri" w:hAnsi="Calibri" w:cs="Calibri"/>
          <w:i/>
        </w:rPr>
        <w:t>Lev Vygotsky</w:t>
      </w:r>
      <w:r w:rsidRPr="009968BA">
        <w:rPr>
          <w:rFonts w:ascii="Calibri" w:hAnsi="Calibri" w:cs="Calibri"/>
        </w:rPr>
        <w:t xml:space="preserve">. Retrieved from </w:t>
      </w:r>
      <w:hyperlink r:id="rId5" w:history="1">
        <w:r w:rsidRPr="009968BA">
          <w:rPr>
            <w:rStyle w:val="Hyperlink"/>
            <w:rFonts w:ascii="Calibri" w:hAnsi="Calibri" w:cs="Calibri"/>
          </w:rPr>
          <w:t>https://www.simplypsychology.org/vygotsky.html</w:t>
        </w:r>
        <w:r w:rsidR="00293083" w:rsidRPr="009968BA">
          <w:rPr>
            <w:rStyle w:val="Hyperlink"/>
            <w:rFonts w:ascii="Calibri" w:hAnsi="Calibri" w:cs="Calibri"/>
          </w:rPr>
          <w:t xml:space="preserve"> </w:t>
        </w:r>
      </w:hyperlink>
      <w:r w:rsidR="00293083" w:rsidRPr="009968BA">
        <w:rPr>
          <w:rFonts w:ascii="Calibri" w:hAnsi="Calibri" w:cs="Calibri"/>
        </w:rPr>
        <w:t xml:space="preserve"> </w:t>
      </w:r>
    </w:p>
    <w:p w14:paraId="0C1501B9" w14:textId="77777777" w:rsidR="008B36C6" w:rsidRDefault="008B36C6" w:rsidP="00B113D2">
      <w:pPr>
        <w:rPr>
          <w:rFonts w:ascii="Calibri" w:hAnsi="Calibri" w:cs="Calibri"/>
        </w:rPr>
      </w:pPr>
    </w:p>
    <w:p w14:paraId="686B5B0A" w14:textId="5F11645F" w:rsidR="00173B73" w:rsidRPr="008B36C6" w:rsidRDefault="008B36C6" w:rsidP="00B113D2">
      <w:pPr>
        <w:rPr>
          <w:rFonts w:ascii="Calibri" w:hAnsi="Calibri" w:cs="Calibri"/>
        </w:rPr>
      </w:pPr>
      <w:r w:rsidRPr="008B36C6">
        <w:rPr>
          <w:rFonts w:ascii="Calibri" w:hAnsi="Calibri" w:cs="Calibri"/>
        </w:rPr>
        <w:t xml:space="preserve">McLeod, S. A. (2018, </w:t>
      </w:r>
      <w:proofErr w:type="gramStart"/>
      <w:r w:rsidRPr="008B36C6">
        <w:rPr>
          <w:rFonts w:ascii="Calibri" w:hAnsi="Calibri" w:cs="Calibri"/>
        </w:rPr>
        <w:t>Jan,</w:t>
      </w:r>
      <w:proofErr w:type="gramEnd"/>
      <w:r w:rsidRPr="008B36C6">
        <w:rPr>
          <w:rFonts w:ascii="Calibri" w:hAnsi="Calibri" w:cs="Calibri"/>
        </w:rPr>
        <w:t xml:space="preserve"> 21). Skinner - operant conditioning. Retrieved from </w:t>
      </w:r>
      <w:hyperlink r:id="rId6" w:history="1">
        <w:r w:rsidRPr="008B36C6">
          <w:rPr>
            <w:rStyle w:val="Hyperlink"/>
            <w:rFonts w:ascii="Calibri" w:hAnsi="Calibri" w:cs="Calibri"/>
          </w:rPr>
          <w:t>https://www.simplypsychology.org/operant-conditioning.html</w:t>
        </w:r>
      </w:hyperlink>
    </w:p>
    <w:p w14:paraId="0BC7FBE3" w14:textId="7C6922DC" w:rsidR="0037415A" w:rsidRPr="00173B73" w:rsidRDefault="00173B73" w:rsidP="00B113D2">
      <w:pPr>
        <w:rPr>
          <w:rFonts w:ascii="Calibri" w:hAnsi="Calibri" w:cs="Calibri"/>
        </w:rPr>
      </w:pPr>
      <w:r w:rsidRPr="00173B73">
        <w:rPr>
          <w:rFonts w:ascii="Calibri" w:hAnsi="Calibri" w:cs="Calibri"/>
          <w:u w:val="single"/>
        </w:rPr>
        <w:t xml:space="preserve"> </w:t>
      </w:r>
      <w:r w:rsidR="009A0A2F" w:rsidRPr="00173B73">
        <w:rPr>
          <w:rFonts w:ascii="Calibri" w:hAnsi="Calibri" w:cs="Calibri"/>
          <w:u w:val="single"/>
        </w:rPr>
        <w:t xml:space="preserve"> </w:t>
      </w:r>
      <w:r w:rsidR="009A0A2F" w:rsidRPr="00173B73">
        <w:rPr>
          <w:rFonts w:ascii="Calibri" w:hAnsi="Calibri" w:cs="Calibri"/>
        </w:rPr>
        <w:t xml:space="preserve">  </w:t>
      </w:r>
      <w:r w:rsidR="00B113D2" w:rsidRPr="00173B73">
        <w:rPr>
          <w:rFonts w:ascii="Calibri" w:hAnsi="Calibri" w:cs="Calibri"/>
        </w:rPr>
        <w:t xml:space="preserve">    </w:t>
      </w:r>
      <w:r w:rsidR="00C371C3" w:rsidRPr="00173B73">
        <w:rPr>
          <w:rFonts w:ascii="Calibri" w:hAnsi="Calibri" w:cs="Calibri"/>
        </w:rPr>
        <w:t xml:space="preserve">   </w:t>
      </w:r>
      <w:r w:rsidR="004E361A" w:rsidRPr="00173B73">
        <w:rPr>
          <w:rFonts w:ascii="Calibri" w:hAnsi="Calibri" w:cs="Calibri"/>
        </w:rPr>
        <w:t xml:space="preserve">    </w:t>
      </w:r>
      <w:r w:rsidR="00200C42" w:rsidRPr="00173B73">
        <w:rPr>
          <w:rFonts w:ascii="Calibri" w:hAnsi="Calibri" w:cs="Calibri"/>
        </w:rPr>
        <w:t xml:space="preserve"> </w:t>
      </w:r>
      <w:r w:rsidR="00DB51F3" w:rsidRPr="00173B73">
        <w:rPr>
          <w:rFonts w:ascii="Calibri" w:hAnsi="Calibri" w:cs="Calibri"/>
        </w:rPr>
        <w:t xml:space="preserve"> </w:t>
      </w:r>
      <w:r w:rsidR="00CC34D4" w:rsidRPr="00173B73">
        <w:rPr>
          <w:rFonts w:ascii="Calibri" w:hAnsi="Calibri" w:cs="Calibri"/>
        </w:rPr>
        <w:t xml:space="preserve">  </w:t>
      </w:r>
    </w:p>
    <w:sectPr w:rsidR="0037415A" w:rsidRPr="00173B73" w:rsidSect="00C2417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359"/>
    <w:rsid w:val="00002C8E"/>
    <w:rsid w:val="000402FA"/>
    <w:rsid w:val="00041BEF"/>
    <w:rsid w:val="0004580D"/>
    <w:rsid w:val="000532D2"/>
    <w:rsid w:val="000B1ED7"/>
    <w:rsid w:val="000D10E6"/>
    <w:rsid w:val="000F107C"/>
    <w:rsid w:val="00101E84"/>
    <w:rsid w:val="00133DA1"/>
    <w:rsid w:val="001420B1"/>
    <w:rsid w:val="00173B73"/>
    <w:rsid w:val="001C5F85"/>
    <w:rsid w:val="00200C42"/>
    <w:rsid w:val="0024112B"/>
    <w:rsid w:val="0024689B"/>
    <w:rsid w:val="00262447"/>
    <w:rsid w:val="00272442"/>
    <w:rsid w:val="00293083"/>
    <w:rsid w:val="002934E8"/>
    <w:rsid w:val="002A4A9E"/>
    <w:rsid w:val="002B4900"/>
    <w:rsid w:val="002E1BFD"/>
    <w:rsid w:val="0034107C"/>
    <w:rsid w:val="00371159"/>
    <w:rsid w:val="00371DD8"/>
    <w:rsid w:val="0037415A"/>
    <w:rsid w:val="003B108D"/>
    <w:rsid w:val="004153A6"/>
    <w:rsid w:val="00427745"/>
    <w:rsid w:val="00436B3C"/>
    <w:rsid w:val="00461965"/>
    <w:rsid w:val="004670CE"/>
    <w:rsid w:val="00490D2F"/>
    <w:rsid w:val="004A4335"/>
    <w:rsid w:val="004E353E"/>
    <w:rsid w:val="004E361A"/>
    <w:rsid w:val="00532162"/>
    <w:rsid w:val="00533E80"/>
    <w:rsid w:val="00535464"/>
    <w:rsid w:val="005533DD"/>
    <w:rsid w:val="00571E4E"/>
    <w:rsid w:val="005D0978"/>
    <w:rsid w:val="00610798"/>
    <w:rsid w:val="00620509"/>
    <w:rsid w:val="006562BC"/>
    <w:rsid w:val="006A3BC2"/>
    <w:rsid w:val="006E6B02"/>
    <w:rsid w:val="006F32A8"/>
    <w:rsid w:val="006F48CE"/>
    <w:rsid w:val="00740569"/>
    <w:rsid w:val="0076099F"/>
    <w:rsid w:val="0077162E"/>
    <w:rsid w:val="0078214B"/>
    <w:rsid w:val="007A3DA7"/>
    <w:rsid w:val="007C5448"/>
    <w:rsid w:val="007D10C0"/>
    <w:rsid w:val="0087163C"/>
    <w:rsid w:val="008932F7"/>
    <w:rsid w:val="008B36C6"/>
    <w:rsid w:val="008D73FB"/>
    <w:rsid w:val="008F0BDF"/>
    <w:rsid w:val="00911210"/>
    <w:rsid w:val="0091786D"/>
    <w:rsid w:val="0094425A"/>
    <w:rsid w:val="00950508"/>
    <w:rsid w:val="00976C70"/>
    <w:rsid w:val="00985148"/>
    <w:rsid w:val="0099314D"/>
    <w:rsid w:val="009968BA"/>
    <w:rsid w:val="009A0A2F"/>
    <w:rsid w:val="009B2341"/>
    <w:rsid w:val="009C3D8F"/>
    <w:rsid w:val="00A003C5"/>
    <w:rsid w:val="00A0056D"/>
    <w:rsid w:val="00A2124B"/>
    <w:rsid w:val="00A364A9"/>
    <w:rsid w:val="00A36FB8"/>
    <w:rsid w:val="00A7451C"/>
    <w:rsid w:val="00AB1FF5"/>
    <w:rsid w:val="00B113D2"/>
    <w:rsid w:val="00B71C2A"/>
    <w:rsid w:val="00B869CB"/>
    <w:rsid w:val="00B90109"/>
    <w:rsid w:val="00BA3E26"/>
    <w:rsid w:val="00C2417B"/>
    <w:rsid w:val="00C371C3"/>
    <w:rsid w:val="00CA7359"/>
    <w:rsid w:val="00CC34D4"/>
    <w:rsid w:val="00CC6898"/>
    <w:rsid w:val="00D144FC"/>
    <w:rsid w:val="00D26440"/>
    <w:rsid w:val="00DB51F3"/>
    <w:rsid w:val="00E1224C"/>
    <w:rsid w:val="00E34F4C"/>
    <w:rsid w:val="00E41E76"/>
    <w:rsid w:val="00EF7EE0"/>
    <w:rsid w:val="00F029FF"/>
    <w:rsid w:val="00F041EF"/>
    <w:rsid w:val="00F34DC1"/>
    <w:rsid w:val="00F65227"/>
    <w:rsid w:val="00F65B35"/>
    <w:rsid w:val="00FE6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D3F854"/>
  <w15:chartTrackingRefBased/>
  <w15:docId w15:val="{DDBEB2E8-5A38-964D-B93D-475F6A807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3083"/>
    <w:rPr>
      <w:color w:val="0563C1" w:themeColor="hyperlink"/>
      <w:u w:val="single"/>
    </w:rPr>
  </w:style>
  <w:style w:type="character" w:styleId="UnresolvedMention">
    <w:name w:val="Unresolved Mention"/>
    <w:basedOn w:val="DefaultParagraphFont"/>
    <w:uiPriority w:val="99"/>
    <w:semiHidden/>
    <w:unhideWhenUsed/>
    <w:rsid w:val="00293083"/>
    <w:rPr>
      <w:color w:val="605E5C"/>
      <w:shd w:val="clear" w:color="auto" w:fill="E1DFDD"/>
    </w:rPr>
  </w:style>
  <w:style w:type="character" w:styleId="FollowedHyperlink">
    <w:name w:val="FollowedHyperlink"/>
    <w:basedOn w:val="DefaultParagraphFont"/>
    <w:uiPriority w:val="99"/>
    <w:semiHidden/>
    <w:unhideWhenUsed/>
    <w:rsid w:val="002930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86730">
      <w:bodyDiv w:val="1"/>
      <w:marLeft w:val="0"/>
      <w:marRight w:val="0"/>
      <w:marTop w:val="0"/>
      <w:marBottom w:val="0"/>
      <w:divBdr>
        <w:top w:val="none" w:sz="0" w:space="0" w:color="auto"/>
        <w:left w:val="none" w:sz="0" w:space="0" w:color="auto"/>
        <w:bottom w:val="none" w:sz="0" w:space="0" w:color="auto"/>
        <w:right w:val="none" w:sz="0" w:space="0" w:color="auto"/>
      </w:divBdr>
    </w:div>
    <w:div w:id="73823367">
      <w:bodyDiv w:val="1"/>
      <w:marLeft w:val="0"/>
      <w:marRight w:val="0"/>
      <w:marTop w:val="0"/>
      <w:marBottom w:val="0"/>
      <w:divBdr>
        <w:top w:val="none" w:sz="0" w:space="0" w:color="auto"/>
        <w:left w:val="none" w:sz="0" w:space="0" w:color="auto"/>
        <w:bottom w:val="none" w:sz="0" w:space="0" w:color="auto"/>
        <w:right w:val="none" w:sz="0" w:space="0" w:color="auto"/>
      </w:divBdr>
    </w:div>
    <w:div w:id="172887903">
      <w:bodyDiv w:val="1"/>
      <w:marLeft w:val="0"/>
      <w:marRight w:val="0"/>
      <w:marTop w:val="0"/>
      <w:marBottom w:val="0"/>
      <w:divBdr>
        <w:top w:val="none" w:sz="0" w:space="0" w:color="auto"/>
        <w:left w:val="none" w:sz="0" w:space="0" w:color="auto"/>
        <w:bottom w:val="none" w:sz="0" w:space="0" w:color="auto"/>
        <w:right w:val="none" w:sz="0" w:space="0" w:color="auto"/>
      </w:divBdr>
    </w:div>
    <w:div w:id="300573750">
      <w:bodyDiv w:val="1"/>
      <w:marLeft w:val="0"/>
      <w:marRight w:val="0"/>
      <w:marTop w:val="0"/>
      <w:marBottom w:val="0"/>
      <w:divBdr>
        <w:top w:val="none" w:sz="0" w:space="0" w:color="auto"/>
        <w:left w:val="none" w:sz="0" w:space="0" w:color="auto"/>
        <w:bottom w:val="none" w:sz="0" w:space="0" w:color="auto"/>
        <w:right w:val="none" w:sz="0" w:space="0" w:color="auto"/>
      </w:divBdr>
    </w:div>
    <w:div w:id="569967519">
      <w:bodyDiv w:val="1"/>
      <w:marLeft w:val="0"/>
      <w:marRight w:val="0"/>
      <w:marTop w:val="0"/>
      <w:marBottom w:val="0"/>
      <w:divBdr>
        <w:top w:val="none" w:sz="0" w:space="0" w:color="auto"/>
        <w:left w:val="none" w:sz="0" w:space="0" w:color="auto"/>
        <w:bottom w:val="none" w:sz="0" w:space="0" w:color="auto"/>
        <w:right w:val="none" w:sz="0" w:space="0" w:color="auto"/>
      </w:divBdr>
    </w:div>
    <w:div w:id="635257849">
      <w:bodyDiv w:val="1"/>
      <w:marLeft w:val="0"/>
      <w:marRight w:val="0"/>
      <w:marTop w:val="0"/>
      <w:marBottom w:val="0"/>
      <w:divBdr>
        <w:top w:val="none" w:sz="0" w:space="0" w:color="auto"/>
        <w:left w:val="none" w:sz="0" w:space="0" w:color="auto"/>
        <w:bottom w:val="none" w:sz="0" w:space="0" w:color="auto"/>
        <w:right w:val="none" w:sz="0" w:space="0" w:color="auto"/>
      </w:divBdr>
    </w:div>
    <w:div w:id="911234064">
      <w:bodyDiv w:val="1"/>
      <w:marLeft w:val="0"/>
      <w:marRight w:val="0"/>
      <w:marTop w:val="0"/>
      <w:marBottom w:val="0"/>
      <w:divBdr>
        <w:top w:val="none" w:sz="0" w:space="0" w:color="auto"/>
        <w:left w:val="none" w:sz="0" w:space="0" w:color="auto"/>
        <w:bottom w:val="none" w:sz="0" w:space="0" w:color="auto"/>
        <w:right w:val="none" w:sz="0" w:space="0" w:color="auto"/>
      </w:divBdr>
    </w:div>
    <w:div w:id="921062139">
      <w:bodyDiv w:val="1"/>
      <w:marLeft w:val="0"/>
      <w:marRight w:val="0"/>
      <w:marTop w:val="0"/>
      <w:marBottom w:val="0"/>
      <w:divBdr>
        <w:top w:val="none" w:sz="0" w:space="0" w:color="auto"/>
        <w:left w:val="none" w:sz="0" w:space="0" w:color="auto"/>
        <w:bottom w:val="none" w:sz="0" w:space="0" w:color="auto"/>
        <w:right w:val="none" w:sz="0" w:space="0" w:color="auto"/>
      </w:divBdr>
    </w:div>
    <w:div w:id="949698809">
      <w:bodyDiv w:val="1"/>
      <w:marLeft w:val="0"/>
      <w:marRight w:val="0"/>
      <w:marTop w:val="0"/>
      <w:marBottom w:val="0"/>
      <w:divBdr>
        <w:top w:val="none" w:sz="0" w:space="0" w:color="auto"/>
        <w:left w:val="none" w:sz="0" w:space="0" w:color="auto"/>
        <w:bottom w:val="none" w:sz="0" w:space="0" w:color="auto"/>
        <w:right w:val="none" w:sz="0" w:space="0" w:color="auto"/>
      </w:divBdr>
    </w:div>
    <w:div w:id="1050035859">
      <w:bodyDiv w:val="1"/>
      <w:marLeft w:val="0"/>
      <w:marRight w:val="0"/>
      <w:marTop w:val="0"/>
      <w:marBottom w:val="0"/>
      <w:divBdr>
        <w:top w:val="none" w:sz="0" w:space="0" w:color="auto"/>
        <w:left w:val="none" w:sz="0" w:space="0" w:color="auto"/>
        <w:bottom w:val="none" w:sz="0" w:space="0" w:color="auto"/>
        <w:right w:val="none" w:sz="0" w:space="0" w:color="auto"/>
      </w:divBdr>
    </w:div>
    <w:div w:id="1400593484">
      <w:bodyDiv w:val="1"/>
      <w:marLeft w:val="0"/>
      <w:marRight w:val="0"/>
      <w:marTop w:val="0"/>
      <w:marBottom w:val="0"/>
      <w:divBdr>
        <w:top w:val="none" w:sz="0" w:space="0" w:color="auto"/>
        <w:left w:val="none" w:sz="0" w:space="0" w:color="auto"/>
        <w:bottom w:val="none" w:sz="0" w:space="0" w:color="auto"/>
        <w:right w:val="none" w:sz="0" w:space="0" w:color="auto"/>
      </w:divBdr>
    </w:div>
    <w:div w:id="1546676643">
      <w:bodyDiv w:val="1"/>
      <w:marLeft w:val="0"/>
      <w:marRight w:val="0"/>
      <w:marTop w:val="0"/>
      <w:marBottom w:val="0"/>
      <w:divBdr>
        <w:top w:val="none" w:sz="0" w:space="0" w:color="auto"/>
        <w:left w:val="none" w:sz="0" w:space="0" w:color="auto"/>
        <w:bottom w:val="none" w:sz="0" w:space="0" w:color="auto"/>
        <w:right w:val="none" w:sz="0" w:space="0" w:color="auto"/>
      </w:divBdr>
    </w:div>
    <w:div w:id="1788965505">
      <w:bodyDiv w:val="1"/>
      <w:marLeft w:val="0"/>
      <w:marRight w:val="0"/>
      <w:marTop w:val="0"/>
      <w:marBottom w:val="0"/>
      <w:divBdr>
        <w:top w:val="none" w:sz="0" w:space="0" w:color="auto"/>
        <w:left w:val="none" w:sz="0" w:space="0" w:color="auto"/>
        <w:bottom w:val="none" w:sz="0" w:space="0" w:color="auto"/>
        <w:right w:val="none" w:sz="0" w:space="0" w:color="auto"/>
      </w:divBdr>
    </w:div>
    <w:div w:id="1864244815">
      <w:bodyDiv w:val="1"/>
      <w:marLeft w:val="0"/>
      <w:marRight w:val="0"/>
      <w:marTop w:val="0"/>
      <w:marBottom w:val="0"/>
      <w:divBdr>
        <w:top w:val="none" w:sz="0" w:space="0" w:color="auto"/>
        <w:left w:val="none" w:sz="0" w:space="0" w:color="auto"/>
        <w:bottom w:val="none" w:sz="0" w:space="0" w:color="auto"/>
        <w:right w:val="none" w:sz="0" w:space="0" w:color="auto"/>
      </w:divBdr>
    </w:div>
    <w:div w:id="1905602908">
      <w:bodyDiv w:val="1"/>
      <w:marLeft w:val="0"/>
      <w:marRight w:val="0"/>
      <w:marTop w:val="0"/>
      <w:marBottom w:val="0"/>
      <w:divBdr>
        <w:top w:val="none" w:sz="0" w:space="0" w:color="auto"/>
        <w:left w:val="none" w:sz="0" w:space="0" w:color="auto"/>
        <w:bottom w:val="none" w:sz="0" w:space="0" w:color="auto"/>
        <w:right w:val="none" w:sz="0" w:space="0" w:color="auto"/>
      </w:divBdr>
    </w:div>
    <w:div w:id="2015494552">
      <w:bodyDiv w:val="1"/>
      <w:marLeft w:val="0"/>
      <w:marRight w:val="0"/>
      <w:marTop w:val="0"/>
      <w:marBottom w:val="0"/>
      <w:divBdr>
        <w:top w:val="none" w:sz="0" w:space="0" w:color="auto"/>
        <w:left w:val="none" w:sz="0" w:space="0" w:color="auto"/>
        <w:bottom w:val="none" w:sz="0" w:space="0" w:color="auto"/>
        <w:right w:val="none" w:sz="0" w:space="0" w:color="auto"/>
      </w:divBdr>
    </w:div>
    <w:div w:id="2047749714">
      <w:bodyDiv w:val="1"/>
      <w:marLeft w:val="0"/>
      <w:marRight w:val="0"/>
      <w:marTop w:val="0"/>
      <w:marBottom w:val="0"/>
      <w:divBdr>
        <w:top w:val="none" w:sz="0" w:space="0" w:color="auto"/>
        <w:left w:val="none" w:sz="0" w:space="0" w:color="auto"/>
        <w:bottom w:val="none" w:sz="0" w:space="0" w:color="auto"/>
        <w:right w:val="none" w:sz="0" w:space="0" w:color="auto"/>
      </w:divBdr>
    </w:div>
    <w:div w:id="2058317191">
      <w:bodyDiv w:val="1"/>
      <w:marLeft w:val="0"/>
      <w:marRight w:val="0"/>
      <w:marTop w:val="0"/>
      <w:marBottom w:val="0"/>
      <w:divBdr>
        <w:top w:val="none" w:sz="0" w:space="0" w:color="auto"/>
        <w:left w:val="none" w:sz="0" w:space="0" w:color="auto"/>
        <w:bottom w:val="none" w:sz="0" w:space="0" w:color="auto"/>
        <w:right w:val="none" w:sz="0" w:space="0" w:color="auto"/>
      </w:divBdr>
    </w:div>
    <w:div w:id="2103335966">
      <w:bodyDiv w:val="1"/>
      <w:marLeft w:val="0"/>
      <w:marRight w:val="0"/>
      <w:marTop w:val="0"/>
      <w:marBottom w:val="0"/>
      <w:divBdr>
        <w:top w:val="none" w:sz="0" w:space="0" w:color="auto"/>
        <w:left w:val="none" w:sz="0" w:space="0" w:color="auto"/>
        <w:bottom w:val="none" w:sz="0" w:space="0" w:color="auto"/>
        <w:right w:val="none" w:sz="0" w:space="0" w:color="auto"/>
      </w:divBdr>
    </w:div>
    <w:div w:id="2111856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operant-conditioning.html" TargetMode="External"/><Relationship Id="rId5" Type="http://schemas.openxmlformats.org/officeDocument/2006/relationships/hyperlink" Target="https://www.simplypsychology.org/vygotsky.html" TargetMode="External"/><Relationship Id="rId4" Type="http://schemas.openxmlformats.org/officeDocument/2006/relationships/hyperlink" Target="https://www.simplypsychology.org/pavlov.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730</TotalTime>
  <Pages>5</Pages>
  <Words>2645</Words>
  <Characters>15078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Gladwin (1800150)</dc:creator>
  <cp:keywords/>
  <dc:description/>
  <cp:lastModifiedBy>James Gladwin (1800150)</cp:lastModifiedBy>
  <cp:revision>53</cp:revision>
  <dcterms:created xsi:type="dcterms:W3CDTF">2019-04-19T09:03:00Z</dcterms:created>
  <dcterms:modified xsi:type="dcterms:W3CDTF">2019-04-30T10:07:00Z</dcterms:modified>
</cp:coreProperties>
</file>