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3A2C342B" w14:textId="4CDA3754" w:rsidR="00F37B62" w:rsidRDefault="00F37B62"/>
    <w:p w14:paraId="6A8965F5" w14:textId="13A7753E" w:rsidR="00F37B62" w:rsidRPr="006833D5" w:rsidRDefault="006833D5">
      <w:pPr>
        <w:rPr>
          <w:rFonts w:ascii="Arial" w:hAnsi="Arial" w:cs="Arial"/>
          <w:b/>
          <w:bCs/>
          <w:sz w:val="44"/>
          <w:szCs w:val="44"/>
        </w:rPr>
      </w:pPr>
      <w:r w:rsidRPr="006833D5">
        <w:rPr>
          <w:rFonts w:ascii="Arial" w:hAnsi="Arial" w:cs="Arial"/>
          <w:b/>
          <w:bCs/>
          <w:sz w:val="44"/>
          <w:szCs w:val="44"/>
        </w:rPr>
        <w:t xml:space="preserve">BA (Hons) Leadership and Management </w:t>
      </w:r>
    </w:p>
    <w:p w14:paraId="43FA50BC" w14:textId="77777777" w:rsidR="00F37B62" w:rsidRPr="00165928" w:rsidRDefault="00F37B62" w:rsidP="00F37B62">
      <w:pPr>
        <w:spacing w:line="600" w:lineRule="auto"/>
        <w:rPr>
          <w:rFonts w:ascii="Arial" w:hAnsi="Arial" w:cs="Arial"/>
        </w:rPr>
      </w:pPr>
    </w:p>
    <w:p w14:paraId="1EE10BBF" w14:textId="634AF1C4" w:rsidR="00F37B62" w:rsidRPr="00165928" w:rsidRDefault="00F37B62" w:rsidP="00F37B62">
      <w:pPr>
        <w:spacing w:line="600" w:lineRule="auto"/>
        <w:rPr>
          <w:rFonts w:ascii="Arial" w:hAnsi="Arial" w:cs="Arial"/>
          <w:b/>
          <w:bCs/>
          <w:i/>
          <w:iCs/>
          <w:sz w:val="28"/>
          <w:szCs w:val="28"/>
        </w:rPr>
      </w:pPr>
      <w:r w:rsidRPr="00165928">
        <w:rPr>
          <w:rFonts w:ascii="Arial" w:hAnsi="Arial" w:cs="Arial"/>
          <w:b/>
          <w:bCs/>
          <w:i/>
          <w:iCs/>
          <w:sz w:val="28"/>
          <w:szCs w:val="28"/>
        </w:rPr>
        <w:t>Student Name:</w:t>
      </w:r>
      <w:r w:rsidR="00165928">
        <w:rPr>
          <w:rFonts w:ascii="Arial" w:hAnsi="Arial" w:cs="Arial"/>
          <w:b/>
          <w:bCs/>
          <w:i/>
          <w:iCs/>
          <w:sz w:val="28"/>
          <w:szCs w:val="28"/>
        </w:rPr>
        <w:t xml:space="preserve"> Khushbakht Mirzoev</w:t>
      </w:r>
    </w:p>
    <w:p w14:paraId="432CDF3F" w14:textId="3A90E85D" w:rsidR="00F37B62" w:rsidRPr="00165928" w:rsidRDefault="00F37B62" w:rsidP="00F37B62">
      <w:pPr>
        <w:spacing w:line="600" w:lineRule="auto"/>
        <w:rPr>
          <w:rFonts w:ascii="Arial" w:hAnsi="Arial" w:cs="Arial"/>
          <w:b/>
          <w:bCs/>
          <w:i/>
          <w:iCs/>
          <w:sz w:val="28"/>
          <w:szCs w:val="28"/>
        </w:rPr>
      </w:pPr>
      <w:r w:rsidRPr="00165928">
        <w:rPr>
          <w:rFonts w:ascii="Arial" w:hAnsi="Arial" w:cs="Arial"/>
          <w:b/>
          <w:bCs/>
          <w:i/>
          <w:iCs/>
          <w:sz w:val="28"/>
          <w:szCs w:val="28"/>
        </w:rPr>
        <w:t>Student Number:</w:t>
      </w:r>
      <w:r w:rsidR="00165928">
        <w:rPr>
          <w:rFonts w:ascii="Arial" w:hAnsi="Arial" w:cs="Arial"/>
          <w:b/>
          <w:bCs/>
          <w:i/>
          <w:iCs/>
          <w:sz w:val="28"/>
          <w:szCs w:val="28"/>
        </w:rPr>
        <w:t xml:space="preserve"> 2417183</w:t>
      </w:r>
    </w:p>
    <w:p w14:paraId="777CB569" w14:textId="12655473" w:rsidR="00F37B62" w:rsidRPr="00165928" w:rsidRDefault="00F37B62" w:rsidP="19DF5ED4">
      <w:pPr>
        <w:spacing w:line="600" w:lineRule="auto"/>
        <w:rPr>
          <w:rFonts w:ascii="Arial" w:hAnsi="Arial" w:cs="Arial"/>
          <w:i/>
          <w:iCs/>
          <w:sz w:val="28"/>
          <w:szCs w:val="28"/>
        </w:rPr>
      </w:pPr>
      <w:r w:rsidRPr="00165928">
        <w:rPr>
          <w:rFonts w:ascii="Arial" w:hAnsi="Arial" w:cs="Arial"/>
          <w:b/>
          <w:bCs/>
          <w:i/>
          <w:iCs/>
          <w:sz w:val="28"/>
          <w:szCs w:val="28"/>
        </w:rPr>
        <w:t>Course Name:</w:t>
      </w:r>
      <w:r w:rsidRPr="00165928">
        <w:rPr>
          <w:rFonts w:ascii="Arial" w:hAnsi="Arial" w:cs="Arial"/>
          <w:i/>
          <w:iCs/>
          <w:sz w:val="28"/>
          <w:szCs w:val="28"/>
        </w:rPr>
        <w:t xml:space="preserve"> </w:t>
      </w:r>
      <w:r w:rsidR="006833D5" w:rsidRPr="00165928">
        <w:rPr>
          <w:rFonts w:ascii="Arial" w:hAnsi="Arial" w:cs="Arial"/>
          <w:i/>
          <w:iCs/>
          <w:sz w:val="28"/>
          <w:szCs w:val="28"/>
        </w:rPr>
        <w:t>Understanding and Engaging stakeholders LCLM5001</w:t>
      </w:r>
    </w:p>
    <w:p w14:paraId="556C6252" w14:textId="0D5902FC" w:rsidR="00F37B62" w:rsidRPr="00165928" w:rsidRDefault="00F37B62" w:rsidP="00F37B62">
      <w:pPr>
        <w:spacing w:line="600" w:lineRule="auto"/>
        <w:rPr>
          <w:rFonts w:ascii="Arial" w:hAnsi="Arial" w:cs="Arial"/>
          <w:i/>
          <w:iCs/>
          <w:sz w:val="28"/>
          <w:szCs w:val="28"/>
        </w:rPr>
      </w:pPr>
      <w:r w:rsidRPr="00165928">
        <w:rPr>
          <w:rFonts w:ascii="Arial" w:hAnsi="Arial" w:cs="Arial"/>
          <w:b/>
          <w:bCs/>
          <w:i/>
          <w:iCs/>
          <w:sz w:val="28"/>
          <w:szCs w:val="28"/>
        </w:rPr>
        <w:t xml:space="preserve">Lecturer Name: </w:t>
      </w:r>
      <w:r w:rsidR="00165928">
        <w:rPr>
          <w:rFonts w:ascii="Arial" w:hAnsi="Arial" w:cs="Arial"/>
          <w:b/>
          <w:bCs/>
          <w:i/>
          <w:iCs/>
          <w:sz w:val="28"/>
          <w:szCs w:val="28"/>
        </w:rPr>
        <w:t>Nadeem Mirza</w:t>
      </w:r>
    </w:p>
    <w:p w14:paraId="0CF901E6" w14:textId="02E81B6B" w:rsidR="00F37B62" w:rsidRPr="00165928" w:rsidRDefault="00F37B62" w:rsidP="19DF5ED4">
      <w:pPr>
        <w:spacing w:line="600" w:lineRule="auto"/>
        <w:rPr>
          <w:rFonts w:ascii="Arial" w:hAnsi="Arial" w:cs="Arial"/>
          <w:b/>
          <w:bCs/>
          <w:i/>
          <w:iCs/>
          <w:sz w:val="28"/>
          <w:szCs w:val="28"/>
        </w:rPr>
      </w:pPr>
      <w:r w:rsidRPr="00165928">
        <w:rPr>
          <w:rFonts w:ascii="Arial" w:hAnsi="Arial" w:cs="Arial"/>
          <w:b/>
          <w:bCs/>
          <w:i/>
          <w:iCs/>
          <w:sz w:val="28"/>
          <w:szCs w:val="28"/>
        </w:rPr>
        <w:t>Session</w:t>
      </w:r>
      <w:r w:rsidRPr="00165928">
        <w:rPr>
          <w:rFonts w:ascii="Arial" w:hAnsi="Arial" w:cs="Arial"/>
          <w:i/>
          <w:iCs/>
          <w:sz w:val="28"/>
          <w:szCs w:val="28"/>
        </w:rPr>
        <w:t>:</w:t>
      </w:r>
      <w:r w:rsidR="008D1598" w:rsidRPr="00165928">
        <w:rPr>
          <w:rFonts w:ascii="Arial" w:hAnsi="Arial" w:cs="Arial"/>
          <w:i/>
          <w:iCs/>
          <w:sz w:val="28"/>
          <w:szCs w:val="28"/>
        </w:rPr>
        <w:t xml:space="preserve"> Fe</w:t>
      </w:r>
      <w:r w:rsidR="006833D5" w:rsidRPr="00165928">
        <w:rPr>
          <w:rFonts w:ascii="Arial" w:hAnsi="Arial" w:cs="Arial"/>
          <w:i/>
          <w:iCs/>
          <w:sz w:val="28"/>
          <w:szCs w:val="28"/>
        </w:rPr>
        <w:t>bruary</w:t>
      </w:r>
      <w:r w:rsidR="008D1598" w:rsidRPr="00165928">
        <w:rPr>
          <w:rFonts w:ascii="Arial" w:hAnsi="Arial" w:cs="Arial"/>
          <w:i/>
          <w:iCs/>
          <w:sz w:val="28"/>
          <w:szCs w:val="28"/>
        </w:rPr>
        <w:t xml:space="preserve"> </w:t>
      </w:r>
      <w:r w:rsidRPr="00165928">
        <w:rPr>
          <w:rFonts w:ascii="Arial" w:hAnsi="Arial" w:cs="Arial"/>
          <w:b/>
          <w:bCs/>
          <w:i/>
          <w:iCs/>
          <w:sz w:val="28"/>
          <w:szCs w:val="28"/>
        </w:rPr>
        <w:t>202</w:t>
      </w:r>
      <w:r w:rsidR="008D1598" w:rsidRPr="00165928">
        <w:rPr>
          <w:rFonts w:ascii="Arial" w:hAnsi="Arial" w:cs="Arial"/>
          <w:b/>
          <w:bCs/>
          <w:i/>
          <w:iCs/>
          <w:sz w:val="28"/>
          <w:szCs w:val="28"/>
        </w:rPr>
        <w:t>5</w:t>
      </w:r>
      <w:r w:rsidRPr="00165928">
        <w:rPr>
          <w:rFonts w:ascii="Arial" w:hAnsi="Arial" w:cs="Arial"/>
          <w:b/>
          <w:bCs/>
          <w:i/>
          <w:iCs/>
          <w:sz w:val="28"/>
          <w:szCs w:val="28"/>
        </w:rPr>
        <w:t xml:space="preserve"> Term </w:t>
      </w:r>
    </w:p>
    <w:p w14:paraId="5A7D7C48" w14:textId="45598E74" w:rsidR="19DF5ED4" w:rsidRDefault="19DF5ED4" w:rsidP="19DF5ED4">
      <w:pPr>
        <w:spacing w:line="600" w:lineRule="auto"/>
        <w:rPr>
          <w:rFonts w:ascii="Arial" w:hAnsi="Arial" w:cs="Arial"/>
          <w:b/>
          <w:bCs/>
          <w:i/>
          <w:iCs/>
        </w:rPr>
      </w:pPr>
    </w:p>
    <w:p w14:paraId="0A78FB5C" w14:textId="2271F2D6" w:rsidR="19DF5ED4" w:rsidRDefault="19DF5ED4" w:rsidP="19DF5ED4">
      <w:pPr>
        <w:spacing w:line="600" w:lineRule="auto"/>
        <w:rPr>
          <w:rFonts w:ascii="Arial" w:hAnsi="Arial" w:cs="Arial"/>
          <w:b/>
          <w:bCs/>
          <w:i/>
          <w:iCs/>
        </w:rPr>
      </w:pPr>
    </w:p>
    <w:p w14:paraId="22AF23BB" w14:textId="39790727" w:rsidR="19DF5ED4" w:rsidRDefault="19DF5ED4" w:rsidP="19DF5ED4">
      <w:pPr>
        <w:spacing w:line="600" w:lineRule="auto"/>
        <w:rPr>
          <w:rFonts w:ascii="Arial" w:hAnsi="Arial" w:cs="Arial"/>
          <w:b/>
          <w:bCs/>
          <w:i/>
          <w:iCs/>
        </w:rPr>
      </w:pPr>
    </w:p>
    <w:p w14:paraId="582D0FF2" w14:textId="77777777" w:rsidR="00165928" w:rsidRDefault="00165928" w:rsidP="00165928">
      <w:pPr>
        <w:spacing w:line="600" w:lineRule="auto"/>
        <w:rPr>
          <w:rFonts w:ascii="Arial" w:hAnsi="Arial" w:cs="Arial"/>
        </w:rPr>
      </w:pPr>
    </w:p>
    <w:p w14:paraId="71A0F3E5" w14:textId="2E4D2E70" w:rsidR="00165928" w:rsidRDefault="00165928" w:rsidP="00165928">
      <w:pPr>
        <w:spacing w:line="600" w:lineRule="auto"/>
        <w:rPr>
          <w:rFonts w:ascii="Arial" w:hAnsi="Arial" w:cs="Arial"/>
          <w:b/>
          <w:bCs/>
          <w:sz w:val="32"/>
          <w:szCs w:val="32"/>
        </w:rPr>
      </w:pPr>
      <w:r>
        <w:rPr>
          <w:rFonts w:ascii="Arial" w:hAnsi="Arial" w:cs="Arial"/>
        </w:rPr>
        <w:lastRenderedPageBreak/>
        <w:t xml:space="preserve">                            </w:t>
      </w:r>
      <w:r w:rsidRPr="00165928">
        <w:rPr>
          <w:rFonts w:ascii="Arial" w:hAnsi="Arial" w:cs="Arial"/>
          <w:b/>
          <w:bCs/>
          <w:sz w:val="32"/>
          <w:szCs w:val="32"/>
        </w:rPr>
        <w:t>Table of Contents</w:t>
      </w:r>
    </w:p>
    <w:p w14:paraId="360F5E88" w14:textId="71230CFA"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1. Executive Summary.</w:t>
      </w:r>
    </w:p>
    <w:p w14:paraId="06AA5DE1" w14:textId="76CB5259"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2. Introduction .</w:t>
      </w:r>
    </w:p>
    <w:p w14:paraId="50E02561" w14:textId="3E8E5E7A"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3. Project Overview .</w:t>
      </w:r>
    </w:p>
    <w:p w14:paraId="4206CD42" w14:textId="5DDB3BB4"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4. Situational Analysis .</w:t>
      </w:r>
    </w:p>
    <w:p w14:paraId="00391FE9" w14:textId="77777777"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 xml:space="preserve">   4.1 SWOT Analysis </w:t>
      </w:r>
    </w:p>
    <w:p w14:paraId="23A83087" w14:textId="1EE8BC73"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 xml:space="preserve">   4.2 PESTLE Analysis </w:t>
      </w:r>
    </w:p>
    <w:p w14:paraId="065A7D8B" w14:textId="5C56A257"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 xml:space="preserve">   4.3 SMART Objectives </w:t>
      </w:r>
    </w:p>
    <w:p w14:paraId="588EF072" w14:textId="52CB6C4D"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 xml:space="preserve">5. Stakeholder Identification </w:t>
      </w:r>
    </w:p>
    <w:p w14:paraId="7EAB3308" w14:textId="5E3258D6"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 xml:space="preserve">6. Stakeholder Roles and Responsibilities </w:t>
      </w:r>
    </w:p>
    <w:p w14:paraId="08D1B026" w14:textId="701AA270"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 xml:space="preserve">7. Stakeholder Engagement Frameworks </w:t>
      </w:r>
    </w:p>
    <w:p w14:paraId="6F5F4731" w14:textId="63CC7BE6"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 xml:space="preserve">   7.1 Mendelow Matrix </w:t>
      </w:r>
    </w:p>
    <w:p w14:paraId="353B1524" w14:textId="6909BD1D"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 xml:space="preserve">   7.2 RACI Matrix</w:t>
      </w:r>
    </w:p>
    <w:p w14:paraId="36A6E71C" w14:textId="28F9F049"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 xml:space="preserve">   7.3 Communication Plan </w:t>
      </w:r>
    </w:p>
    <w:p w14:paraId="3BFCFFA1" w14:textId="161EA728"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 xml:space="preserve">   7.4 Engagement Plan </w:t>
      </w:r>
    </w:p>
    <w:p w14:paraId="73E790E3" w14:textId="0FBC6334"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 xml:space="preserve">8. Stakeholder Engagement Process (4C's Model) </w:t>
      </w:r>
    </w:p>
    <w:p w14:paraId="15AE46A9" w14:textId="04A3619C"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9. Impact on Business Performance</w:t>
      </w:r>
    </w:p>
    <w:p w14:paraId="055CEC96" w14:textId="28899E87" w:rsidR="00165928" w:rsidRPr="00295FAE" w:rsidRDefault="00165928" w:rsidP="00165928">
      <w:pPr>
        <w:spacing w:line="600" w:lineRule="auto"/>
        <w:rPr>
          <w:rFonts w:ascii="Arial" w:hAnsi="Arial" w:cs="Arial"/>
          <w:b/>
          <w:bCs/>
          <w:sz w:val="20"/>
          <w:szCs w:val="20"/>
        </w:rPr>
      </w:pPr>
      <w:r w:rsidRPr="00295FAE">
        <w:rPr>
          <w:rFonts w:ascii="Arial" w:hAnsi="Arial" w:cs="Arial"/>
          <w:b/>
          <w:bCs/>
          <w:sz w:val="20"/>
          <w:szCs w:val="20"/>
        </w:rPr>
        <w:t>11. Conclusion</w:t>
      </w:r>
    </w:p>
    <w:p w14:paraId="300834F4" w14:textId="49BB0830" w:rsidR="545F6007" w:rsidRPr="00295FAE" w:rsidRDefault="00165928" w:rsidP="00165928">
      <w:pPr>
        <w:spacing w:line="600" w:lineRule="auto"/>
        <w:rPr>
          <w:rFonts w:ascii="Arial" w:hAnsi="Arial" w:cs="Arial"/>
          <w:sz w:val="20"/>
          <w:szCs w:val="20"/>
        </w:rPr>
      </w:pPr>
      <w:r w:rsidRPr="00295FAE">
        <w:rPr>
          <w:rFonts w:ascii="Arial" w:hAnsi="Arial" w:cs="Arial"/>
          <w:b/>
          <w:bCs/>
          <w:sz w:val="20"/>
          <w:szCs w:val="20"/>
        </w:rPr>
        <w:t>12. References</w:t>
      </w:r>
      <w:r w:rsidRPr="00295FAE">
        <w:rPr>
          <w:rFonts w:ascii="Arial" w:hAnsi="Arial" w:cs="Arial"/>
          <w:sz w:val="20"/>
          <w:szCs w:val="20"/>
        </w:rPr>
        <w:t xml:space="preserve"> </w:t>
      </w:r>
    </w:p>
    <w:p w14:paraId="768265B8" w14:textId="01FAA0B8" w:rsidR="00295FAE" w:rsidRPr="00295FAE" w:rsidRDefault="00295FAE" w:rsidP="00295FAE">
      <w:pPr>
        <w:spacing w:line="600" w:lineRule="auto"/>
        <w:rPr>
          <w:rFonts w:ascii="Arial" w:hAnsi="Arial" w:cs="Arial"/>
          <w:b/>
          <w:bCs/>
          <w:sz w:val="28"/>
          <w:szCs w:val="28"/>
        </w:rPr>
      </w:pPr>
      <w:r>
        <w:rPr>
          <w:rFonts w:ascii="Arial" w:hAnsi="Arial" w:cs="Arial"/>
          <w:b/>
          <w:bCs/>
          <w:sz w:val="28"/>
          <w:szCs w:val="28"/>
        </w:rPr>
        <w:lastRenderedPageBreak/>
        <w:t xml:space="preserve">                             </w:t>
      </w:r>
      <w:r w:rsidRPr="00295FAE">
        <w:rPr>
          <w:rFonts w:ascii="Arial" w:hAnsi="Arial" w:cs="Arial"/>
          <w:b/>
          <w:bCs/>
          <w:sz w:val="28"/>
          <w:szCs w:val="28"/>
        </w:rPr>
        <w:t>1. Executive Summary</w:t>
      </w:r>
    </w:p>
    <w:p w14:paraId="03853CB5" w14:textId="44A694FC" w:rsidR="00295FAE" w:rsidRPr="00295FAE" w:rsidRDefault="00295FAE" w:rsidP="00295FAE">
      <w:pPr>
        <w:spacing w:line="600" w:lineRule="auto"/>
        <w:rPr>
          <w:rFonts w:ascii="Arial" w:hAnsi="Arial" w:cs="Arial"/>
          <w:sz w:val="24"/>
          <w:szCs w:val="24"/>
        </w:rPr>
      </w:pPr>
      <w:r w:rsidRPr="00295FAE">
        <w:rPr>
          <w:rFonts w:ascii="Arial" w:hAnsi="Arial" w:cs="Arial"/>
          <w:sz w:val="24"/>
          <w:szCs w:val="24"/>
        </w:rPr>
        <w:t>This report presents a stakeholder engagement strategy for the launch of “Stay Smart+” – an AI-driven, sustainability-focused premium guest experience service – at The Langham, London, with planned rollout to international markets within six months. Using stakeholder theory (Freeman, 1984) and contemporary engagement frameworks, the report identifies key internal stakeholders (executive sponsors, product development, IT, marketing, front-line hotel staff) and external stakeholders (guests, local regulators, sustainability certifiers, technology vendors). A situational analysis combining SWOT and PESTLE reveals opportunities in AI adoption but threats from UK data protection regulations. The Mendelow Matrix categorises stakeholders by power and interest, while the RACI Matrix clarifies decision-making accountabilities. The 4C’s model (Communication, Collaboration, Consultation, Commitment) is critically applied as the core engagement process for a project manager. The report concludes that effective stakeholder engagement directly improves business performance through reduced resistance, faster adoption, and brand differentiation. Recommendations include establishing a cross-cultural engagement playbook, a guest feedback loop with AI sentiment analysis, and a dedicated conflict resolution protocol.</w:t>
      </w:r>
    </w:p>
    <w:p w14:paraId="44DA441B" w14:textId="77777777" w:rsidR="00295FAE" w:rsidRDefault="00295FAE" w:rsidP="00295FAE">
      <w:pPr>
        <w:spacing w:line="600" w:lineRule="auto"/>
        <w:rPr>
          <w:rFonts w:ascii="Arial" w:hAnsi="Arial" w:cs="Arial"/>
        </w:rPr>
      </w:pPr>
    </w:p>
    <w:p w14:paraId="0A3CED0E" w14:textId="0B787EFA" w:rsidR="00295FAE" w:rsidRPr="00295FAE" w:rsidRDefault="00295FAE" w:rsidP="00295FAE">
      <w:pPr>
        <w:spacing w:line="600" w:lineRule="auto"/>
        <w:rPr>
          <w:rFonts w:ascii="Arial" w:hAnsi="Arial" w:cs="Arial"/>
          <w:b/>
          <w:bCs/>
        </w:rPr>
      </w:pPr>
      <w:r>
        <w:rPr>
          <w:rFonts w:ascii="Arial" w:hAnsi="Arial" w:cs="Arial"/>
        </w:rPr>
        <w:lastRenderedPageBreak/>
        <w:t xml:space="preserve">                                </w:t>
      </w:r>
      <w:r>
        <w:rPr>
          <w:rFonts w:ascii="Arial" w:hAnsi="Arial" w:cs="Arial"/>
          <w:b/>
          <w:bCs/>
          <w:sz w:val="28"/>
          <w:szCs w:val="28"/>
        </w:rPr>
        <w:t xml:space="preserve">  </w:t>
      </w:r>
      <w:r w:rsidRPr="00295FAE">
        <w:rPr>
          <w:rFonts w:ascii="Arial" w:hAnsi="Arial" w:cs="Arial"/>
          <w:b/>
          <w:bCs/>
          <w:sz w:val="28"/>
          <w:szCs w:val="28"/>
        </w:rPr>
        <w:t>2. Introduction</w:t>
      </w:r>
      <w:r w:rsidRPr="00295FAE">
        <w:rPr>
          <w:rFonts w:ascii="Arial" w:hAnsi="Arial" w:cs="Arial"/>
          <w:b/>
          <w:bCs/>
        </w:rPr>
        <w:t xml:space="preserve"> </w:t>
      </w:r>
    </w:p>
    <w:p w14:paraId="5E5EE509" w14:textId="39496653" w:rsidR="00295FAE" w:rsidRPr="00295FAE" w:rsidRDefault="00295FAE" w:rsidP="00295FAE">
      <w:pPr>
        <w:spacing w:line="600" w:lineRule="auto"/>
        <w:rPr>
          <w:rFonts w:ascii="Arial" w:hAnsi="Arial" w:cs="Arial"/>
        </w:rPr>
      </w:pPr>
      <w:r w:rsidRPr="00295FAE">
        <w:rPr>
          <w:rFonts w:ascii="Arial" w:hAnsi="Arial" w:cs="Arial"/>
        </w:rPr>
        <w:t>In the contemporary international hospitality industry, competitive advantage no longer derives solely from location or physical assets but from integrated, personalised, and sustainable guest experiences (Sigala, 2022). Recognising this, The Langham, London – a flagship five-star hotel with 380 rooms and a global reputation for heritage luxury – is preparing to launch “Stay Smart+”, a premium service integrating AI-driven guest interaction tools, personalised travel planning, and sustainability-focused amenities. The project requires a six-month rollout across selected international properties, including Hong Kong, Melbourne, and Chicago. However, hospitality research consistently demonstrates that 70% of service innovation failures stem not from technical flaws but from inadequate stakeholder engagement (Project Management Institute [PMI], 2023). Consequently, this report’s purpose is to systematically identify, categorise, and plan engagement for all key stakeholders whose cooperation is essential for Stay Smart+ success.</w:t>
      </w:r>
    </w:p>
    <w:p w14:paraId="39971530" w14:textId="77777777" w:rsidR="00295FAE" w:rsidRDefault="00295FAE" w:rsidP="00295FAE">
      <w:pPr>
        <w:spacing w:line="600" w:lineRule="auto"/>
        <w:rPr>
          <w:rFonts w:ascii="Arial" w:hAnsi="Arial" w:cs="Arial"/>
        </w:rPr>
      </w:pPr>
      <w:r w:rsidRPr="00295FAE">
        <w:rPr>
          <w:rFonts w:ascii="Arial" w:hAnsi="Arial" w:cs="Arial"/>
        </w:rPr>
        <w:t xml:space="preserve">The report is structured as follows: first, a situational analysis using SWOT and PESTLE to contextualise The Langham’s operating environment. Second, identification of internal and external stakeholders, detailed roles and responsibilities, and the benefits and challenges each stakeholder brings. Third, application of four engagement frameworks: Mendelow Matrix, RACI Matrix, Communication Plan, and Engagement Plan. Fourth, a critical explanation of the project manager’s process for fostering engagement using the 4C’s model (Communication, Collaboration, Consultation, Commitment), including conflict management strategies. Fifth, an evaluation of stakeholder engagement’s impact on business </w:t>
      </w:r>
      <w:r w:rsidRPr="00295FAE">
        <w:rPr>
          <w:rFonts w:ascii="Arial" w:hAnsi="Arial" w:cs="Arial"/>
        </w:rPr>
        <w:lastRenderedPageBreak/>
        <w:t>performance, followed by actionable recommendations. The report draws on stakeholder theory (Freeman, 1984), salience theory (Mitchell et al., 1997), and real-world hospitality evidence. Unless stated otherwise, all evidence is based on The Langham’s published sustainability and innovation strategies (Langham Hospitality Group, 2024)</w:t>
      </w:r>
    </w:p>
    <w:p w14:paraId="2FFA0625" w14:textId="77837167" w:rsidR="00295FAE" w:rsidRPr="00295FAE" w:rsidRDefault="00295FAE" w:rsidP="00295FAE">
      <w:pPr>
        <w:spacing w:line="600" w:lineRule="auto"/>
        <w:rPr>
          <w:rFonts w:ascii="Arial" w:hAnsi="Arial" w:cs="Arial"/>
        </w:rPr>
      </w:pPr>
      <w:r>
        <w:rPr>
          <w:rFonts w:ascii="Arial" w:hAnsi="Arial" w:cs="Arial"/>
        </w:rPr>
        <w:t xml:space="preserve">                           </w:t>
      </w:r>
      <w:r>
        <w:rPr>
          <w:rFonts w:ascii="Arial" w:hAnsi="Arial" w:cs="Arial"/>
          <w:b/>
          <w:bCs/>
          <w:sz w:val="28"/>
          <w:szCs w:val="28"/>
        </w:rPr>
        <w:t xml:space="preserve"> </w:t>
      </w:r>
      <w:r w:rsidRPr="00295FAE">
        <w:rPr>
          <w:rFonts w:ascii="Arial" w:hAnsi="Arial" w:cs="Arial"/>
          <w:b/>
          <w:bCs/>
          <w:sz w:val="28"/>
          <w:szCs w:val="28"/>
        </w:rPr>
        <w:t xml:space="preserve">3. Project Overview </w:t>
      </w:r>
    </w:p>
    <w:p w14:paraId="25CA856C" w14:textId="1AAD9F4F" w:rsidR="00295FAE" w:rsidRPr="00295FAE" w:rsidRDefault="00295FAE" w:rsidP="00295FAE">
      <w:pPr>
        <w:spacing w:line="600" w:lineRule="auto"/>
        <w:rPr>
          <w:rFonts w:ascii="Arial" w:hAnsi="Arial" w:cs="Arial"/>
        </w:rPr>
      </w:pPr>
      <w:r w:rsidRPr="00295FAE">
        <w:rPr>
          <w:rFonts w:ascii="Arial" w:hAnsi="Arial" w:cs="Arial"/>
        </w:rPr>
        <w:t>Stay Smart+ is a premium add-on service designed for high-yield business and leisure travellers. Its three core components are: (1) AI-driven guest interaction via in-room voice assistants and a mobile app that learns preferences (pillow type, dining history, room temperature); (2) personalised travel planning using generative AI to create bespoke itineraries integrating local sustainability experiences (e.g., carbon-neutral tours, farm-to-table dining); and (3) sustainability-focused amenities such as refillable luxury toiletries, in-room energy monitoring displays, and a ‘green stay’ option where guests earn loyalty points for declining daily linen changes.</w:t>
      </w:r>
    </w:p>
    <w:p w14:paraId="656D3AC0" w14:textId="1E973DA5" w:rsidR="00295FAE" w:rsidRPr="00295FAE" w:rsidRDefault="00295FAE" w:rsidP="00295FAE">
      <w:pPr>
        <w:spacing w:line="600" w:lineRule="auto"/>
        <w:rPr>
          <w:rFonts w:ascii="Arial" w:hAnsi="Arial" w:cs="Arial"/>
        </w:rPr>
      </w:pPr>
      <w:r w:rsidRPr="00295FAE">
        <w:rPr>
          <w:rFonts w:ascii="Arial" w:hAnsi="Arial" w:cs="Arial"/>
        </w:rPr>
        <w:t xml:space="preserve">The rollout timeline is six months: month 1 – technology vendor selection and compliance; month 2 – pilot at The Langham, London (50 rooms); month 3 – staff training and process integration; month 4 – soft launch for loyalty members; month 5 – full launch London; month 6 – international rollout to Hong Kong and Melbourne. The total budget is £4.2 million, covering software licences, hardware, training, and marketing. The project sponsor is the Chief Operating Officer (COO), with the Project Manager (the author) reporting directly to the COO. Success criteria include: 85% guest satisfaction score for Stay Smart+, 20% reduction </w:t>
      </w:r>
      <w:r w:rsidRPr="00295FAE">
        <w:rPr>
          <w:rFonts w:ascii="Arial" w:hAnsi="Arial" w:cs="Arial"/>
        </w:rPr>
        <w:lastRenderedPageBreak/>
        <w:t>in energy consumption per occupied room, and zero major data privacy incidents in the first six months.</w:t>
      </w:r>
    </w:p>
    <w:p w14:paraId="2A73D2A2" w14:textId="77777777" w:rsidR="00295FAE" w:rsidRPr="00295FAE" w:rsidRDefault="00000000" w:rsidP="00295FAE">
      <w:pPr>
        <w:spacing w:line="600" w:lineRule="auto"/>
        <w:rPr>
          <w:rFonts w:ascii="Arial" w:hAnsi="Arial" w:cs="Arial"/>
        </w:rPr>
      </w:pPr>
      <w:r>
        <w:rPr>
          <w:rFonts w:ascii="Arial" w:hAnsi="Arial" w:cs="Arial"/>
        </w:rPr>
        <w:pict w14:anchorId="138CDA53">
          <v:rect id="_x0000_i1025" style="width:0;height:.75pt" o:hralign="center" o:hrstd="t" o:hr="t" fillcolor="#a0a0a0" stroked="f"/>
        </w:pict>
      </w:r>
    </w:p>
    <w:p w14:paraId="3864667F" w14:textId="00A0FBF6" w:rsidR="00295FAE" w:rsidRPr="00295FAE" w:rsidRDefault="00295FAE" w:rsidP="00295FAE">
      <w:pPr>
        <w:spacing w:line="600" w:lineRule="auto"/>
        <w:rPr>
          <w:rFonts w:ascii="Arial" w:hAnsi="Arial" w:cs="Arial"/>
          <w:b/>
          <w:bCs/>
          <w:sz w:val="28"/>
          <w:szCs w:val="28"/>
        </w:rPr>
      </w:pPr>
      <w:r w:rsidRPr="00295FAE">
        <w:rPr>
          <w:rFonts w:ascii="Arial" w:hAnsi="Arial" w:cs="Arial"/>
          <w:b/>
          <w:bCs/>
          <w:sz w:val="28"/>
          <w:szCs w:val="28"/>
        </w:rPr>
        <w:t xml:space="preserve">                                                   4. Situational Analysis </w:t>
      </w:r>
    </w:p>
    <w:tbl>
      <w:tblPr>
        <w:tblpPr w:leftFromText="180" w:rightFromText="180" w:vertAnchor="text" w:horzAnchor="margin" w:tblpXSpec="center" w:tblpY="711"/>
        <w:tblW w:w="11280" w:type="dxa"/>
        <w:tblCellMar>
          <w:top w:w="15" w:type="dxa"/>
          <w:left w:w="15" w:type="dxa"/>
          <w:bottom w:w="15" w:type="dxa"/>
          <w:right w:w="15" w:type="dxa"/>
        </w:tblCellMar>
        <w:tblLook w:val="04A0" w:firstRow="1" w:lastRow="0" w:firstColumn="1" w:lastColumn="0" w:noHBand="0" w:noVBand="1"/>
      </w:tblPr>
      <w:tblGrid>
        <w:gridCol w:w="5931"/>
        <w:gridCol w:w="5349"/>
      </w:tblGrid>
      <w:tr w:rsidR="004C0BDA" w:rsidRPr="00295FAE" w14:paraId="550F614F" w14:textId="77777777" w:rsidTr="004C0BDA">
        <w:trPr>
          <w:tblHeader/>
        </w:trPr>
        <w:tc>
          <w:tcPr>
            <w:tcW w:w="0" w:type="auto"/>
            <w:tcBorders>
              <w:top w:val="single" w:sz="4" w:space="0" w:color="auto"/>
            </w:tcBorders>
            <w:shd w:val="clear" w:color="auto" w:fill="EDEDED" w:themeFill="accent3" w:themeFillTint="33"/>
            <w:tcMar>
              <w:top w:w="150" w:type="dxa"/>
              <w:left w:w="0" w:type="dxa"/>
              <w:bottom w:w="150" w:type="dxa"/>
              <w:right w:w="240" w:type="dxa"/>
            </w:tcMar>
            <w:vAlign w:val="center"/>
            <w:hideMark/>
          </w:tcPr>
          <w:p w14:paraId="0C4D7CA2" w14:textId="77777777" w:rsidR="004C0BDA" w:rsidRPr="00295FAE" w:rsidRDefault="004C0BDA" w:rsidP="004C0BDA">
            <w:r w:rsidRPr="00295FAE">
              <w:t>Strengths</w:t>
            </w:r>
          </w:p>
        </w:tc>
        <w:tc>
          <w:tcPr>
            <w:tcW w:w="0" w:type="auto"/>
            <w:tcBorders>
              <w:top w:val="single" w:sz="4" w:space="0" w:color="auto"/>
            </w:tcBorders>
            <w:shd w:val="clear" w:color="auto" w:fill="EDEDED" w:themeFill="accent3" w:themeFillTint="33"/>
            <w:tcMar>
              <w:top w:w="150" w:type="dxa"/>
              <w:left w:w="240" w:type="dxa"/>
              <w:bottom w:w="150" w:type="dxa"/>
              <w:right w:w="240" w:type="dxa"/>
            </w:tcMar>
            <w:vAlign w:val="center"/>
            <w:hideMark/>
          </w:tcPr>
          <w:p w14:paraId="13B2FFE3" w14:textId="77777777" w:rsidR="004C0BDA" w:rsidRPr="00295FAE" w:rsidRDefault="004C0BDA" w:rsidP="004C0BDA">
            <w:r w:rsidRPr="00295FAE">
              <w:t>Weaknesses</w:t>
            </w:r>
          </w:p>
        </w:tc>
      </w:tr>
      <w:tr w:rsidR="004C0BDA" w:rsidRPr="00295FAE" w14:paraId="577FEB8B" w14:textId="77777777" w:rsidTr="004C0BDA">
        <w:tc>
          <w:tcPr>
            <w:tcW w:w="0" w:type="auto"/>
            <w:shd w:val="clear" w:color="auto" w:fill="EDEDED" w:themeFill="accent3" w:themeFillTint="33"/>
            <w:tcMar>
              <w:top w:w="150" w:type="dxa"/>
              <w:left w:w="0" w:type="dxa"/>
              <w:bottom w:w="150" w:type="dxa"/>
              <w:right w:w="240" w:type="dxa"/>
            </w:tcMar>
            <w:vAlign w:val="center"/>
            <w:hideMark/>
          </w:tcPr>
          <w:p w14:paraId="4A14F63B" w14:textId="77777777" w:rsidR="004C0BDA" w:rsidRPr="00295FAE" w:rsidRDefault="004C0BDA" w:rsidP="004C0BDA">
            <w:r w:rsidRPr="00295FAE">
              <w:t>Strong brand heritage (1865) conferring guest trust</w:t>
            </w:r>
          </w:p>
        </w:tc>
        <w:tc>
          <w:tcPr>
            <w:tcW w:w="0" w:type="auto"/>
            <w:shd w:val="clear" w:color="auto" w:fill="EDEDED" w:themeFill="accent3" w:themeFillTint="33"/>
            <w:tcMar>
              <w:top w:w="150" w:type="dxa"/>
              <w:left w:w="240" w:type="dxa"/>
              <w:bottom w:w="150" w:type="dxa"/>
              <w:right w:w="0" w:type="dxa"/>
            </w:tcMar>
            <w:vAlign w:val="center"/>
            <w:hideMark/>
          </w:tcPr>
          <w:p w14:paraId="213709CE" w14:textId="77777777" w:rsidR="004C0BDA" w:rsidRPr="00295FAE" w:rsidRDefault="004C0BDA" w:rsidP="004C0BDA">
            <w:r w:rsidRPr="00295FAE">
              <w:t>Legacy IT infrastructure in older properties</w:t>
            </w:r>
          </w:p>
        </w:tc>
      </w:tr>
      <w:tr w:rsidR="004C0BDA" w:rsidRPr="00295FAE" w14:paraId="1D4F86E9" w14:textId="77777777" w:rsidTr="004C0BDA">
        <w:tc>
          <w:tcPr>
            <w:tcW w:w="0" w:type="auto"/>
            <w:shd w:val="clear" w:color="auto" w:fill="EDEDED" w:themeFill="accent3" w:themeFillTint="33"/>
            <w:tcMar>
              <w:top w:w="150" w:type="dxa"/>
              <w:left w:w="0" w:type="dxa"/>
              <w:bottom w:w="150" w:type="dxa"/>
              <w:right w:w="240" w:type="dxa"/>
            </w:tcMar>
            <w:vAlign w:val="center"/>
            <w:hideMark/>
          </w:tcPr>
          <w:p w14:paraId="617C06D1" w14:textId="77777777" w:rsidR="004C0BDA" w:rsidRPr="00295FAE" w:rsidRDefault="004C0BDA" w:rsidP="004C0BDA">
            <w:r w:rsidRPr="00295FAE">
              <w:t>Existing loyalty programme (Langham Discovery) with 5M+ members</w:t>
            </w:r>
          </w:p>
        </w:tc>
        <w:tc>
          <w:tcPr>
            <w:tcW w:w="0" w:type="auto"/>
            <w:shd w:val="clear" w:color="auto" w:fill="EDEDED" w:themeFill="accent3" w:themeFillTint="33"/>
            <w:tcMar>
              <w:top w:w="150" w:type="dxa"/>
              <w:left w:w="240" w:type="dxa"/>
              <w:bottom w:w="150" w:type="dxa"/>
              <w:right w:w="0" w:type="dxa"/>
            </w:tcMar>
            <w:vAlign w:val="center"/>
            <w:hideMark/>
          </w:tcPr>
          <w:p w14:paraId="6E1E592A" w14:textId="77777777" w:rsidR="004C0BDA" w:rsidRPr="00295FAE" w:rsidRDefault="004C0BDA" w:rsidP="004C0BDA">
            <w:r w:rsidRPr="00295FAE">
              <w:t>High staff turnover in front-line roles (35% annually)</w:t>
            </w:r>
          </w:p>
        </w:tc>
      </w:tr>
      <w:tr w:rsidR="004C0BDA" w:rsidRPr="00295FAE" w14:paraId="5F3F8C8B" w14:textId="77777777" w:rsidTr="004C0BDA">
        <w:tc>
          <w:tcPr>
            <w:tcW w:w="0" w:type="auto"/>
            <w:shd w:val="clear" w:color="auto" w:fill="EDEDED" w:themeFill="accent3" w:themeFillTint="33"/>
            <w:tcMar>
              <w:top w:w="150" w:type="dxa"/>
              <w:left w:w="0" w:type="dxa"/>
              <w:bottom w:w="150" w:type="dxa"/>
              <w:right w:w="240" w:type="dxa"/>
            </w:tcMar>
            <w:vAlign w:val="center"/>
            <w:hideMark/>
          </w:tcPr>
          <w:p w14:paraId="0EF76CCB" w14:textId="77777777" w:rsidR="004C0BDA" w:rsidRPr="00295FAE" w:rsidRDefault="004C0BDA" w:rsidP="004C0BDA">
            <w:r w:rsidRPr="00295FAE">
              <w:t>London flagship as a live innovation lab</w:t>
            </w:r>
          </w:p>
        </w:tc>
        <w:tc>
          <w:tcPr>
            <w:tcW w:w="0" w:type="auto"/>
            <w:shd w:val="clear" w:color="auto" w:fill="EDEDED" w:themeFill="accent3" w:themeFillTint="33"/>
            <w:tcMar>
              <w:top w:w="150" w:type="dxa"/>
              <w:left w:w="240" w:type="dxa"/>
              <w:bottom w:w="150" w:type="dxa"/>
              <w:right w:w="0" w:type="dxa"/>
            </w:tcMar>
            <w:vAlign w:val="center"/>
            <w:hideMark/>
          </w:tcPr>
          <w:p w14:paraId="45155A8C" w14:textId="77777777" w:rsidR="004C0BDA" w:rsidRPr="00295FAE" w:rsidRDefault="004C0BDA" w:rsidP="004C0BDA">
            <w:r w:rsidRPr="00295FAE">
              <w:t>Limited in-house AI expertise; reliance on third-party vendors</w:t>
            </w:r>
          </w:p>
        </w:tc>
      </w:tr>
      <w:tr w:rsidR="004C0BDA" w:rsidRPr="00295FAE" w14:paraId="3E7024EA" w14:textId="77777777" w:rsidTr="004C0BDA">
        <w:tc>
          <w:tcPr>
            <w:tcW w:w="0" w:type="auto"/>
            <w:tcBorders>
              <w:bottom w:val="single" w:sz="4" w:space="0" w:color="auto"/>
            </w:tcBorders>
            <w:shd w:val="clear" w:color="auto" w:fill="EDEDED" w:themeFill="accent3" w:themeFillTint="33"/>
            <w:tcMar>
              <w:top w:w="150" w:type="dxa"/>
              <w:left w:w="0" w:type="dxa"/>
              <w:bottom w:w="150" w:type="dxa"/>
              <w:right w:w="240" w:type="dxa"/>
            </w:tcMar>
            <w:vAlign w:val="center"/>
            <w:hideMark/>
          </w:tcPr>
          <w:p w14:paraId="23FF889D" w14:textId="77777777" w:rsidR="004C0BDA" w:rsidRPr="00295FAE" w:rsidRDefault="004C0BDA" w:rsidP="004C0BDA">
            <w:r w:rsidRPr="00295FAE">
              <w:t>Established sustainability certifications (Green Key)</w:t>
            </w:r>
          </w:p>
        </w:tc>
        <w:tc>
          <w:tcPr>
            <w:tcW w:w="0" w:type="auto"/>
            <w:shd w:val="clear" w:color="auto" w:fill="EDEDED" w:themeFill="accent3" w:themeFillTint="33"/>
            <w:tcMar>
              <w:top w:w="150" w:type="dxa"/>
              <w:left w:w="240" w:type="dxa"/>
              <w:bottom w:w="150" w:type="dxa"/>
              <w:right w:w="0" w:type="dxa"/>
            </w:tcMar>
            <w:vAlign w:val="center"/>
            <w:hideMark/>
          </w:tcPr>
          <w:p w14:paraId="1D28B9E4" w14:textId="77777777" w:rsidR="004C0BDA" w:rsidRPr="00295FAE" w:rsidRDefault="004C0BDA" w:rsidP="004C0BDA">
            <w:r w:rsidRPr="00295FAE">
              <w:t>Siloed departmental decision-making</w:t>
            </w:r>
          </w:p>
        </w:tc>
      </w:tr>
    </w:tbl>
    <w:p w14:paraId="7EBCE136" w14:textId="77777777" w:rsidR="00295FAE" w:rsidRPr="00295FAE" w:rsidRDefault="00295FAE" w:rsidP="00295FAE">
      <w:pPr>
        <w:spacing w:line="600" w:lineRule="auto"/>
        <w:rPr>
          <w:rFonts w:ascii="Arial" w:hAnsi="Arial" w:cs="Arial"/>
          <w:b/>
          <w:bCs/>
        </w:rPr>
      </w:pPr>
      <w:r w:rsidRPr="00295FAE">
        <w:rPr>
          <w:rFonts w:ascii="Arial" w:hAnsi="Arial" w:cs="Arial"/>
          <w:b/>
          <w:bCs/>
        </w:rPr>
        <w:t>4.1 SWOT Analysis</w:t>
      </w:r>
    </w:p>
    <w:p w14:paraId="72140A70" w14:textId="77777777" w:rsidR="00295FAE" w:rsidRDefault="00295FAE" w:rsidP="004C0BDA">
      <w:pPr>
        <w:rPr>
          <w:vanish/>
        </w:rPr>
      </w:pPr>
    </w:p>
    <w:p w14:paraId="2B8595B9" w14:textId="662D4745" w:rsidR="00295FAE" w:rsidRPr="00295FAE" w:rsidRDefault="00295FAE" w:rsidP="004C0BDA">
      <w:pPr>
        <w:rPr>
          <w:vanish/>
        </w:rPr>
      </w:pPr>
    </w:p>
    <w:tbl>
      <w:tblPr>
        <w:tblW w:w="11280" w:type="dxa"/>
        <w:tblInd w:w="-1119" w:type="dxa"/>
        <w:tblCellMar>
          <w:top w:w="15" w:type="dxa"/>
          <w:left w:w="15" w:type="dxa"/>
          <w:bottom w:w="15" w:type="dxa"/>
          <w:right w:w="15" w:type="dxa"/>
        </w:tblCellMar>
        <w:tblLook w:val="04A0" w:firstRow="1" w:lastRow="0" w:firstColumn="1" w:lastColumn="0" w:noHBand="0" w:noVBand="1"/>
      </w:tblPr>
      <w:tblGrid>
        <w:gridCol w:w="5931"/>
        <w:gridCol w:w="5349"/>
      </w:tblGrid>
      <w:tr w:rsidR="00295FAE" w:rsidRPr="00295FAE" w14:paraId="49C1DFF2" w14:textId="77777777" w:rsidTr="004C0BDA">
        <w:trPr>
          <w:tblHeader/>
        </w:trPr>
        <w:tc>
          <w:tcPr>
            <w:tcW w:w="0" w:type="auto"/>
            <w:tcBorders>
              <w:top w:val="nil"/>
            </w:tcBorders>
            <w:shd w:val="clear" w:color="auto" w:fill="EDEDED" w:themeFill="accent3" w:themeFillTint="33"/>
            <w:tcMar>
              <w:top w:w="150" w:type="dxa"/>
              <w:left w:w="0" w:type="dxa"/>
              <w:bottom w:w="150" w:type="dxa"/>
              <w:right w:w="240" w:type="dxa"/>
            </w:tcMar>
            <w:vAlign w:val="center"/>
            <w:hideMark/>
          </w:tcPr>
          <w:p w14:paraId="3ECDA536" w14:textId="77777777" w:rsidR="00295FAE" w:rsidRPr="00295FAE" w:rsidRDefault="00295FAE" w:rsidP="004C0BDA">
            <w:r w:rsidRPr="00295FAE">
              <w:t>Opportunities</w:t>
            </w:r>
          </w:p>
        </w:tc>
        <w:tc>
          <w:tcPr>
            <w:tcW w:w="0" w:type="auto"/>
            <w:tcBorders>
              <w:top w:val="nil"/>
            </w:tcBorders>
            <w:shd w:val="clear" w:color="auto" w:fill="EDEDED" w:themeFill="accent3" w:themeFillTint="33"/>
            <w:tcMar>
              <w:top w:w="150" w:type="dxa"/>
              <w:left w:w="240" w:type="dxa"/>
              <w:bottom w:w="150" w:type="dxa"/>
              <w:right w:w="240" w:type="dxa"/>
            </w:tcMar>
            <w:vAlign w:val="center"/>
            <w:hideMark/>
          </w:tcPr>
          <w:p w14:paraId="7247DBA3" w14:textId="77777777" w:rsidR="00295FAE" w:rsidRPr="00295FAE" w:rsidRDefault="00295FAE" w:rsidP="004C0BDA">
            <w:r w:rsidRPr="00295FAE">
              <w:t>Threats</w:t>
            </w:r>
          </w:p>
        </w:tc>
      </w:tr>
      <w:tr w:rsidR="00295FAE" w:rsidRPr="00295FAE" w14:paraId="6D5B1E87" w14:textId="77777777" w:rsidTr="004C0BDA">
        <w:tc>
          <w:tcPr>
            <w:tcW w:w="0" w:type="auto"/>
            <w:shd w:val="clear" w:color="auto" w:fill="EDEDED" w:themeFill="accent3" w:themeFillTint="33"/>
            <w:tcMar>
              <w:top w:w="150" w:type="dxa"/>
              <w:left w:w="0" w:type="dxa"/>
              <w:bottom w:w="150" w:type="dxa"/>
              <w:right w:w="240" w:type="dxa"/>
            </w:tcMar>
            <w:vAlign w:val="center"/>
            <w:hideMark/>
          </w:tcPr>
          <w:p w14:paraId="2DB917C3" w14:textId="77777777" w:rsidR="00295FAE" w:rsidRPr="00295FAE" w:rsidRDefault="00295FAE" w:rsidP="004C0BDA">
            <w:r w:rsidRPr="00295FAE">
              <w:t>Growing demand for AI-personalised travel (45% of luxury guests)</w:t>
            </w:r>
          </w:p>
        </w:tc>
        <w:tc>
          <w:tcPr>
            <w:tcW w:w="0" w:type="auto"/>
            <w:shd w:val="clear" w:color="auto" w:fill="EDEDED" w:themeFill="accent3" w:themeFillTint="33"/>
            <w:tcMar>
              <w:top w:w="150" w:type="dxa"/>
              <w:left w:w="240" w:type="dxa"/>
              <w:bottom w:w="150" w:type="dxa"/>
              <w:right w:w="0" w:type="dxa"/>
            </w:tcMar>
            <w:vAlign w:val="center"/>
            <w:hideMark/>
          </w:tcPr>
          <w:p w14:paraId="30D16D4E" w14:textId="77777777" w:rsidR="00295FAE" w:rsidRPr="00295FAE" w:rsidRDefault="00295FAE" w:rsidP="004C0BDA">
            <w:r w:rsidRPr="00295FAE">
              <w:t>UK GDPR and data localisation laws in EU/Asia</w:t>
            </w:r>
          </w:p>
        </w:tc>
      </w:tr>
      <w:tr w:rsidR="00295FAE" w:rsidRPr="00295FAE" w14:paraId="7A0BA6E8" w14:textId="77777777" w:rsidTr="004C0BDA">
        <w:tc>
          <w:tcPr>
            <w:tcW w:w="0" w:type="auto"/>
            <w:shd w:val="clear" w:color="auto" w:fill="EDEDED" w:themeFill="accent3" w:themeFillTint="33"/>
            <w:tcMar>
              <w:top w:w="150" w:type="dxa"/>
              <w:left w:w="0" w:type="dxa"/>
              <w:bottom w:w="150" w:type="dxa"/>
              <w:right w:w="240" w:type="dxa"/>
            </w:tcMar>
            <w:vAlign w:val="center"/>
            <w:hideMark/>
          </w:tcPr>
          <w:p w14:paraId="5BAF0F09" w14:textId="77777777" w:rsidR="00295FAE" w:rsidRPr="00295FAE" w:rsidRDefault="00295FAE" w:rsidP="004C0BDA">
            <w:r w:rsidRPr="00295FAE">
              <w:t>Cross-selling to corporate accounts (ESG reporting needs)</w:t>
            </w:r>
          </w:p>
        </w:tc>
        <w:tc>
          <w:tcPr>
            <w:tcW w:w="0" w:type="auto"/>
            <w:shd w:val="clear" w:color="auto" w:fill="EDEDED" w:themeFill="accent3" w:themeFillTint="33"/>
            <w:tcMar>
              <w:top w:w="150" w:type="dxa"/>
              <w:left w:w="240" w:type="dxa"/>
              <w:bottom w:w="150" w:type="dxa"/>
              <w:right w:w="0" w:type="dxa"/>
            </w:tcMar>
            <w:vAlign w:val="center"/>
            <w:hideMark/>
          </w:tcPr>
          <w:p w14:paraId="65E0BEFC" w14:textId="77777777" w:rsidR="00295FAE" w:rsidRPr="00295FAE" w:rsidRDefault="00295FAE" w:rsidP="004C0BDA">
            <w:r w:rsidRPr="00295FAE">
              <w:t>Resistance from older, traditionalist staff</w:t>
            </w:r>
          </w:p>
        </w:tc>
      </w:tr>
      <w:tr w:rsidR="00295FAE" w:rsidRPr="00295FAE" w14:paraId="39AB5DEF" w14:textId="77777777" w:rsidTr="004C0BDA">
        <w:tc>
          <w:tcPr>
            <w:tcW w:w="0" w:type="auto"/>
            <w:shd w:val="clear" w:color="auto" w:fill="EDEDED" w:themeFill="accent3" w:themeFillTint="33"/>
            <w:tcMar>
              <w:top w:w="150" w:type="dxa"/>
              <w:left w:w="0" w:type="dxa"/>
              <w:bottom w:w="150" w:type="dxa"/>
              <w:right w:w="240" w:type="dxa"/>
            </w:tcMar>
            <w:vAlign w:val="center"/>
            <w:hideMark/>
          </w:tcPr>
          <w:p w14:paraId="2C0EF88F" w14:textId="77777777" w:rsidR="00295FAE" w:rsidRPr="00295FAE" w:rsidRDefault="00295FAE" w:rsidP="004C0BDA">
            <w:r w:rsidRPr="00295FAE">
              <w:t>Partnerships with local sustainable tour operators</w:t>
            </w:r>
          </w:p>
        </w:tc>
        <w:tc>
          <w:tcPr>
            <w:tcW w:w="0" w:type="auto"/>
            <w:shd w:val="clear" w:color="auto" w:fill="EDEDED" w:themeFill="accent3" w:themeFillTint="33"/>
            <w:tcMar>
              <w:top w:w="150" w:type="dxa"/>
              <w:left w:w="240" w:type="dxa"/>
              <w:bottom w:w="150" w:type="dxa"/>
              <w:right w:w="0" w:type="dxa"/>
            </w:tcMar>
            <w:vAlign w:val="center"/>
            <w:hideMark/>
          </w:tcPr>
          <w:p w14:paraId="55625D8A" w14:textId="77777777" w:rsidR="00295FAE" w:rsidRPr="00295FAE" w:rsidRDefault="00295FAE" w:rsidP="004C0BDA">
            <w:r w:rsidRPr="00295FAE">
              <w:t>Reputational risk if AI breaches privacy</w:t>
            </w:r>
          </w:p>
        </w:tc>
      </w:tr>
      <w:tr w:rsidR="00295FAE" w:rsidRPr="00295FAE" w14:paraId="71958BB0" w14:textId="77777777" w:rsidTr="004C0BDA">
        <w:tc>
          <w:tcPr>
            <w:tcW w:w="0" w:type="auto"/>
            <w:tcBorders>
              <w:bottom w:val="single" w:sz="4" w:space="0" w:color="auto"/>
            </w:tcBorders>
            <w:shd w:val="clear" w:color="auto" w:fill="EDEDED" w:themeFill="accent3" w:themeFillTint="33"/>
            <w:tcMar>
              <w:top w:w="150" w:type="dxa"/>
              <w:left w:w="0" w:type="dxa"/>
              <w:bottom w:w="150" w:type="dxa"/>
              <w:right w:w="240" w:type="dxa"/>
            </w:tcMar>
            <w:vAlign w:val="center"/>
            <w:hideMark/>
          </w:tcPr>
          <w:p w14:paraId="7E3F7BC1" w14:textId="77777777" w:rsidR="00295FAE" w:rsidRPr="00295FAE" w:rsidRDefault="00295FAE" w:rsidP="004C0BDA">
            <w:r w:rsidRPr="00295FAE">
              <w:t>First-mover advantage among heritage luxury hotels</w:t>
            </w:r>
          </w:p>
        </w:tc>
        <w:tc>
          <w:tcPr>
            <w:tcW w:w="0" w:type="auto"/>
            <w:shd w:val="clear" w:color="auto" w:fill="EDEDED" w:themeFill="accent3" w:themeFillTint="33"/>
            <w:tcMar>
              <w:top w:w="150" w:type="dxa"/>
              <w:left w:w="240" w:type="dxa"/>
              <w:bottom w:w="150" w:type="dxa"/>
              <w:right w:w="0" w:type="dxa"/>
            </w:tcMar>
            <w:vAlign w:val="center"/>
            <w:hideMark/>
          </w:tcPr>
          <w:p w14:paraId="647B8476" w14:textId="77777777" w:rsidR="00295FAE" w:rsidRPr="00295FAE" w:rsidRDefault="00295FAE" w:rsidP="004C0BDA">
            <w:r w:rsidRPr="00295FAE">
              <w:t>Exchange rate volatility affecting international rollout costs</w:t>
            </w:r>
          </w:p>
        </w:tc>
      </w:tr>
    </w:tbl>
    <w:p w14:paraId="54DC8D6A" w14:textId="77777777" w:rsidR="004C0BDA" w:rsidRDefault="004C0BDA" w:rsidP="00295FAE">
      <w:pPr>
        <w:spacing w:line="600" w:lineRule="auto"/>
        <w:rPr>
          <w:rFonts w:ascii="Arial" w:hAnsi="Arial" w:cs="Arial"/>
        </w:rPr>
      </w:pPr>
    </w:p>
    <w:p w14:paraId="111CE390" w14:textId="5F5B83CF" w:rsidR="00295FAE" w:rsidRPr="00295FAE" w:rsidRDefault="00295FAE" w:rsidP="00295FAE">
      <w:pPr>
        <w:spacing w:line="600" w:lineRule="auto"/>
        <w:rPr>
          <w:rFonts w:ascii="Arial" w:hAnsi="Arial" w:cs="Arial"/>
        </w:rPr>
      </w:pPr>
      <w:r w:rsidRPr="00295FAE">
        <w:rPr>
          <w:rFonts w:ascii="Arial" w:hAnsi="Arial" w:cs="Arial"/>
          <w:i/>
          <w:iCs/>
        </w:rPr>
        <w:t>Adapted from Langham Hospitality Group (2024) internal strategy documents.</w:t>
      </w:r>
    </w:p>
    <w:p w14:paraId="1C52D246" w14:textId="76002A87" w:rsidR="00295FAE" w:rsidRPr="00295FAE" w:rsidRDefault="004C0BDA" w:rsidP="00295FAE">
      <w:pPr>
        <w:spacing w:line="600" w:lineRule="auto"/>
        <w:rPr>
          <w:rFonts w:ascii="Arial" w:hAnsi="Arial" w:cs="Arial"/>
          <w:b/>
          <w:bCs/>
        </w:rPr>
      </w:pPr>
      <w:r>
        <w:rPr>
          <w:rFonts w:ascii="Arial" w:hAnsi="Arial" w:cs="Arial"/>
          <w:b/>
          <w:bCs/>
        </w:rPr>
        <w:lastRenderedPageBreak/>
        <w:t xml:space="preserve">       </w:t>
      </w:r>
      <w:r w:rsidR="00295FAE" w:rsidRPr="00295FAE">
        <w:rPr>
          <w:rFonts w:ascii="Arial" w:hAnsi="Arial" w:cs="Arial"/>
          <w:b/>
          <w:bCs/>
        </w:rPr>
        <w:t>4.2 PESTLE Analysis</w:t>
      </w:r>
    </w:p>
    <w:p w14:paraId="30597B6E" w14:textId="77777777" w:rsidR="00295FAE" w:rsidRPr="00295FAE" w:rsidRDefault="00295FAE" w:rsidP="00295FAE">
      <w:pPr>
        <w:spacing w:line="600" w:lineRule="auto"/>
        <w:rPr>
          <w:rFonts w:ascii="Arial" w:hAnsi="Arial" w:cs="Arial"/>
        </w:rPr>
      </w:pPr>
      <w:r w:rsidRPr="00295FAE">
        <w:rPr>
          <w:rFonts w:ascii="Arial" w:hAnsi="Arial" w:cs="Arial"/>
          <w:b/>
          <w:bCs/>
        </w:rPr>
        <w:t>Political:</w:t>
      </w:r>
      <w:r w:rsidRPr="00295FAE">
        <w:rPr>
          <w:rFonts w:ascii="Arial" w:hAnsi="Arial" w:cs="Arial"/>
        </w:rPr>
        <w:t> Post-Brexit UK-EU data flow restrictions complicate guest data sharing between London and Paris properties. China’s cybersecurity law requires guest data generated in Hong Kong to remain on local servers, necessitating separate cloud instances.</w:t>
      </w:r>
    </w:p>
    <w:p w14:paraId="73E1070C" w14:textId="77777777" w:rsidR="00295FAE" w:rsidRPr="00295FAE" w:rsidRDefault="00295FAE" w:rsidP="00295FAE">
      <w:pPr>
        <w:spacing w:line="600" w:lineRule="auto"/>
        <w:rPr>
          <w:rFonts w:ascii="Arial" w:hAnsi="Arial" w:cs="Arial"/>
        </w:rPr>
      </w:pPr>
      <w:r w:rsidRPr="00295FAE">
        <w:rPr>
          <w:rFonts w:ascii="Arial" w:hAnsi="Arial" w:cs="Arial"/>
          <w:b/>
          <w:bCs/>
        </w:rPr>
        <w:t>Economic:</w:t>
      </w:r>
      <w:r w:rsidRPr="00295FAE">
        <w:rPr>
          <w:rFonts w:ascii="Arial" w:hAnsi="Arial" w:cs="Arial"/>
        </w:rPr>
        <w:t> UK hospitality sector recovery remains uneven; 5% inflation on technology hardware has increased project costs. However, high-spending international travellers (US, Middle East) are returning to London, creating demand for premium services.</w:t>
      </w:r>
    </w:p>
    <w:p w14:paraId="1AD83A44" w14:textId="77777777" w:rsidR="00295FAE" w:rsidRPr="00295FAE" w:rsidRDefault="00295FAE" w:rsidP="00295FAE">
      <w:pPr>
        <w:spacing w:line="600" w:lineRule="auto"/>
        <w:rPr>
          <w:rFonts w:ascii="Arial" w:hAnsi="Arial" w:cs="Arial"/>
        </w:rPr>
      </w:pPr>
      <w:r w:rsidRPr="00295FAE">
        <w:rPr>
          <w:rFonts w:ascii="Arial" w:hAnsi="Arial" w:cs="Arial"/>
          <w:b/>
          <w:bCs/>
        </w:rPr>
        <w:t>Social:</w:t>
      </w:r>
      <w:r w:rsidRPr="00295FAE">
        <w:rPr>
          <w:rFonts w:ascii="Arial" w:hAnsi="Arial" w:cs="Arial"/>
        </w:rPr>
        <w:t> Growing consumer awareness of ‘greenwashing’ means sustainability claims must be verifiable. Additionally, 62% of luxury travellers report discomfort with excessive AI surveillance (</w:t>
      </w:r>
      <w:hyperlink r:id="rId9" w:tgtFrame="_blank" w:history="1">
        <w:r w:rsidRPr="00295FAE">
          <w:rPr>
            <w:rStyle w:val="Hyperlink"/>
            <w:rFonts w:ascii="Arial" w:hAnsi="Arial" w:cs="Arial"/>
          </w:rPr>
          <w:t>Booking.com</w:t>
        </w:r>
      </w:hyperlink>
      <w:r w:rsidRPr="00295FAE">
        <w:rPr>
          <w:rFonts w:ascii="Arial" w:hAnsi="Arial" w:cs="Arial"/>
        </w:rPr>
        <w:t>, 2024). The Langham must balance personalisation with privacy.</w:t>
      </w:r>
    </w:p>
    <w:p w14:paraId="7440138C" w14:textId="77777777" w:rsidR="00295FAE" w:rsidRPr="00295FAE" w:rsidRDefault="00295FAE" w:rsidP="00295FAE">
      <w:pPr>
        <w:spacing w:line="600" w:lineRule="auto"/>
        <w:rPr>
          <w:rFonts w:ascii="Arial" w:hAnsi="Arial" w:cs="Arial"/>
        </w:rPr>
      </w:pPr>
      <w:r w:rsidRPr="00295FAE">
        <w:rPr>
          <w:rFonts w:ascii="Arial" w:hAnsi="Arial" w:cs="Arial"/>
          <w:b/>
          <w:bCs/>
        </w:rPr>
        <w:t>Technological:</w:t>
      </w:r>
      <w:r w:rsidRPr="00295FAE">
        <w:rPr>
          <w:rFonts w:ascii="Arial" w:hAnsi="Arial" w:cs="Arial"/>
        </w:rPr>
        <w:t> Rapid evolution of generative AI (e.g., GPT-5 expected within 12 months) creates opportunity but also obsolescence risk. Voice assistant accuracy for non-native English speakers (key market: Chinese guests) remains suboptimal.</w:t>
      </w:r>
    </w:p>
    <w:p w14:paraId="593AE1B0" w14:textId="77777777" w:rsidR="00295FAE" w:rsidRPr="00295FAE" w:rsidRDefault="00295FAE" w:rsidP="00295FAE">
      <w:pPr>
        <w:spacing w:line="600" w:lineRule="auto"/>
        <w:rPr>
          <w:rFonts w:ascii="Arial" w:hAnsi="Arial" w:cs="Arial"/>
        </w:rPr>
      </w:pPr>
      <w:r w:rsidRPr="00295FAE">
        <w:rPr>
          <w:rFonts w:ascii="Arial" w:hAnsi="Arial" w:cs="Arial"/>
          <w:b/>
          <w:bCs/>
        </w:rPr>
        <w:t>Legal:</w:t>
      </w:r>
      <w:r w:rsidRPr="00295FAE">
        <w:rPr>
          <w:rFonts w:ascii="Arial" w:hAnsi="Arial" w:cs="Arial"/>
        </w:rPr>
        <w:t> UK GDPR Article 22 grants guests the right to not be subject to solely automated decision-making. Therefore, AI recommendations must include a human override option. The Langham’s legal team has flagged potential liability if the AI recommends a travel activity that results in injury.</w:t>
      </w:r>
    </w:p>
    <w:p w14:paraId="42F0F248" w14:textId="3D4D1DBA" w:rsidR="00295FAE" w:rsidRPr="00295FAE" w:rsidRDefault="00295FAE" w:rsidP="00295FAE">
      <w:pPr>
        <w:spacing w:line="600" w:lineRule="auto"/>
        <w:rPr>
          <w:rFonts w:ascii="Arial" w:hAnsi="Arial" w:cs="Arial"/>
        </w:rPr>
      </w:pPr>
      <w:r w:rsidRPr="00295FAE">
        <w:rPr>
          <w:rFonts w:ascii="Arial" w:hAnsi="Arial" w:cs="Arial"/>
          <w:b/>
          <w:bCs/>
        </w:rPr>
        <w:t>Environmental:</w:t>
      </w:r>
      <w:r w:rsidRPr="00295FAE">
        <w:rPr>
          <w:rFonts w:ascii="Arial" w:hAnsi="Arial" w:cs="Arial"/>
        </w:rPr>
        <w:t xml:space="preserve"> The Langham has committed to net-zero carbon by 2030. </w:t>
      </w:r>
      <w:r w:rsidR="008158DB" w:rsidRPr="00295FAE">
        <w:rPr>
          <w:rFonts w:ascii="Arial" w:hAnsi="Arial" w:cs="Arial"/>
        </w:rPr>
        <w:t xml:space="preserve">Stay </w:t>
      </w:r>
      <w:proofErr w:type="spellStart"/>
      <w:r w:rsidR="008158DB" w:rsidRPr="00295FAE">
        <w:rPr>
          <w:rFonts w:ascii="Arial" w:hAnsi="Arial" w:cs="Arial"/>
        </w:rPr>
        <w:t>Smart</w:t>
      </w:r>
      <w:r w:rsidRPr="00295FAE">
        <w:rPr>
          <w:rFonts w:ascii="Arial" w:hAnsi="Arial" w:cs="Arial"/>
        </w:rPr>
        <w:t>+’s</w:t>
      </w:r>
      <w:proofErr w:type="spellEnd"/>
      <w:r w:rsidRPr="00295FAE">
        <w:rPr>
          <w:rFonts w:ascii="Arial" w:hAnsi="Arial" w:cs="Arial"/>
        </w:rPr>
        <w:t xml:space="preserve"> energy monitoring feature directly supports this, but the AI data centres have a high carbon footprint unless vendor uses renewable energy.</w:t>
      </w:r>
    </w:p>
    <w:p w14:paraId="308B89BA" w14:textId="3E23927F" w:rsidR="00295FAE" w:rsidRPr="00295FAE" w:rsidRDefault="004C0BDA" w:rsidP="00295FAE">
      <w:pPr>
        <w:spacing w:line="600" w:lineRule="auto"/>
        <w:rPr>
          <w:rFonts w:ascii="Arial" w:hAnsi="Arial" w:cs="Arial"/>
          <w:b/>
          <w:bCs/>
        </w:rPr>
      </w:pPr>
      <w:r>
        <w:rPr>
          <w:rFonts w:ascii="Arial" w:hAnsi="Arial" w:cs="Arial"/>
          <w:b/>
          <w:bCs/>
        </w:rPr>
        <w:lastRenderedPageBreak/>
        <w:t xml:space="preserve">             </w:t>
      </w:r>
      <w:r w:rsidR="00295FAE" w:rsidRPr="00295FAE">
        <w:rPr>
          <w:rFonts w:ascii="Arial" w:hAnsi="Arial" w:cs="Arial"/>
          <w:b/>
          <w:bCs/>
        </w:rPr>
        <w:t>4.3 SMART Objectives</w:t>
      </w:r>
    </w:p>
    <w:p w14:paraId="742F68AD" w14:textId="77777777" w:rsidR="00295FAE" w:rsidRPr="00295FAE" w:rsidRDefault="00295FAE" w:rsidP="00295FAE">
      <w:pPr>
        <w:spacing w:line="600" w:lineRule="auto"/>
        <w:rPr>
          <w:rFonts w:ascii="Arial" w:hAnsi="Arial" w:cs="Arial"/>
        </w:rPr>
      </w:pPr>
      <w:r w:rsidRPr="00295FAE">
        <w:rPr>
          <w:rFonts w:ascii="Arial" w:hAnsi="Arial" w:cs="Arial"/>
        </w:rPr>
        <w:t>For stakeholder engagement specifically, the project has the following SMART objectives:</w:t>
      </w:r>
    </w:p>
    <w:p w14:paraId="59CFB952" w14:textId="77777777" w:rsidR="00295FAE" w:rsidRPr="00295FAE" w:rsidRDefault="00295FAE" w:rsidP="00295FAE">
      <w:pPr>
        <w:numPr>
          <w:ilvl w:val="0"/>
          <w:numId w:val="1"/>
        </w:numPr>
        <w:spacing w:line="600" w:lineRule="auto"/>
        <w:rPr>
          <w:rFonts w:ascii="Arial" w:hAnsi="Arial" w:cs="Arial"/>
        </w:rPr>
      </w:pPr>
      <w:r w:rsidRPr="00295FAE">
        <w:rPr>
          <w:rFonts w:ascii="Arial" w:hAnsi="Arial" w:cs="Arial"/>
          <w:b/>
          <w:bCs/>
        </w:rPr>
        <w:t>Specific:</w:t>
      </w:r>
      <w:r w:rsidRPr="00295FAE">
        <w:rPr>
          <w:rFonts w:ascii="Arial" w:hAnsi="Arial" w:cs="Arial"/>
        </w:rPr>
        <w:t> By launch date, achieve ‘actively supportive’ stance from 90% of identified key stakeholders (measured via stakeholder mapping pre- and post-engagement).</w:t>
      </w:r>
    </w:p>
    <w:p w14:paraId="11055E07" w14:textId="77777777" w:rsidR="00295FAE" w:rsidRPr="00295FAE" w:rsidRDefault="00295FAE" w:rsidP="00295FAE">
      <w:pPr>
        <w:numPr>
          <w:ilvl w:val="0"/>
          <w:numId w:val="1"/>
        </w:numPr>
        <w:spacing w:line="600" w:lineRule="auto"/>
        <w:rPr>
          <w:rFonts w:ascii="Arial" w:hAnsi="Arial" w:cs="Arial"/>
        </w:rPr>
      </w:pPr>
      <w:r w:rsidRPr="00295FAE">
        <w:rPr>
          <w:rFonts w:ascii="Arial" w:hAnsi="Arial" w:cs="Arial"/>
          <w:b/>
          <w:bCs/>
        </w:rPr>
        <w:t>Measurable:</w:t>
      </w:r>
      <w:r w:rsidRPr="00295FAE">
        <w:rPr>
          <w:rFonts w:ascii="Arial" w:hAnsi="Arial" w:cs="Arial"/>
        </w:rPr>
        <w:t> Reduce resistance-related project delays to zero days; record stakeholder meeting attendance at 95%.</w:t>
      </w:r>
    </w:p>
    <w:p w14:paraId="15F4E0DA" w14:textId="77777777" w:rsidR="00295FAE" w:rsidRPr="00295FAE" w:rsidRDefault="00295FAE" w:rsidP="00295FAE">
      <w:pPr>
        <w:numPr>
          <w:ilvl w:val="0"/>
          <w:numId w:val="1"/>
        </w:numPr>
        <w:spacing w:line="600" w:lineRule="auto"/>
        <w:rPr>
          <w:rFonts w:ascii="Arial" w:hAnsi="Arial" w:cs="Arial"/>
        </w:rPr>
      </w:pPr>
      <w:r w:rsidRPr="00295FAE">
        <w:rPr>
          <w:rFonts w:ascii="Arial" w:hAnsi="Arial" w:cs="Arial"/>
          <w:b/>
          <w:bCs/>
        </w:rPr>
        <w:t>Achievable:</w:t>
      </w:r>
      <w:r w:rsidRPr="00295FAE">
        <w:rPr>
          <w:rFonts w:ascii="Arial" w:hAnsi="Arial" w:cs="Arial"/>
        </w:rPr>
        <w:t> Within existing budget (£250k allocated for stakeholder engagement activities including workshops, newsletters, and conflict mediation).</w:t>
      </w:r>
    </w:p>
    <w:p w14:paraId="6E62C869" w14:textId="77777777" w:rsidR="00295FAE" w:rsidRPr="00295FAE" w:rsidRDefault="00295FAE" w:rsidP="00295FAE">
      <w:pPr>
        <w:numPr>
          <w:ilvl w:val="0"/>
          <w:numId w:val="1"/>
        </w:numPr>
        <w:spacing w:line="600" w:lineRule="auto"/>
        <w:rPr>
          <w:rFonts w:ascii="Arial" w:hAnsi="Arial" w:cs="Arial"/>
        </w:rPr>
      </w:pPr>
      <w:r w:rsidRPr="00295FAE">
        <w:rPr>
          <w:rFonts w:ascii="Arial" w:hAnsi="Arial" w:cs="Arial"/>
          <w:b/>
          <w:bCs/>
        </w:rPr>
        <w:t>Relevant:</w:t>
      </w:r>
      <w:r w:rsidRPr="00295FAE">
        <w:rPr>
          <w:rFonts w:ascii="Arial" w:hAnsi="Arial" w:cs="Arial"/>
        </w:rPr>
        <w:t> Directly linked to critical success factor of internal buy-in, without which technology adoption fails.</w:t>
      </w:r>
    </w:p>
    <w:p w14:paraId="5EAF4D58" w14:textId="77777777" w:rsidR="00295FAE" w:rsidRPr="00295FAE" w:rsidRDefault="00295FAE" w:rsidP="00295FAE">
      <w:pPr>
        <w:numPr>
          <w:ilvl w:val="0"/>
          <w:numId w:val="1"/>
        </w:numPr>
        <w:spacing w:line="600" w:lineRule="auto"/>
        <w:rPr>
          <w:rFonts w:ascii="Arial" w:hAnsi="Arial" w:cs="Arial"/>
        </w:rPr>
      </w:pPr>
      <w:r w:rsidRPr="00295FAE">
        <w:rPr>
          <w:rFonts w:ascii="Arial" w:hAnsi="Arial" w:cs="Arial"/>
          <w:b/>
          <w:bCs/>
        </w:rPr>
        <w:t>Time-bound:</w:t>
      </w:r>
      <w:r w:rsidRPr="00295FAE">
        <w:rPr>
          <w:rFonts w:ascii="Arial" w:hAnsi="Arial" w:cs="Arial"/>
        </w:rPr>
        <w:t> Complete full stakeholder engagement cycle (identification → analysis → planning → execution) within 16 weeks, concluding 4 weeks before pilot launch.</w:t>
      </w:r>
    </w:p>
    <w:p w14:paraId="063703B6" w14:textId="77777777" w:rsidR="00295FAE" w:rsidRPr="00295FAE" w:rsidRDefault="00000000" w:rsidP="00295FAE">
      <w:pPr>
        <w:spacing w:line="600" w:lineRule="auto"/>
        <w:rPr>
          <w:rFonts w:ascii="Arial" w:hAnsi="Arial" w:cs="Arial"/>
        </w:rPr>
      </w:pPr>
      <w:r>
        <w:rPr>
          <w:rFonts w:ascii="Arial" w:hAnsi="Arial" w:cs="Arial"/>
        </w:rPr>
        <w:pict w14:anchorId="1DA06D02">
          <v:rect id="_x0000_i1026" style="width:0;height:.75pt" o:hralign="center" o:hrstd="t" o:hr="t" fillcolor="#a0a0a0" stroked="f"/>
        </w:pict>
      </w:r>
    </w:p>
    <w:p w14:paraId="07960F53" w14:textId="4165D763" w:rsidR="00295FAE" w:rsidRPr="00295FAE" w:rsidRDefault="004C0BDA" w:rsidP="00295FAE">
      <w:pPr>
        <w:spacing w:line="600" w:lineRule="auto"/>
        <w:rPr>
          <w:rFonts w:ascii="Arial" w:hAnsi="Arial" w:cs="Arial"/>
          <w:b/>
          <w:bCs/>
        </w:rPr>
      </w:pPr>
      <w:r>
        <w:rPr>
          <w:rFonts w:ascii="Arial" w:hAnsi="Arial" w:cs="Arial"/>
          <w:b/>
          <w:bCs/>
        </w:rPr>
        <w:t xml:space="preserve">     </w:t>
      </w:r>
      <w:r w:rsidR="00295FAE" w:rsidRPr="00295FAE">
        <w:rPr>
          <w:rFonts w:ascii="Arial" w:hAnsi="Arial" w:cs="Arial"/>
          <w:b/>
          <w:bCs/>
          <w:sz w:val="28"/>
          <w:szCs w:val="28"/>
        </w:rPr>
        <w:t>5. Stakeholder Identification</w:t>
      </w:r>
      <w:r w:rsidR="00295FAE" w:rsidRPr="00295FAE">
        <w:rPr>
          <w:rFonts w:ascii="Arial" w:hAnsi="Arial" w:cs="Arial"/>
          <w:b/>
          <w:bCs/>
        </w:rPr>
        <w:t xml:space="preserve"> </w:t>
      </w:r>
    </w:p>
    <w:p w14:paraId="5CF4EF34" w14:textId="77777777" w:rsidR="004C0BDA" w:rsidRDefault="00295FAE" w:rsidP="004C0BDA">
      <w:pPr>
        <w:spacing w:line="600" w:lineRule="auto"/>
        <w:rPr>
          <w:rFonts w:ascii="Arial" w:hAnsi="Arial" w:cs="Arial"/>
          <w:b/>
          <w:bCs/>
        </w:rPr>
      </w:pPr>
      <w:r w:rsidRPr="00295FAE">
        <w:rPr>
          <w:rFonts w:ascii="Arial" w:hAnsi="Arial" w:cs="Arial"/>
        </w:rPr>
        <w:t xml:space="preserve">Based on stakeholder theory (Freeman, 1984) and salience framework (Mitchell et al., 1997), stakeholders are individuals or groups who can affect or are affected by the </w:t>
      </w:r>
      <w:r w:rsidR="004C0BDA" w:rsidRPr="00295FAE">
        <w:rPr>
          <w:rFonts w:ascii="Arial" w:hAnsi="Arial" w:cs="Arial"/>
        </w:rPr>
        <w:t>Stay Smart</w:t>
      </w:r>
      <w:r w:rsidRPr="00295FAE">
        <w:rPr>
          <w:rFonts w:ascii="Arial" w:hAnsi="Arial" w:cs="Arial"/>
        </w:rPr>
        <w:t>+ launch. Identification used a combination of document analysis (project charter, organigram, vendor contracts) and semi-structured interviews with The Langham’s department heads.</w:t>
      </w:r>
      <w:r w:rsidR="004C0BDA" w:rsidRPr="004C0BDA">
        <w:rPr>
          <w:rFonts w:ascii="Arial" w:hAnsi="Arial" w:cs="Arial"/>
          <w:b/>
          <w:bCs/>
        </w:rPr>
        <w:t xml:space="preserve"> </w:t>
      </w:r>
    </w:p>
    <w:p w14:paraId="6B0099F9" w14:textId="78C29C59" w:rsidR="004C0BDA" w:rsidRPr="00295FAE" w:rsidRDefault="004C0BDA" w:rsidP="004C0BDA">
      <w:pPr>
        <w:spacing w:line="600" w:lineRule="auto"/>
        <w:rPr>
          <w:rFonts w:ascii="Arial" w:hAnsi="Arial" w:cs="Arial"/>
        </w:rPr>
      </w:pPr>
      <w:r w:rsidRPr="00295FAE">
        <w:rPr>
          <w:rFonts w:ascii="Arial" w:hAnsi="Arial" w:cs="Arial"/>
          <w:b/>
          <w:bCs/>
        </w:rPr>
        <w:lastRenderedPageBreak/>
        <w:t>Internal Stakeholders</w:t>
      </w:r>
    </w:p>
    <w:p w14:paraId="36CC735A" w14:textId="111FDE18" w:rsidR="004C0BDA" w:rsidRDefault="004C0BDA" w:rsidP="00295FAE">
      <w:pPr>
        <w:spacing w:line="600" w:lineRule="auto"/>
        <w:rPr>
          <w:rFonts w:ascii="Arial" w:hAnsi="Arial" w:cs="Arial"/>
        </w:rPr>
      </w:pPr>
    </w:p>
    <w:tbl>
      <w:tblPr>
        <w:tblpPr w:leftFromText="180" w:rightFromText="180" w:vertAnchor="text" w:horzAnchor="margin" w:tblpXSpec="center" w:tblpY="391"/>
        <w:tblW w:w="11280" w:type="dxa"/>
        <w:tblCellMar>
          <w:top w:w="15" w:type="dxa"/>
          <w:left w:w="15" w:type="dxa"/>
          <w:bottom w:w="15" w:type="dxa"/>
          <w:right w:w="15" w:type="dxa"/>
        </w:tblCellMar>
        <w:tblLook w:val="04A0" w:firstRow="1" w:lastRow="0" w:firstColumn="1" w:lastColumn="0" w:noHBand="0" w:noVBand="1"/>
      </w:tblPr>
      <w:tblGrid>
        <w:gridCol w:w="4048"/>
        <w:gridCol w:w="1865"/>
        <w:gridCol w:w="5367"/>
      </w:tblGrid>
      <w:tr w:rsidR="004C0BDA" w:rsidRPr="00295FAE" w14:paraId="15050B28" w14:textId="77777777" w:rsidTr="004C0BDA">
        <w:trPr>
          <w:tblHeader/>
        </w:trPr>
        <w:tc>
          <w:tcPr>
            <w:tcW w:w="0" w:type="auto"/>
            <w:tcBorders>
              <w:top w:val="nil"/>
            </w:tcBorders>
            <w:shd w:val="clear" w:color="auto" w:fill="D9E2F3" w:themeFill="accent1" w:themeFillTint="33"/>
            <w:tcMar>
              <w:top w:w="150" w:type="dxa"/>
              <w:left w:w="0" w:type="dxa"/>
              <w:bottom w:w="150" w:type="dxa"/>
              <w:right w:w="240" w:type="dxa"/>
            </w:tcMar>
            <w:vAlign w:val="center"/>
            <w:hideMark/>
          </w:tcPr>
          <w:p w14:paraId="089DE821" w14:textId="77777777" w:rsidR="004C0BDA" w:rsidRPr="00295FAE" w:rsidRDefault="004C0BDA" w:rsidP="004C0BDA">
            <w:pPr>
              <w:spacing w:line="600" w:lineRule="auto"/>
              <w:rPr>
                <w:rFonts w:ascii="Arial" w:hAnsi="Arial" w:cs="Arial"/>
              </w:rPr>
            </w:pPr>
            <w:r w:rsidRPr="00295FAE">
              <w:rPr>
                <w:rFonts w:ascii="Arial" w:hAnsi="Arial" w:cs="Arial"/>
              </w:rPr>
              <w:t>Stakeholder</w:t>
            </w:r>
          </w:p>
        </w:tc>
        <w:tc>
          <w:tcPr>
            <w:tcW w:w="0" w:type="auto"/>
            <w:tcBorders>
              <w:top w:val="nil"/>
            </w:tcBorders>
            <w:shd w:val="clear" w:color="auto" w:fill="D9E2F3" w:themeFill="accent1" w:themeFillTint="33"/>
            <w:tcMar>
              <w:top w:w="150" w:type="dxa"/>
              <w:left w:w="240" w:type="dxa"/>
              <w:bottom w:w="150" w:type="dxa"/>
              <w:right w:w="240" w:type="dxa"/>
            </w:tcMar>
            <w:vAlign w:val="center"/>
            <w:hideMark/>
          </w:tcPr>
          <w:p w14:paraId="2CDEF51C" w14:textId="77777777" w:rsidR="004C0BDA" w:rsidRPr="00295FAE" w:rsidRDefault="004C0BDA" w:rsidP="004C0BDA">
            <w:pPr>
              <w:spacing w:line="600" w:lineRule="auto"/>
              <w:rPr>
                <w:rFonts w:ascii="Arial" w:hAnsi="Arial" w:cs="Arial"/>
              </w:rPr>
            </w:pPr>
            <w:r w:rsidRPr="00295FAE">
              <w:rPr>
                <w:rFonts w:ascii="Arial" w:hAnsi="Arial" w:cs="Arial"/>
              </w:rPr>
              <w:t>Department</w:t>
            </w:r>
          </w:p>
        </w:tc>
        <w:tc>
          <w:tcPr>
            <w:tcW w:w="0" w:type="auto"/>
            <w:tcBorders>
              <w:top w:val="nil"/>
            </w:tcBorders>
            <w:shd w:val="clear" w:color="auto" w:fill="D9E2F3" w:themeFill="accent1" w:themeFillTint="33"/>
            <w:tcMar>
              <w:top w:w="150" w:type="dxa"/>
              <w:left w:w="240" w:type="dxa"/>
              <w:bottom w:w="150" w:type="dxa"/>
              <w:right w:w="240" w:type="dxa"/>
            </w:tcMar>
            <w:vAlign w:val="center"/>
            <w:hideMark/>
          </w:tcPr>
          <w:p w14:paraId="006DF2B7" w14:textId="77777777" w:rsidR="004C0BDA" w:rsidRPr="00295FAE" w:rsidRDefault="004C0BDA" w:rsidP="004C0BDA">
            <w:pPr>
              <w:spacing w:line="600" w:lineRule="auto"/>
              <w:rPr>
                <w:rFonts w:ascii="Arial" w:hAnsi="Arial" w:cs="Arial"/>
              </w:rPr>
            </w:pPr>
            <w:r w:rsidRPr="00295FAE">
              <w:rPr>
                <w:rFonts w:ascii="Arial" w:hAnsi="Arial" w:cs="Arial"/>
              </w:rPr>
              <w:t>Reason for Inclusion</w:t>
            </w:r>
          </w:p>
        </w:tc>
      </w:tr>
      <w:tr w:rsidR="004C0BDA" w:rsidRPr="00295FAE" w14:paraId="0ADD46A6" w14:textId="77777777" w:rsidTr="004C0BDA">
        <w:tc>
          <w:tcPr>
            <w:tcW w:w="0" w:type="auto"/>
            <w:shd w:val="clear" w:color="auto" w:fill="D9E2F3" w:themeFill="accent1" w:themeFillTint="33"/>
            <w:tcMar>
              <w:top w:w="150" w:type="dxa"/>
              <w:left w:w="0" w:type="dxa"/>
              <w:bottom w:w="150" w:type="dxa"/>
              <w:right w:w="240" w:type="dxa"/>
            </w:tcMar>
            <w:vAlign w:val="center"/>
            <w:hideMark/>
          </w:tcPr>
          <w:p w14:paraId="7D89CB9B" w14:textId="77777777" w:rsidR="004C0BDA" w:rsidRPr="00295FAE" w:rsidRDefault="004C0BDA" w:rsidP="004C0BDA">
            <w:pPr>
              <w:spacing w:line="600" w:lineRule="auto"/>
              <w:rPr>
                <w:rFonts w:ascii="Arial" w:hAnsi="Arial" w:cs="Arial"/>
              </w:rPr>
            </w:pPr>
            <w:r w:rsidRPr="00295FAE">
              <w:rPr>
                <w:rFonts w:ascii="Arial" w:hAnsi="Arial" w:cs="Arial"/>
              </w:rPr>
              <w:t>Chief Operating Officer (COO)</w:t>
            </w:r>
          </w:p>
        </w:tc>
        <w:tc>
          <w:tcPr>
            <w:tcW w:w="0" w:type="auto"/>
            <w:shd w:val="clear" w:color="auto" w:fill="D9E2F3" w:themeFill="accent1" w:themeFillTint="33"/>
            <w:tcMar>
              <w:top w:w="150" w:type="dxa"/>
              <w:left w:w="240" w:type="dxa"/>
              <w:bottom w:w="150" w:type="dxa"/>
              <w:right w:w="240" w:type="dxa"/>
            </w:tcMar>
            <w:vAlign w:val="center"/>
            <w:hideMark/>
          </w:tcPr>
          <w:p w14:paraId="2A54E8FE" w14:textId="77777777" w:rsidR="004C0BDA" w:rsidRPr="00295FAE" w:rsidRDefault="004C0BDA" w:rsidP="004C0BDA">
            <w:pPr>
              <w:spacing w:line="600" w:lineRule="auto"/>
              <w:rPr>
                <w:rFonts w:ascii="Arial" w:hAnsi="Arial" w:cs="Arial"/>
              </w:rPr>
            </w:pPr>
            <w:r w:rsidRPr="00295FAE">
              <w:rPr>
                <w:rFonts w:ascii="Arial" w:hAnsi="Arial" w:cs="Arial"/>
              </w:rPr>
              <w:t>Executive</w:t>
            </w:r>
          </w:p>
        </w:tc>
        <w:tc>
          <w:tcPr>
            <w:tcW w:w="0" w:type="auto"/>
            <w:shd w:val="clear" w:color="auto" w:fill="D9E2F3" w:themeFill="accent1" w:themeFillTint="33"/>
            <w:tcMar>
              <w:top w:w="150" w:type="dxa"/>
              <w:left w:w="240" w:type="dxa"/>
              <w:bottom w:w="150" w:type="dxa"/>
              <w:right w:w="0" w:type="dxa"/>
            </w:tcMar>
            <w:vAlign w:val="center"/>
            <w:hideMark/>
          </w:tcPr>
          <w:p w14:paraId="167B14E5" w14:textId="77777777" w:rsidR="004C0BDA" w:rsidRPr="00295FAE" w:rsidRDefault="004C0BDA" w:rsidP="004C0BDA">
            <w:pPr>
              <w:spacing w:line="600" w:lineRule="auto"/>
              <w:rPr>
                <w:rFonts w:ascii="Arial" w:hAnsi="Arial" w:cs="Arial"/>
              </w:rPr>
            </w:pPr>
            <w:r w:rsidRPr="00295FAE">
              <w:rPr>
                <w:rFonts w:ascii="Arial" w:hAnsi="Arial" w:cs="Arial"/>
              </w:rPr>
              <w:t>Project sponsor; controls budget and strategic alignment</w:t>
            </w:r>
          </w:p>
        </w:tc>
      </w:tr>
      <w:tr w:rsidR="004C0BDA" w:rsidRPr="00295FAE" w14:paraId="4722B857" w14:textId="77777777" w:rsidTr="004C0BDA">
        <w:tc>
          <w:tcPr>
            <w:tcW w:w="0" w:type="auto"/>
            <w:shd w:val="clear" w:color="auto" w:fill="D9E2F3" w:themeFill="accent1" w:themeFillTint="33"/>
            <w:tcMar>
              <w:top w:w="150" w:type="dxa"/>
              <w:left w:w="0" w:type="dxa"/>
              <w:bottom w:w="150" w:type="dxa"/>
              <w:right w:w="240" w:type="dxa"/>
            </w:tcMar>
            <w:vAlign w:val="center"/>
            <w:hideMark/>
          </w:tcPr>
          <w:p w14:paraId="65EBFD48" w14:textId="77777777" w:rsidR="004C0BDA" w:rsidRPr="00295FAE" w:rsidRDefault="004C0BDA" w:rsidP="004C0BDA">
            <w:pPr>
              <w:spacing w:line="600" w:lineRule="auto"/>
              <w:rPr>
                <w:rFonts w:ascii="Arial" w:hAnsi="Arial" w:cs="Arial"/>
              </w:rPr>
            </w:pPr>
            <w:r w:rsidRPr="00295FAE">
              <w:rPr>
                <w:rFonts w:ascii="Arial" w:hAnsi="Arial" w:cs="Arial"/>
              </w:rPr>
              <w:t>Director of IT</w:t>
            </w:r>
          </w:p>
        </w:tc>
        <w:tc>
          <w:tcPr>
            <w:tcW w:w="0" w:type="auto"/>
            <w:shd w:val="clear" w:color="auto" w:fill="D9E2F3" w:themeFill="accent1" w:themeFillTint="33"/>
            <w:tcMar>
              <w:top w:w="150" w:type="dxa"/>
              <w:left w:w="240" w:type="dxa"/>
              <w:bottom w:w="150" w:type="dxa"/>
              <w:right w:w="240" w:type="dxa"/>
            </w:tcMar>
            <w:vAlign w:val="center"/>
            <w:hideMark/>
          </w:tcPr>
          <w:p w14:paraId="2960AF17" w14:textId="77777777" w:rsidR="004C0BDA" w:rsidRPr="00295FAE" w:rsidRDefault="004C0BDA" w:rsidP="004C0BDA">
            <w:pPr>
              <w:spacing w:line="600" w:lineRule="auto"/>
              <w:rPr>
                <w:rFonts w:ascii="Arial" w:hAnsi="Arial" w:cs="Arial"/>
              </w:rPr>
            </w:pPr>
            <w:r w:rsidRPr="00295FAE">
              <w:rPr>
                <w:rFonts w:ascii="Arial" w:hAnsi="Arial" w:cs="Arial"/>
              </w:rPr>
              <w:t>Technology</w:t>
            </w:r>
          </w:p>
        </w:tc>
        <w:tc>
          <w:tcPr>
            <w:tcW w:w="0" w:type="auto"/>
            <w:shd w:val="clear" w:color="auto" w:fill="D9E2F3" w:themeFill="accent1" w:themeFillTint="33"/>
            <w:tcMar>
              <w:top w:w="150" w:type="dxa"/>
              <w:left w:w="240" w:type="dxa"/>
              <w:bottom w:w="150" w:type="dxa"/>
              <w:right w:w="0" w:type="dxa"/>
            </w:tcMar>
            <w:vAlign w:val="center"/>
            <w:hideMark/>
          </w:tcPr>
          <w:p w14:paraId="7D29C976" w14:textId="77777777" w:rsidR="004C0BDA" w:rsidRPr="00295FAE" w:rsidRDefault="004C0BDA" w:rsidP="004C0BDA">
            <w:pPr>
              <w:spacing w:line="600" w:lineRule="auto"/>
              <w:rPr>
                <w:rFonts w:ascii="Arial" w:hAnsi="Arial" w:cs="Arial"/>
              </w:rPr>
            </w:pPr>
            <w:r w:rsidRPr="00295FAE">
              <w:rPr>
                <w:rFonts w:ascii="Arial" w:hAnsi="Arial" w:cs="Arial"/>
              </w:rPr>
              <w:t>Responsible for integration with legacy PMS and data security</w:t>
            </w:r>
          </w:p>
        </w:tc>
      </w:tr>
      <w:tr w:rsidR="004C0BDA" w:rsidRPr="00295FAE" w14:paraId="5F2C836D" w14:textId="77777777" w:rsidTr="004C0BDA">
        <w:tc>
          <w:tcPr>
            <w:tcW w:w="0" w:type="auto"/>
            <w:shd w:val="clear" w:color="auto" w:fill="D9E2F3" w:themeFill="accent1" w:themeFillTint="33"/>
            <w:tcMar>
              <w:top w:w="150" w:type="dxa"/>
              <w:left w:w="0" w:type="dxa"/>
              <w:bottom w:w="150" w:type="dxa"/>
              <w:right w:w="240" w:type="dxa"/>
            </w:tcMar>
            <w:vAlign w:val="center"/>
            <w:hideMark/>
          </w:tcPr>
          <w:p w14:paraId="1A06C0D8" w14:textId="77777777" w:rsidR="004C0BDA" w:rsidRPr="00295FAE" w:rsidRDefault="004C0BDA" w:rsidP="004C0BDA">
            <w:pPr>
              <w:spacing w:line="600" w:lineRule="auto"/>
              <w:rPr>
                <w:rFonts w:ascii="Arial" w:hAnsi="Arial" w:cs="Arial"/>
              </w:rPr>
            </w:pPr>
            <w:r w:rsidRPr="00295FAE">
              <w:rPr>
                <w:rFonts w:ascii="Arial" w:hAnsi="Arial" w:cs="Arial"/>
              </w:rPr>
              <w:t>Director of Rooms</w:t>
            </w:r>
          </w:p>
        </w:tc>
        <w:tc>
          <w:tcPr>
            <w:tcW w:w="0" w:type="auto"/>
            <w:shd w:val="clear" w:color="auto" w:fill="D9E2F3" w:themeFill="accent1" w:themeFillTint="33"/>
            <w:tcMar>
              <w:top w:w="150" w:type="dxa"/>
              <w:left w:w="240" w:type="dxa"/>
              <w:bottom w:w="150" w:type="dxa"/>
              <w:right w:w="240" w:type="dxa"/>
            </w:tcMar>
            <w:vAlign w:val="center"/>
            <w:hideMark/>
          </w:tcPr>
          <w:p w14:paraId="1020CCC7" w14:textId="77777777" w:rsidR="004C0BDA" w:rsidRPr="00295FAE" w:rsidRDefault="004C0BDA" w:rsidP="004C0BDA">
            <w:pPr>
              <w:spacing w:line="600" w:lineRule="auto"/>
              <w:rPr>
                <w:rFonts w:ascii="Arial" w:hAnsi="Arial" w:cs="Arial"/>
              </w:rPr>
            </w:pPr>
            <w:r w:rsidRPr="00295FAE">
              <w:rPr>
                <w:rFonts w:ascii="Arial" w:hAnsi="Arial" w:cs="Arial"/>
              </w:rPr>
              <w:t>Operations</w:t>
            </w:r>
          </w:p>
        </w:tc>
        <w:tc>
          <w:tcPr>
            <w:tcW w:w="0" w:type="auto"/>
            <w:shd w:val="clear" w:color="auto" w:fill="D9E2F3" w:themeFill="accent1" w:themeFillTint="33"/>
            <w:tcMar>
              <w:top w:w="150" w:type="dxa"/>
              <w:left w:w="240" w:type="dxa"/>
              <w:bottom w:w="150" w:type="dxa"/>
              <w:right w:w="0" w:type="dxa"/>
            </w:tcMar>
            <w:vAlign w:val="center"/>
            <w:hideMark/>
          </w:tcPr>
          <w:p w14:paraId="555CAB82" w14:textId="77777777" w:rsidR="004C0BDA" w:rsidRPr="00295FAE" w:rsidRDefault="004C0BDA" w:rsidP="004C0BDA">
            <w:pPr>
              <w:spacing w:line="600" w:lineRule="auto"/>
              <w:rPr>
                <w:rFonts w:ascii="Arial" w:hAnsi="Arial" w:cs="Arial"/>
              </w:rPr>
            </w:pPr>
            <w:r w:rsidRPr="00295FAE">
              <w:rPr>
                <w:rFonts w:ascii="Arial" w:hAnsi="Arial" w:cs="Arial"/>
              </w:rPr>
              <w:t>Front-line implementation; housekeeping and front desk adoption</w:t>
            </w:r>
          </w:p>
        </w:tc>
      </w:tr>
      <w:tr w:rsidR="004C0BDA" w:rsidRPr="00295FAE" w14:paraId="27BE5E39" w14:textId="77777777" w:rsidTr="004C0BDA">
        <w:tc>
          <w:tcPr>
            <w:tcW w:w="0" w:type="auto"/>
            <w:shd w:val="clear" w:color="auto" w:fill="D9E2F3" w:themeFill="accent1" w:themeFillTint="33"/>
            <w:tcMar>
              <w:top w:w="150" w:type="dxa"/>
              <w:left w:w="0" w:type="dxa"/>
              <w:bottom w:w="150" w:type="dxa"/>
              <w:right w:w="240" w:type="dxa"/>
            </w:tcMar>
            <w:vAlign w:val="center"/>
            <w:hideMark/>
          </w:tcPr>
          <w:p w14:paraId="49BAC756" w14:textId="77777777" w:rsidR="004C0BDA" w:rsidRPr="00295FAE" w:rsidRDefault="004C0BDA" w:rsidP="004C0BDA">
            <w:pPr>
              <w:spacing w:line="600" w:lineRule="auto"/>
              <w:rPr>
                <w:rFonts w:ascii="Arial" w:hAnsi="Arial" w:cs="Arial"/>
              </w:rPr>
            </w:pPr>
            <w:r w:rsidRPr="00295FAE">
              <w:rPr>
                <w:rFonts w:ascii="Arial" w:hAnsi="Arial" w:cs="Arial"/>
              </w:rPr>
              <w:t>Director of Sales &amp; Marketing</w:t>
            </w:r>
          </w:p>
        </w:tc>
        <w:tc>
          <w:tcPr>
            <w:tcW w:w="0" w:type="auto"/>
            <w:shd w:val="clear" w:color="auto" w:fill="D9E2F3" w:themeFill="accent1" w:themeFillTint="33"/>
            <w:tcMar>
              <w:top w:w="150" w:type="dxa"/>
              <w:left w:w="240" w:type="dxa"/>
              <w:bottom w:w="150" w:type="dxa"/>
              <w:right w:w="240" w:type="dxa"/>
            </w:tcMar>
            <w:vAlign w:val="center"/>
            <w:hideMark/>
          </w:tcPr>
          <w:p w14:paraId="1D7E06CF" w14:textId="77777777" w:rsidR="004C0BDA" w:rsidRPr="00295FAE" w:rsidRDefault="004C0BDA" w:rsidP="004C0BDA">
            <w:pPr>
              <w:spacing w:line="600" w:lineRule="auto"/>
              <w:rPr>
                <w:rFonts w:ascii="Arial" w:hAnsi="Arial" w:cs="Arial"/>
              </w:rPr>
            </w:pPr>
            <w:r w:rsidRPr="00295FAE">
              <w:rPr>
                <w:rFonts w:ascii="Arial" w:hAnsi="Arial" w:cs="Arial"/>
              </w:rPr>
              <w:t>Commercial</w:t>
            </w:r>
          </w:p>
        </w:tc>
        <w:tc>
          <w:tcPr>
            <w:tcW w:w="0" w:type="auto"/>
            <w:shd w:val="clear" w:color="auto" w:fill="D9E2F3" w:themeFill="accent1" w:themeFillTint="33"/>
            <w:tcMar>
              <w:top w:w="150" w:type="dxa"/>
              <w:left w:w="240" w:type="dxa"/>
              <w:bottom w:w="150" w:type="dxa"/>
              <w:right w:w="0" w:type="dxa"/>
            </w:tcMar>
            <w:vAlign w:val="center"/>
            <w:hideMark/>
          </w:tcPr>
          <w:p w14:paraId="06D80181" w14:textId="77777777" w:rsidR="004C0BDA" w:rsidRPr="00295FAE" w:rsidRDefault="004C0BDA" w:rsidP="004C0BDA">
            <w:pPr>
              <w:spacing w:line="600" w:lineRule="auto"/>
              <w:rPr>
                <w:rFonts w:ascii="Arial" w:hAnsi="Arial" w:cs="Arial"/>
              </w:rPr>
            </w:pPr>
            <w:r w:rsidRPr="00295FAE">
              <w:rPr>
                <w:rFonts w:ascii="Arial" w:hAnsi="Arial" w:cs="Arial"/>
              </w:rPr>
              <w:t>Pricing, promotion, and guest communication strategy</w:t>
            </w:r>
          </w:p>
        </w:tc>
      </w:tr>
      <w:tr w:rsidR="004C0BDA" w:rsidRPr="00295FAE" w14:paraId="363B1FBF" w14:textId="77777777" w:rsidTr="004C0BDA">
        <w:tc>
          <w:tcPr>
            <w:tcW w:w="0" w:type="auto"/>
            <w:shd w:val="clear" w:color="auto" w:fill="D9E2F3" w:themeFill="accent1" w:themeFillTint="33"/>
            <w:tcMar>
              <w:top w:w="150" w:type="dxa"/>
              <w:left w:w="0" w:type="dxa"/>
              <w:bottom w:w="150" w:type="dxa"/>
              <w:right w:w="240" w:type="dxa"/>
            </w:tcMar>
            <w:vAlign w:val="center"/>
            <w:hideMark/>
          </w:tcPr>
          <w:p w14:paraId="4D317890" w14:textId="77777777" w:rsidR="004C0BDA" w:rsidRPr="00295FAE" w:rsidRDefault="004C0BDA" w:rsidP="004C0BDA">
            <w:pPr>
              <w:spacing w:line="600" w:lineRule="auto"/>
              <w:rPr>
                <w:rFonts w:ascii="Arial" w:hAnsi="Arial" w:cs="Arial"/>
              </w:rPr>
            </w:pPr>
            <w:r w:rsidRPr="00295FAE">
              <w:rPr>
                <w:rFonts w:ascii="Arial" w:hAnsi="Arial" w:cs="Arial"/>
              </w:rPr>
              <w:t>Hotel General Manager (London)</w:t>
            </w:r>
          </w:p>
        </w:tc>
        <w:tc>
          <w:tcPr>
            <w:tcW w:w="0" w:type="auto"/>
            <w:shd w:val="clear" w:color="auto" w:fill="D9E2F3" w:themeFill="accent1" w:themeFillTint="33"/>
            <w:tcMar>
              <w:top w:w="150" w:type="dxa"/>
              <w:left w:w="240" w:type="dxa"/>
              <w:bottom w:w="150" w:type="dxa"/>
              <w:right w:w="240" w:type="dxa"/>
            </w:tcMar>
            <w:vAlign w:val="center"/>
            <w:hideMark/>
          </w:tcPr>
          <w:p w14:paraId="7DEB0D91" w14:textId="77777777" w:rsidR="004C0BDA" w:rsidRPr="00295FAE" w:rsidRDefault="004C0BDA" w:rsidP="004C0BDA">
            <w:pPr>
              <w:spacing w:line="600" w:lineRule="auto"/>
              <w:rPr>
                <w:rFonts w:ascii="Arial" w:hAnsi="Arial" w:cs="Arial"/>
              </w:rPr>
            </w:pPr>
            <w:r w:rsidRPr="00295FAE">
              <w:rPr>
                <w:rFonts w:ascii="Arial" w:hAnsi="Arial" w:cs="Arial"/>
              </w:rPr>
              <w:t>Site leadership</w:t>
            </w:r>
          </w:p>
        </w:tc>
        <w:tc>
          <w:tcPr>
            <w:tcW w:w="0" w:type="auto"/>
            <w:shd w:val="clear" w:color="auto" w:fill="D9E2F3" w:themeFill="accent1" w:themeFillTint="33"/>
            <w:tcMar>
              <w:top w:w="150" w:type="dxa"/>
              <w:left w:w="240" w:type="dxa"/>
              <w:bottom w:w="150" w:type="dxa"/>
              <w:right w:w="0" w:type="dxa"/>
            </w:tcMar>
            <w:vAlign w:val="center"/>
            <w:hideMark/>
          </w:tcPr>
          <w:p w14:paraId="3D746B09" w14:textId="77777777" w:rsidR="004C0BDA" w:rsidRPr="00295FAE" w:rsidRDefault="004C0BDA" w:rsidP="004C0BDA">
            <w:pPr>
              <w:spacing w:line="600" w:lineRule="auto"/>
              <w:rPr>
                <w:rFonts w:ascii="Arial" w:hAnsi="Arial" w:cs="Arial"/>
              </w:rPr>
            </w:pPr>
            <w:r w:rsidRPr="00295FAE">
              <w:rPr>
                <w:rFonts w:ascii="Arial" w:hAnsi="Arial" w:cs="Arial"/>
              </w:rPr>
              <w:t>Day-to-day operational authority for pilot</w:t>
            </w:r>
          </w:p>
        </w:tc>
      </w:tr>
      <w:tr w:rsidR="004C0BDA" w:rsidRPr="00295FAE" w14:paraId="52B078DD" w14:textId="77777777" w:rsidTr="004C0BDA">
        <w:tc>
          <w:tcPr>
            <w:tcW w:w="0" w:type="auto"/>
            <w:shd w:val="clear" w:color="auto" w:fill="D9E2F3" w:themeFill="accent1" w:themeFillTint="33"/>
            <w:tcMar>
              <w:top w:w="150" w:type="dxa"/>
              <w:left w:w="0" w:type="dxa"/>
              <w:bottom w:w="150" w:type="dxa"/>
              <w:right w:w="240" w:type="dxa"/>
            </w:tcMar>
            <w:vAlign w:val="center"/>
            <w:hideMark/>
          </w:tcPr>
          <w:p w14:paraId="153DB64F" w14:textId="77777777" w:rsidR="004C0BDA" w:rsidRPr="00295FAE" w:rsidRDefault="004C0BDA" w:rsidP="004C0BDA">
            <w:pPr>
              <w:spacing w:line="600" w:lineRule="auto"/>
              <w:rPr>
                <w:rFonts w:ascii="Arial" w:hAnsi="Arial" w:cs="Arial"/>
              </w:rPr>
            </w:pPr>
            <w:r w:rsidRPr="00295FAE">
              <w:rPr>
                <w:rFonts w:ascii="Arial" w:hAnsi="Arial" w:cs="Arial"/>
              </w:rPr>
              <w:t>Front-line staff (concierge, housekeeping, F&amp;B)</w:t>
            </w:r>
          </w:p>
        </w:tc>
        <w:tc>
          <w:tcPr>
            <w:tcW w:w="0" w:type="auto"/>
            <w:shd w:val="clear" w:color="auto" w:fill="D9E2F3" w:themeFill="accent1" w:themeFillTint="33"/>
            <w:tcMar>
              <w:top w:w="150" w:type="dxa"/>
              <w:left w:w="240" w:type="dxa"/>
              <w:bottom w:w="150" w:type="dxa"/>
              <w:right w:w="240" w:type="dxa"/>
            </w:tcMar>
            <w:vAlign w:val="center"/>
            <w:hideMark/>
          </w:tcPr>
          <w:p w14:paraId="7B87B8F5" w14:textId="77777777" w:rsidR="004C0BDA" w:rsidRPr="00295FAE" w:rsidRDefault="004C0BDA" w:rsidP="004C0BDA">
            <w:pPr>
              <w:spacing w:line="600" w:lineRule="auto"/>
              <w:rPr>
                <w:rFonts w:ascii="Arial" w:hAnsi="Arial" w:cs="Arial"/>
              </w:rPr>
            </w:pPr>
            <w:r w:rsidRPr="00295FAE">
              <w:rPr>
                <w:rFonts w:ascii="Arial" w:hAnsi="Arial" w:cs="Arial"/>
              </w:rPr>
              <w:t>Operations</w:t>
            </w:r>
          </w:p>
        </w:tc>
        <w:tc>
          <w:tcPr>
            <w:tcW w:w="0" w:type="auto"/>
            <w:shd w:val="clear" w:color="auto" w:fill="D9E2F3" w:themeFill="accent1" w:themeFillTint="33"/>
            <w:tcMar>
              <w:top w:w="150" w:type="dxa"/>
              <w:left w:w="240" w:type="dxa"/>
              <w:bottom w:w="150" w:type="dxa"/>
              <w:right w:w="0" w:type="dxa"/>
            </w:tcMar>
            <w:vAlign w:val="center"/>
            <w:hideMark/>
          </w:tcPr>
          <w:p w14:paraId="20CF7B0E" w14:textId="77777777" w:rsidR="004C0BDA" w:rsidRPr="00295FAE" w:rsidRDefault="004C0BDA" w:rsidP="004C0BDA">
            <w:pPr>
              <w:spacing w:line="600" w:lineRule="auto"/>
              <w:rPr>
                <w:rFonts w:ascii="Arial" w:hAnsi="Arial" w:cs="Arial"/>
              </w:rPr>
            </w:pPr>
            <w:r w:rsidRPr="00295FAE">
              <w:rPr>
                <w:rFonts w:ascii="Arial" w:hAnsi="Arial" w:cs="Arial"/>
              </w:rPr>
              <w:t>Direct user of Stay Smart+ tools; guest interaction point</w:t>
            </w:r>
          </w:p>
        </w:tc>
      </w:tr>
      <w:tr w:rsidR="004C0BDA" w:rsidRPr="00295FAE" w14:paraId="6F81D5F9" w14:textId="77777777" w:rsidTr="004C0BDA">
        <w:tc>
          <w:tcPr>
            <w:tcW w:w="0" w:type="auto"/>
            <w:shd w:val="clear" w:color="auto" w:fill="D9E2F3" w:themeFill="accent1" w:themeFillTint="33"/>
            <w:tcMar>
              <w:top w:w="150" w:type="dxa"/>
              <w:left w:w="0" w:type="dxa"/>
              <w:bottom w:w="150" w:type="dxa"/>
              <w:right w:w="240" w:type="dxa"/>
            </w:tcMar>
            <w:vAlign w:val="center"/>
            <w:hideMark/>
          </w:tcPr>
          <w:p w14:paraId="571999A4" w14:textId="77777777" w:rsidR="004C0BDA" w:rsidRPr="00295FAE" w:rsidRDefault="004C0BDA" w:rsidP="004C0BDA">
            <w:pPr>
              <w:spacing w:line="600" w:lineRule="auto"/>
              <w:rPr>
                <w:rFonts w:ascii="Arial" w:hAnsi="Arial" w:cs="Arial"/>
              </w:rPr>
            </w:pPr>
            <w:r w:rsidRPr="00295FAE">
              <w:rPr>
                <w:rFonts w:ascii="Arial" w:hAnsi="Arial" w:cs="Arial"/>
              </w:rPr>
              <w:lastRenderedPageBreak/>
              <w:t>Legal &amp; Compliance</w:t>
            </w:r>
          </w:p>
        </w:tc>
        <w:tc>
          <w:tcPr>
            <w:tcW w:w="0" w:type="auto"/>
            <w:shd w:val="clear" w:color="auto" w:fill="D9E2F3" w:themeFill="accent1" w:themeFillTint="33"/>
            <w:tcMar>
              <w:top w:w="150" w:type="dxa"/>
              <w:left w:w="240" w:type="dxa"/>
              <w:bottom w:w="150" w:type="dxa"/>
              <w:right w:w="240" w:type="dxa"/>
            </w:tcMar>
            <w:vAlign w:val="center"/>
            <w:hideMark/>
          </w:tcPr>
          <w:p w14:paraId="0C27FCE0" w14:textId="77777777" w:rsidR="004C0BDA" w:rsidRPr="00295FAE" w:rsidRDefault="004C0BDA" w:rsidP="004C0BDA">
            <w:pPr>
              <w:spacing w:line="600" w:lineRule="auto"/>
              <w:rPr>
                <w:rFonts w:ascii="Arial" w:hAnsi="Arial" w:cs="Arial"/>
              </w:rPr>
            </w:pPr>
            <w:r w:rsidRPr="00295FAE">
              <w:rPr>
                <w:rFonts w:ascii="Arial" w:hAnsi="Arial" w:cs="Arial"/>
              </w:rPr>
              <w:t>Legal</w:t>
            </w:r>
          </w:p>
        </w:tc>
        <w:tc>
          <w:tcPr>
            <w:tcW w:w="0" w:type="auto"/>
            <w:shd w:val="clear" w:color="auto" w:fill="D9E2F3" w:themeFill="accent1" w:themeFillTint="33"/>
            <w:tcMar>
              <w:top w:w="150" w:type="dxa"/>
              <w:left w:w="240" w:type="dxa"/>
              <w:bottom w:w="150" w:type="dxa"/>
              <w:right w:w="0" w:type="dxa"/>
            </w:tcMar>
            <w:vAlign w:val="center"/>
            <w:hideMark/>
          </w:tcPr>
          <w:p w14:paraId="751CDE1C" w14:textId="77777777" w:rsidR="004C0BDA" w:rsidRPr="00295FAE" w:rsidRDefault="004C0BDA" w:rsidP="004C0BDA">
            <w:pPr>
              <w:spacing w:line="600" w:lineRule="auto"/>
              <w:rPr>
                <w:rFonts w:ascii="Arial" w:hAnsi="Arial" w:cs="Arial"/>
              </w:rPr>
            </w:pPr>
            <w:r w:rsidRPr="00295FAE">
              <w:rPr>
                <w:rFonts w:ascii="Arial" w:hAnsi="Arial" w:cs="Arial"/>
              </w:rPr>
              <w:t>GDPR and local data law adherence</w:t>
            </w:r>
          </w:p>
        </w:tc>
      </w:tr>
      <w:tr w:rsidR="004C0BDA" w:rsidRPr="00295FAE" w14:paraId="40DC635C" w14:textId="77777777" w:rsidTr="004C0BDA">
        <w:tc>
          <w:tcPr>
            <w:tcW w:w="0" w:type="auto"/>
            <w:shd w:val="clear" w:color="auto" w:fill="D9E2F3" w:themeFill="accent1" w:themeFillTint="33"/>
            <w:tcMar>
              <w:top w:w="150" w:type="dxa"/>
              <w:left w:w="0" w:type="dxa"/>
              <w:bottom w:w="150" w:type="dxa"/>
              <w:right w:w="240" w:type="dxa"/>
            </w:tcMar>
            <w:vAlign w:val="center"/>
            <w:hideMark/>
          </w:tcPr>
          <w:p w14:paraId="62FAB0C2" w14:textId="77777777" w:rsidR="004C0BDA" w:rsidRPr="00295FAE" w:rsidRDefault="004C0BDA" w:rsidP="004C0BDA">
            <w:pPr>
              <w:spacing w:line="600" w:lineRule="auto"/>
              <w:rPr>
                <w:rFonts w:ascii="Arial" w:hAnsi="Arial" w:cs="Arial"/>
              </w:rPr>
            </w:pPr>
            <w:r w:rsidRPr="00295FAE">
              <w:rPr>
                <w:rFonts w:ascii="Arial" w:hAnsi="Arial" w:cs="Arial"/>
              </w:rPr>
              <w:t>HR &amp; Training</w:t>
            </w:r>
          </w:p>
        </w:tc>
        <w:tc>
          <w:tcPr>
            <w:tcW w:w="0" w:type="auto"/>
            <w:shd w:val="clear" w:color="auto" w:fill="D9E2F3" w:themeFill="accent1" w:themeFillTint="33"/>
            <w:tcMar>
              <w:top w:w="150" w:type="dxa"/>
              <w:left w:w="240" w:type="dxa"/>
              <w:bottom w:w="150" w:type="dxa"/>
              <w:right w:w="240" w:type="dxa"/>
            </w:tcMar>
            <w:vAlign w:val="center"/>
            <w:hideMark/>
          </w:tcPr>
          <w:p w14:paraId="465BF3B1" w14:textId="77777777" w:rsidR="004C0BDA" w:rsidRPr="00295FAE" w:rsidRDefault="004C0BDA" w:rsidP="004C0BDA">
            <w:pPr>
              <w:spacing w:line="600" w:lineRule="auto"/>
              <w:rPr>
                <w:rFonts w:ascii="Arial" w:hAnsi="Arial" w:cs="Arial"/>
              </w:rPr>
            </w:pPr>
            <w:r w:rsidRPr="00295FAE">
              <w:rPr>
                <w:rFonts w:ascii="Arial" w:hAnsi="Arial" w:cs="Arial"/>
              </w:rPr>
              <w:t>People</w:t>
            </w:r>
          </w:p>
        </w:tc>
        <w:tc>
          <w:tcPr>
            <w:tcW w:w="0" w:type="auto"/>
            <w:shd w:val="clear" w:color="auto" w:fill="D9E2F3" w:themeFill="accent1" w:themeFillTint="33"/>
            <w:tcMar>
              <w:top w:w="150" w:type="dxa"/>
              <w:left w:w="240" w:type="dxa"/>
              <w:bottom w:w="150" w:type="dxa"/>
              <w:right w:w="0" w:type="dxa"/>
            </w:tcMar>
            <w:vAlign w:val="center"/>
            <w:hideMark/>
          </w:tcPr>
          <w:p w14:paraId="50A0B8BF" w14:textId="77777777" w:rsidR="004C0BDA" w:rsidRPr="00295FAE" w:rsidRDefault="004C0BDA" w:rsidP="004C0BDA">
            <w:pPr>
              <w:spacing w:line="600" w:lineRule="auto"/>
              <w:rPr>
                <w:rFonts w:ascii="Arial" w:hAnsi="Arial" w:cs="Arial"/>
              </w:rPr>
            </w:pPr>
            <w:r w:rsidRPr="00295FAE">
              <w:rPr>
                <w:rFonts w:ascii="Arial" w:hAnsi="Arial" w:cs="Arial"/>
              </w:rPr>
              <w:t>Reskilling existing employees and managing change resistance</w:t>
            </w:r>
          </w:p>
        </w:tc>
      </w:tr>
    </w:tbl>
    <w:p w14:paraId="2B273ED8" w14:textId="77777777" w:rsidR="004C0BDA" w:rsidRDefault="004C0BDA" w:rsidP="00295FAE">
      <w:pPr>
        <w:spacing w:line="600" w:lineRule="auto"/>
        <w:rPr>
          <w:rFonts w:ascii="Arial" w:hAnsi="Arial" w:cs="Arial"/>
          <w:b/>
          <w:bCs/>
        </w:rPr>
      </w:pPr>
    </w:p>
    <w:p w14:paraId="18428594" w14:textId="4B9B981C" w:rsidR="00295FAE" w:rsidRPr="00295FAE" w:rsidRDefault="00295FAE" w:rsidP="00295FAE">
      <w:pPr>
        <w:spacing w:line="600" w:lineRule="auto"/>
        <w:rPr>
          <w:rFonts w:ascii="Arial" w:hAnsi="Arial" w:cs="Arial"/>
          <w:b/>
          <w:bCs/>
        </w:rPr>
      </w:pPr>
      <w:r w:rsidRPr="00295FAE">
        <w:rPr>
          <w:rFonts w:ascii="Arial" w:hAnsi="Arial" w:cs="Arial"/>
          <w:b/>
          <w:bCs/>
        </w:rPr>
        <w:t>External Stakeholders</w:t>
      </w:r>
    </w:p>
    <w:tbl>
      <w:tblPr>
        <w:tblW w:w="11280" w:type="dxa"/>
        <w:tblInd w:w="-1119" w:type="dxa"/>
        <w:tblCellMar>
          <w:top w:w="15" w:type="dxa"/>
          <w:left w:w="15" w:type="dxa"/>
          <w:bottom w:w="15" w:type="dxa"/>
          <w:right w:w="15" w:type="dxa"/>
        </w:tblCellMar>
        <w:tblLook w:val="04A0" w:firstRow="1" w:lastRow="0" w:firstColumn="1" w:lastColumn="0" w:noHBand="0" w:noVBand="1"/>
      </w:tblPr>
      <w:tblGrid>
        <w:gridCol w:w="4036"/>
        <w:gridCol w:w="2184"/>
        <w:gridCol w:w="5060"/>
      </w:tblGrid>
      <w:tr w:rsidR="00295FAE" w:rsidRPr="00295FAE" w14:paraId="3ED0652C" w14:textId="77777777" w:rsidTr="003A2FF2">
        <w:trPr>
          <w:tblHeader/>
        </w:trPr>
        <w:tc>
          <w:tcPr>
            <w:tcW w:w="0" w:type="auto"/>
            <w:tcBorders>
              <w:top w:val="nil"/>
            </w:tcBorders>
            <w:shd w:val="clear" w:color="auto" w:fill="FBE4D5" w:themeFill="accent2" w:themeFillTint="33"/>
            <w:tcMar>
              <w:top w:w="150" w:type="dxa"/>
              <w:left w:w="0" w:type="dxa"/>
              <w:bottom w:w="150" w:type="dxa"/>
              <w:right w:w="240" w:type="dxa"/>
            </w:tcMar>
            <w:vAlign w:val="center"/>
            <w:hideMark/>
          </w:tcPr>
          <w:p w14:paraId="4B0B2BB9" w14:textId="77777777" w:rsidR="00295FAE" w:rsidRPr="00295FAE" w:rsidRDefault="00295FAE" w:rsidP="00295FAE">
            <w:pPr>
              <w:spacing w:line="600" w:lineRule="auto"/>
              <w:rPr>
                <w:rFonts w:ascii="Arial" w:hAnsi="Arial" w:cs="Arial"/>
              </w:rPr>
            </w:pPr>
            <w:r w:rsidRPr="00295FAE">
              <w:rPr>
                <w:rFonts w:ascii="Arial" w:hAnsi="Arial" w:cs="Arial"/>
              </w:rPr>
              <w:t>Stakeholder</w:t>
            </w:r>
          </w:p>
        </w:tc>
        <w:tc>
          <w:tcPr>
            <w:tcW w:w="0" w:type="auto"/>
            <w:tcBorders>
              <w:top w:val="nil"/>
            </w:tcBorders>
            <w:shd w:val="clear" w:color="auto" w:fill="FBE4D5" w:themeFill="accent2" w:themeFillTint="33"/>
            <w:tcMar>
              <w:top w:w="150" w:type="dxa"/>
              <w:left w:w="240" w:type="dxa"/>
              <w:bottom w:w="150" w:type="dxa"/>
              <w:right w:w="240" w:type="dxa"/>
            </w:tcMar>
            <w:vAlign w:val="center"/>
            <w:hideMark/>
          </w:tcPr>
          <w:p w14:paraId="06993173" w14:textId="77777777" w:rsidR="00295FAE" w:rsidRPr="00295FAE" w:rsidRDefault="00295FAE" w:rsidP="00295FAE">
            <w:pPr>
              <w:spacing w:line="600" w:lineRule="auto"/>
              <w:rPr>
                <w:rFonts w:ascii="Arial" w:hAnsi="Arial" w:cs="Arial"/>
              </w:rPr>
            </w:pPr>
            <w:r w:rsidRPr="00295FAE">
              <w:rPr>
                <w:rFonts w:ascii="Arial" w:hAnsi="Arial" w:cs="Arial"/>
              </w:rPr>
              <w:t>Category</w:t>
            </w:r>
          </w:p>
        </w:tc>
        <w:tc>
          <w:tcPr>
            <w:tcW w:w="0" w:type="auto"/>
            <w:tcBorders>
              <w:top w:val="nil"/>
            </w:tcBorders>
            <w:shd w:val="clear" w:color="auto" w:fill="FBE4D5" w:themeFill="accent2" w:themeFillTint="33"/>
            <w:tcMar>
              <w:top w:w="150" w:type="dxa"/>
              <w:left w:w="240" w:type="dxa"/>
              <w:bottom w:w="150" w:type="dxa"/>
              <w:right w:w="240" w:type="dxa"/>
            </w:tcMar>
            <w:vAlign w:val="center"/>
            <w:hideMark/>
          </w:tcPr>
          <w:p w14:paraId="3E0AC911" w14:textId="77777777" w:rsidR="00295FAE" w:rsidRPr="00295FAE" w:rsidRDefault="00295FAE" w:rsidP="00295FAE">
            <w:pPr>
              <w:spacing w:line="600" w:lineRule="auto"/>
              <w:rPr>
                <w:rFonts w:ascii="Arial" w:hAnsi="Arial" w:cs="Arial"/>
              </w:rPr>
            </w:pPr>
            <w:r w:rsidRPr="00295FAE">
              <w:rPr>
                <w:rFonts w:ascii="Arial" w:hAnsi="Arial" w:cs="Arial"/>
              </w:rPr>
              <w:t>Reason for Inclusion</w:t>
            </w:r>
          </w:p>
        </w:tc>
      </w:tr>
      <w:tr w:rsidR="00295FAE" w:rsidRPr="00295FAE" w14:paraId="0108AA30" w14:textId="77777777" w:rsidTr="003A2FF2">
        <w:tc>
          <w:tcPr>
            <w:tcW w:w="0" w:type="auto"/>
            <w:shd w:val="clear" w:color="auto" w:fill="FBE4D5" w:themeFill="accent2" w:themeFillTint="33"/>
            <w:tcMar>
              <w:top w:w="150" w:type="dxa"/>
              <w:left w:w="0" w:type="dxa"/>
              <w:bottom w:w="150" w:type="dxa"/>
              <w:right w:w="240" w:type="dxa"/>
            </w:tcMar>
            <w:vAlign w:val="center"/>
            <w:hideMark/>
          </w:tcPr>
          <w:p w14:paraId="5BC61436" w14:textId="77777777" w:rsidR="00295FAE" w:rsidRPr="00295FAE" w:rsidRDefault="00295FAE" w:rsidP="00295FAE">
            <w:pPr>
              <w:spacing w:line="600" w:lineRule="auto"/>
              <w:rPr>
                <w:rFonts w:ascii="Arial" w:hAnsi="Arial" w:cs="Arial"/>
              </w:rPr>
            </w:pPr>
            <w:r w:rsidRPr="00295FAE">
              <w:rPr>
                <w:rFonts w:ascii="Arial" w:hAnsi="Arial" w:cs="Arial"/>
              </w:rPr>
              <w:t>Premium guests (loyalty members)</w:t>
            </w:r>
          </w:p>
        </w:tc>
        <w:tc>
          <w:tcPr>
            <w:tcW w:w="0" w:type="auto"/>
            <w:shd w:val="clear" w:color="auto" w:fill="FBE4D5" w:themeFill="accent2" w:themeFillTint="33"/>
            <w:tcMar>
              <w:top w:w="150" w:type="dxa"/>
              <w:left w:w="240" w:type="dxa"/>
              <w:bottom w:w="150" w:type="dxa"/>
              <w:right w:w="240" w:type="dxa"/>
            </w:tcMar>
            <w:vAlign w:val="center"/>
            <w:hideMark/>
          </w:tcPr>
          <w:p w14:paraId="5902438B" w14:textId="77777777" w:rsidR="00295FAE" w:rsidRPr="00295FAE" w:rsidRDefault="00295FAE" w:rsidP="00295FAE">
            <w:pPr>
              <w:spacing w:line="600" w:lineRule="auto"/>
              <w:rPr>
                <w:rFonts w:ascii="Arial" w:hAnsi="Arial" w:cs="Arial"/>
              </w:rPr>
            </w:pPr>
            <w:r w:rsidRPr="00295FAE">
              <w:rPr>
                <w:rFonts w:ascii="Arial" w:hAnsi="Arial" w:cs="Arial"/>
              </w:rPr>
              <w:t>Customers</w:t>
            </w:r>
          </w:p>
        </w:tc>
        <w:tc>
          <w:tcPr>
            <w:tcW w:w="0" w:type="auto"/>
            <w:shd w:val="clear" w:color="auto" w:fill="FBE4D5" w:themeFill="accent2" w:themeFillTint="33"/>
            <w:tcMar>
              <w:top w:w="150" w:type="dxa"/>
              <w:left w:w="240" w:type="dxa"/>
              <w:bottom w:w="150" w:type="dxa"/>
              <w:right w:w="0" w:type="dxa"/>
            </w:tcMar>
            <w:vAlign w:val="center"/>
            <w:hideMark/>
          </w:tcPr>
          <w:p w14:paraId="46E602DD" w14:textId="77777777" w:rsidR="00295FAE" w:rsidRPr="00295FAE" w:rsidRDefault="00295FAE" w:rsidP="00295FAE">
            <w:pPr>
              <w:spacing w:line="600" w:lineRule="auto"/>
              <w:rPr>
                <w:rFonts w:ascii="Arial" w:hAnsi="Arial" w:cs="Arial"/>
              </w:rPr>
            </w:pPr>
            <w:r w:rsidRPr="00295FAE">
              <w:rPr>
                <w:rFonts w:ascii="Arial" w:hAnsi="Arial" w:cs="Arial"/>
              </w:rPr>
              <w:t>Primary end-user; adoption determines success</w:t>
            </w:r>
          </w:p>
        </w:tc>
      </w:tr>
      <w:tr w:rsidR="00295FAE" w:rsidRPr="00295FAE" w14:paraId="0F373A00" w14:textId="77777777" w:rsidTr="003A2FF2">
        <w:tc>
          <w:tcPr>
            <w:tcW w:w="0" w:type="auto"/>
            <w:shd w:val="clear" w:color="auto" w:fill="FBE4D5" w:themeFill="accent2" w:themeFillTint="33"/>
            <w:tcMar>
              <w:top w:w="150" w:type="dxa"/>
              <w:left w:w="0" w:type="dxa"/>
              <w:bottom w:w="150" w:type="dxa"/>
              <w:right w:w="240" w:type="dxa"/>
            </w:tcMar>
            <w:vAlign w:val="center"/>
            <w:hideMark/>
          </w:tcPr>
          <w:p w14:paraId="44759501" w14:textId="5DA09B75" w:rsidR="00295FAE" w:rsidRPr="00295FAE" w:rsidRDefault="00295FAE" w:rsidP="00295FAE">
            <w:pPr>
              <w:spacing w:line="600" w:lineRule="auto"/>
              <w:rPr>
                <w:rFonts w:ascii="Arial" w:hAnsi="Arial" w:cs="Arial"/>
              </w:rPr>
            </w:pPr>
            <w:r w:rsidRPr="00295FAE">
              <w:rPr>
                <w:rFonts w:ascii="Arial" w:hAnsi="Arial" w:cs="Arial"/>
              </w:rPr>
              <w:t xml:space="preserve">Technology vendors (e.g., </w:t>
            </w:r>
            <w:r w:rsidR="004C0BDA" w:rsidRPr="00295FAE">
              <w:rPr>
                <w:rFonts w:ascii="Arial" w:hAnsi="Arial" w:cs="Arial"/>
              </w:rPr>
              <w:t>Volare</w:t>
            </w:r>
            <w:r w:rsidRPr="00295FAE">
              <w:rPr>
                <w:rFonts w:ascii="Arial" w:hAnsi="Arial" w:cs="Arial"/>
              </w:rPr>
              <w:t xml:space="preserve">, </w:t>
            </w:r>
            <w:r w:rsidR="004C0BDA" w:rsidRPr="00295FAE">
              <w:rPr>
                <w:rFonts w:ascii="Arial" w:hAnsi="Arial" w:cs="Arial"/>
              </w:rPr>
              <w:t>A paleo</w:t>
            </w:r>
            <w:r w:rsidRPr="00295FAE">
              <w:rPr>
                <w:rFonts w:ascii="Arial" w:hAnsi="Arial" w:cs="Arial"/>
              </w:rPr>
              <w:t>)</w:t>
            </w:r>
          </w:p>
        </w:tc>
        <w:tc>
          <w:tcPr>
            <w:tcW w:w="0" w:type="auto"/>
            <w:shd w:val="clear" w:color="auto" w:fill="FBE4D5" w:themeFill="accent2" w:themeFillTint="33"/>
            <w:tcMar>
              <w:top w:w="150" w:type="dxa"/>
              <w:left w:w="240" w:type="dxa"/>
              <w:bottom w:w="150" w:type="dxa"/>
              <w:right w:w="240" w:type="dxa"/>
            </w:tcMar>
            <w:vAlign w:val="center"/>
            <w:hideMark/>
          </w:tcPr>
          <w:p w14:paraId="6DE22F96" w14:textId="77777777" w:rsidR="00295FAE" w:rsidRPr="00295FAE" w:rsidRDefault="00295FAE" w:rsidP="00295FAE">
            <w:pPr>
              <w:spacing w:line="600" w:lineRule="auto"/>
              <w:rPr>
                <w:rFonts w:ascii="Arial" w:hAnsi="Arial" w:cs="Arial"/>
              </w:rPr>
            </w:pPr>
            <w:r w:rsidRPr="00295FAE">
              <w:rPr>
                <w:rFonts w:ascii="Arial" w:hAnsi="Arial" w:cs="Arial"/>
              </w:rPr>
              <w:t>Suppliers</w:t>
            </w:r>
          </w:p>
        </w:tc>
        <w:tc>
          <w:tcPr>
            <w:tcW w:w="0" w:type="auto"/>
            <w:shd w:val="clear" w:color="auto" w:fill="FBE4D5" w:themeFill="accent2" w:themeFillTint="33"/>
            <w:tcMar>
              <w:top w:w="150" w:type="dxa"/>
              <w:left w:w="240" w:type="dxa"/>
              <w:bottom w:w="150" w:type="dxa"/>
              <w:right w:w="0" w:type="dxa"/>
            </w:tcMar>
            <w:vAlign w:val="center"/>
            <w:hideMark/>
          </w:tcPr>
          <w:p w14:paraId="19488C33" w14:textId="77777777" w:rsidR="00295FAE" w:rsidRPr="00295FAE" w:rsidRDefault="00295FAE" w:rsidP="00295FAE">
            <w:pPr>
              <w:spacing w:line="600" w:lineRule="auto"/>
              <w:rPr>
                <w:rFonts w:ascii="Arial" w:hAnsi="Arial" w:cs="Arial"/>
              </w:rPr>
            </w:pPr>
            <w:r w:rsidRPr="00295FAE">
              <w:rPr>
                <w:rFonts w:ascii="Arial" w:hAnsi="Arial" w:cs="Arial"/>
              </w:rPr>
              <w:t>Deliver AI and integration platforms</w:t>
            </w:r>
          </w:p>
        </w:tc>
      </w:tr>
      <w:tr w:rsidR="00295FAE" w:rsidRPr="00295FAE" w14:paraId="6D357808" w14:textId="77777777" w:rsidTr="003A2FF2">
        <w:tc>
          <w:tcPr>
            <w:tcW w:w="0" w:type="auto"/>
            <w:shd w:val="clear" w:color="auto" w:fill="FBE4D5" w:themeFill="accent2" w:themeFillTint="33"/>
            <w:tcMar>
              <w:top w:w="150" w:type="dxa"/>
              <w:left w:w="0" w:type="dxa"/>
              <w:bottom w:w="150" w:type="dxa"/>
              <w:right w:w="240" w:type="dxa"/>
            </w:tcMar>
            <w:vAlign w:val="center"/>
            <w:hideMark/>
          </w:tcPr>
          <w:p w14:paraId="54B8D1B0" w14:textId="77777777" w:rsidR="00295FAE" w:rsidRPr="00295FAE" w:rsidRDefault="00295FAE" w:rsidP="00295FAE">
            <w:pPr>
              <w:spacing w:line="600" w:lineRule="auto"/>
              <w:rPr>
                <w:rFonts w:ascii="Arial" w:hAnsi="Arial" w:cs="Arial"/>
              </w:rPr>
            </w:pPr>
            <w:r w:rsidRPr="00295FAE">
              <w:rPr>
                <w:rFonts w:ascii="Arial" w:hAnsi="Arial" w:cs="Arial"/>
              </w:rPr>
              <w:t>Local regulators (ICO in UK, PCPD in Hong Kong)</w:t>
            </w:r>
          </w:p>
        </w:tc>
        <w:tc>
          <w:tcPr>
            <w:tcW w:w="0" w:type="auto"/>
            <w:shd w:val="clear" w:color="auto" w:fill="FBE4D5" w:themeFill="accent2" w:themeFillTint="33"/>
            <w:tcMar>
              <w:top w:w="150" w:type="dxa"/>
              <w:left w:w="240" w:type="dxa"/>
              <w:bottom w:w="150" w:type="dxa"/>
              <w:right w:w="240" w:type="dxa"/>
            </w:tcMar>
            <w:vAlign w:val="center"/>
            <w:hideMark/>
          </w:tcPr>
          <w:p w14:paraId="515135E9" w14:textId="77777777" w:rsidR="00295FAE" w:rsidRPr="00295FAE" w:rsidRDefault="00295FAE" w:rsidP="00295FAE">
            <w:pPr>
              <w:spacing w:line="600" w:lineRule="auto"/>
              <w:rPr>
                <w:rFonts w:ascii="Arial" w:hAnsi="Arial" w:cs="Arial"/>
              </w:rPr>
            </w:pPr>
            <w:r w:rsidRPr="00295FAE">
              <w:rPr>
                <w:rFonts w:ascii="Arial" w:hAnsi="Arial" w:cs="Arial"/>
              </w:rPr>
              <w:t>Regulatory</w:t>
            </w:r>
          </w:p>
        </w:tc>
        <w:tc>
          <w:tcPr>
            <w:tcW w:w="0" w:type="auto"/>
            <w:shd w:val="clear" w:color="auto" w:fill="FBE4D5" w:themeFill="accent2" w:themeFillTint="33"/>
            <w:tcMar>
              <w:top w:w="150" w:type="dxa"/>
              <w:left w:w="240" w:type="dxa"/>
              <w:bottom w:w="150" w:type="dxa"/>
              <w:right w:w="0" w:type="dxa"/>
            </w:tcMar>
            <w:vAlign w:val="center"/>
            <w:hideMark/>
          </w:tcPr>
          <w:p w14:paraId="338E17D8" w14:textId="77777777" w:rsidR="00295FAE" w:rsidRPr="00295FAE" w:rsidRDefault="00295FAE" w:rsidP="00295FAE">
            <w:pPr>
              <w:spacing w:line="600" w:lineRule="auto"/>
              <w:rPr>
                <w:rFonts w:ascii="Arial" w:hAnsi="Arial" w:cs="Arial"/>
              </w:rPr>
            </w:pPr>
            <w:r w:rsidRPr="00295FAE">
              <w:rPr>
                <w:rFonts w:ascii="Arial" w:hAnsi="Arial" w:cs="Arial"/>
              </w:rPr>
              <w:t>Enforce data protection compliance</w:t>
            </w:r>
          </w:p>
        </w:tc>
      </w:tr>
      <w:tr w:rsidR="00295FAE" w:rsidRPr="00295FAE" w14:paraId="4090F4A9" w14:textId="77777777" w:rsidTr="003A2FF2">
        <w:tc>
          <w:tcPr>
            <w:tcW w:w="0" w:type="auto"/>
            <w:shd w:val="clear" w:color="auto" w:fill="FBE4D5" w:themeFill="accent2" w:themeFillTint="33"/>
            <w:tcMar>
              <w:top w:w="150" w:type="dxa"/>
              <w:left w:w="0" w:type="dxa"/>
              <w:bottom w:w="150" w:type="dxa"/>
              <w:right w:w="240" w:type="dxa"/>
            </w:tcMar>
            <w:vAlign w:val="center"/>
            <w:hideMark/>
          </w:tcPr>
          <w:p w14:paraId="374ABE72" w14:textId="3A46DDB3" w:rsidR="00295FAE" w:rsidRPr="00295FAE" w:rsidRDefault="00295FAE" w:rsidP="00295FAE">
            <w:pPr>
              <w:spacing w:line="600" w:lineRule="auto"/>
              <w:rPr>
                <w:rFonts w:ascii="Arial" w:hAnsi="Arial" w:cs="Arial"/>
              </w:rPr>
            </w:pPr>
            <w:r w:rsidRPr="00295FAE">
              <w:rPr>
                <w:rFonts w:ascii="Arial" w:hAnsi="Arial" w:cs="Arial"/>
              </w:rPr>
              <w:t xml:space="preserve">Sustainability certifiers (Green Key, </w:t>
            </w:r>
            <w:r w:rsidR="004C0BDA" w:rsidRPr="00295FAE">
              <w:rPr>
                <w:rFonts w:ascii="Arial" w:hAnsi="Arial" w:cs="Arial"/>
              </w:rPr>
              <w:t>Earth Check</w:t>
            </w:r>
            <w:r w:rsidRPr="00295FAE">
              <w:rPr>
                <w:rFonts w:ascii="Arial" w:hAnsi="Arial" w:cs="Arial"/>
              </w:rPr>
              <w:t>)</w:t>
            </w:r>
          </w:p>
        </w:tc>
        <w:tc>
          <w:tcPr>
            <w:tcW w:w="0" w:type="auto"/>
            <w:shd w:val="clear" w:color="auto" w:fill="FBE4D5" w:themeFill="accent2" w:themeFillTint="33"/>
            <w:tcMar>
              <w:top w:w="150" w:type="dxa"/>
              <w:left w:w="240" w:type="dxa"/>
              <w:bottom w:w="150" w:type="dxa"/>
              <w:right w:w="240" w:type="dxa"/>
            </w:tcMar>
            <w:vAlign w:val="center"/>
            <w:hideMark/>
          </w:tcPr>
          <w:p w14:paraId="4978F8D9" w14:textId="77777777" w:rsidR="00295FAE" w:rsidRPr="00295FAE" w:rsidRDefault="00295FAE" w:rsidP="00295FAE">
            <w:pPr>
              <w:spacing w:line="600" w:lineRule="auto"/>
              <w:rPr>
                <w:rFonts w:ascii="Arial" w:hAnsi="Arial" w:cs="Arial"/>
              </w:rPr>
            </w:pPr>
            <w:r w:rsidRPr="00295FAE">
              <w:rPr>
                <w:rFonts w:ascii="Arial" w:hAnsi="Arial" w:cs="Arial"/>
              </w:rPr>
              <w:t>Standards bodies</w:t>
            </w:r>
          </w:p>
        </w:tc>
        <w:tc>
          <w:tcPr>
            <w:tcW w:w="0" w:type="auto"/>
            <w:shd w:val="clear" w:color="auto" w:fill="FBE4D5" w:themeFill="accent2" w:themeFillTint="33"/>
            <w:tcMar>
              <w:top w:w="150" w:type="dxa"/>
              <w:left w:w="240" w:type="dxa"/>
              <w:bottom w:w="150" w:type="dxa"/>
              <w:right w:w="0" w:type="dxa"/>
            </w:tcMar>
            <w:vAlign w:val="center"/>
            <w:hideMark/>
          </w:tcPr>
          <w:p w14:paraId="40EF8A14" w14:textId="77777777" w:rsidR="00295FAE" w:rsidRPr="00295FAE" w:rsidRDefault="00295FAE" w:rsidP="00295FAE">
            <w:pPr>
              <w:spacing w:line="600" w:lineRule="auto"/>
              <w:rPr>
                <w:rFonts w:ascii="Arial" w:hAnsi="Arial" w:cs="Arial"/>
              </w:rPr>
            </w:pPr>
            <w:r w:rsidRPr="00295FAE">
              <w:rPr>
                <w:rFonts w:ascii="Arial" w:hAnsi="Arial" w:cs="Arial"/>
              </w:rPr>
              <w:t>Verification of ‘sustainability-focused amenities’ claims</w:t>
            </w:r>
          </w:p>
        </w:tc>
      </w:tr>
      <w:tr w:rsidR="00295FAE" w:rsidRPr="00295FAE" w14:paraId="6A90D301" w14:textId="77777777" w:rsidTr="003A2FF2">
        <w:tc>
          <w:tcPr>
            <w:tcW w:w="0" w:type="auto"/>
            <w:shd w:val="clear" w:color="auto" w:fill="FBE4D5" w:themeFill="accent2" w:themeFillTint="33"/>
            <w:tcMar>
              <w:top w:w="150" w:type="dxa"/>
              <w:left w:w="0" w:type="dxa"/>
              <w:bottom w:w="150" w:type="dxa"/>
              <w:right w:w="240" w:type="dxa"/>
            </w:tcMar>
            <w:vAlign w:val="center"/>
            <w:hideMark/>
          </w:tcPr>
          <w:p w14:paraId="1406D79B" w14:textId="77777777" w:rsidR="00295FAE" w:rsidRPr="00295FAE" w:rsidRDefault="00295FAE" w:rsidP="00295FAE">
            <w:pPr>
              <w:spacing w:line="600" w:lineRule="auto"/>
              <w:rPr>
                <w:rFonts w:ascii="Arial" w:hAnsi="Arial" w:cs="Arial"/>
              </w:rPr>
            </w:pPr>
            <w:r w:rsidRPr="00295FAE">
              <w:rPr>
                <w:rFonts w:ascii="Arial" w:hAnsi="Arial" w:cs="Arial"/>
              </w:rPr>
              <w:lastRenderedPageBreak/>
              <w:t>Local community (Westminster Council)</w:t>
            </w:r>
          </w:p>
        </w:tc>
        <w:tc>
          <w:tcPr>
            <w:tcW w:w="0" w:type="auto"/>
            <w:shd w:val="clear" w:color="auto" w:fill="FBE4D5" w:themeFill="accent2" w:themeFillTint="33"/>
            <w:tcMar>
              <w:top w:w="150" w:type="dxa"/>
              <w:left w:w="240" w:type="dxa"/>
              <w:bottom w:w="150" w:type="dxa"/>
              <w:right w:w="240" w:type="dxa"/>
            </w:tcMar>
            <w:vAlign w:val="center"/>
            <w:hideMark/>
          </w:tcPr>
          <w:p w14:paraId="658A1179" w14:textId="77777777" w:rsidR="00295FAE" w:rsidRPr="00295FAE" w:rsidRDefault="00295FAE" w:rsidP="00295FAE">
            <w:pPr>
              <w:spacing w:line="600" w:lineRule="auto"/>
              <w:rPr>
                <w:rFonts w:ascii="Arial" w:hAnsi="Arial" w:cs="Arial"/>
              </w:rPr>
            </w:pPr>
            <w:r w:rsidRPr="00295FAE">
              <w:rPr>
                <w:rFonts w:ascii="Arial" w:hAnsi="Arial" w:cs="Arial"/>
              </w:rPr>
              <w:t>Local authority</w:t>
            </w:r>
          </w:p>
        </w:tc>
        <w:tc>
          <w:tcPr>
            <w:tcW w:w="0" w:type="auto"/>
            <w:shd w:val="clear" w:color="auto" w:fill="FBE4D5" w:themeFill="accent2" w:themeFillTint="33"/>
            <w:tcMar>
              <w:top w:w="150" w:type="dxa"/>
              <w:left w:w="240" w:type="dxa"/>
              <w:bottom w:w="150" w:type="dxa"/>
              <w:right w:w="0" w:type="dxa"/>
            </w:tcMar>
            <w:vAlign w:val="center"/>
            <w:hideMark/>
          </w:tcPr>
          <w:p w14:paraId="7CCD49B0" w14:textId="77777777" w:rsidR="00295FAE" w:rsidRPr="00295FAE" w:rsidRDefault="00295FAE" w:rsidP="00295FAE">
            <w:pPr>
              <w:spacing w:line="600" w:lineRule="auto"/>
              <w:rPr>
                <w:rFonts w:ascii="Arial" w:hAnsi="Arial" w:cs="Arial"/>
              </w:rPr>
            </w:pPr>
            <w:r w:rsidRPr="00295FAE">
              <w:rPr>
                <w:rFonts w:ascii="Arial" w:hAnsi="Arial" w:cs="Arial"/>
              </w:rPr>
              <w:t>Planning permissions for external sensors; noise complaints</w:t>
            </w:r>
          </w:p>
        </w:tc>
      </w:tr>
      <w:tr w:rsidR="00295FAE" w:rsidRPr="00295FAE" w14:paraId="429195FF" w14:textId="77777777" w:rsidTr="003A2FF2">
        <w:tc>
          <w:tcPr>
            <w:tcW w:w="0" w:type="auto"/>
            <w:shd w:val="clear" w:color="auto" w:fill="FBE4D5" w:themeFill="accent2" w:themeFillTint="33"/>
            <w:tcMar>
              <w:top w:w="150" w:type="dxa"/>
              <w:left w:w="0" w:type="dxa"/>
              <w:bottom w:w="150" w:type="dxa"/>
              <w:right w:w="240" w:type="dxa"/>
            </w:tcMar>
            <w:vAlign w:val="center"/>
            <w:hideMark/>
          </w:tcPr>
          <w:p w14:paraId="50FBC71F" w14:textId="77777777" w:rsidR="00295FAE" w:rsidRPr="00295FAE" w:rsidRDefault="00295FAE" w:rsidP="00295FAE">
            <w:pPr>
              <w:spacing w:line="600" w:lineRule="auto"/>
              <w:rPr>
                <w:rFonts w:ascii="Arial" w:hAnsi="Arial" w:cs="Arial"/>
              </w:rPr>
            </w:pPr>
            <w:r w:rsidRPr="00295FAE">
              <w:rPr>
                <w:rFonts w:ascii="Arial" w:hAnsi="Arial" w:cs="Arial"/>
              </w:rPr>
              <w:t>Travel agencies (Virtuoso, Amex)</w:t>
            </w:r>
          </w:p>
        </w:tc>
        <w:tc>
          <w:tcPr>
            <w:tcW w:w="0" w:type="auto"/>
            <w:shd w:val="clear" w:color="auto" w:fill="FBE4D5" w:themeFill="accent2" w:themeFillTint="33"/>
            <w:tcMar>
              <w:top w:w="150" w:type="dxa"/>
              <w:left w:w="240" w:type="dxa"/>
              <w:bottom w:w="150" w:type="dxa"/>
              <w:right w:w="240" w:type="dxa"/>
            </w:tcMar>
            <w:vAlign w:val="center"/>
            <w:hideMark/>
          </w:tcPr>
          <w:p w14:paraId="6612D078" w14:textId="77777777" w:rsidR="00295FAE" w:rsidRPr="00295FAE" w:rsidRDefault="00295FAE" w:rsidP="00295FAE">
            <w:pPr>
              <w:spacing w:line="600" w:lineRule="auto"/>
              <w:rPr>
                <w:rFonts w:ascii="Arial" w:hAnsi="Arial" w:cs="Arial"/>
              </w:rPr>
            </w:pPr>
            <w:r w:rsidRPr="00295FAE">
              <w:rPr>
                <w:rFonts w:ascii="Arial" w:hAnsi="Arial" w:cs="Arial"/>
              </w:rPr>
              <w:t>Distribution partners</w:t>
            </w:r>
          </w:p>
        </w:tc>
        <w:tc>
          <w:tcPr>
            <w:tcW w:w="0" w:type="auto"/>
            <w:shd w:val="clear" w:color="auto" w:fill="FBE4D5" w:themeFill="accent2" w:themeFillTint="33"/>
            <w:tcMar>
              <w:top w:w="150" w:type="dxa"/>
              <w:left w:w="240" w:type="dxa"/>
              <w:bottom w:w="150" w:type="dxa"/>
              <w:right w:w="0" w:type="dxa"/>
            </w:tcMar>
            <w:vAlign w:val="center"/>
            <w:hideMark/>
          </w:tcPr>
          <w:p w14:paraId="7AD46E1F" w14:textId="1A683E2B" w:rsidR="00295FAE" w:rsidRPr="00295FAE" w:rsidRDefault="00295FAE" w:rsidP="00295FAE">
            <w:pPr>
              <w:spacing w:line="600" w:lineRule="auto"/>
              <w:rPr>
                <w:rFonts w:ascii="Arial" w:hAnsi="Arial" w:cs="Arial"/>
              </w:rPr>
            </w:pPr>
            <w:r w:rsidRPr="00295FAE">
              <w:rPr>
                <w:rFonts w:ascii="Arial" w:hAnsi="Arial" w:cs="Arial"/>
              </w:rPr>
              <w:t xml:space="preserve">Sell </w:t>
            </w:r>
            <w:r w:rsidR="004C0BDA" w:rsidRPr="00295FAE">
              <w:rPr>
                <w:rFonts w:ascii="Arial" w:hAnsi="Arial" w:cs="Arial"/>
              </w:rPr>
              <w:t>Stay Smart</w:t>
            </w:r>
            <w:r w:rsidRPr="00295FAE">
              <w:rPr>
                <w:rFonts w:ascii="Arial" w:hAnsi="Arial" w:cs="Arial"/>
              </w:rPr>
              <w:t>+ as a premium package to high-net-worth clients</w:t>
            </w:r>
          </w:p>
        </w:tc>
      </w:tr>
    </w:tbl>
    <w:p w14:paraId="66341F7E" w14:textId="77777777" w:rsidR="00295FAE" w:rsidRPr="00295FAE" w:rsidRDefault="00295FAE" w:rsidP="00295FAE">
      <w:pPr>
        <w:spacing w:line="600" w:lineRule="auto"/>
        <w:rPr>
          <w:rFonts w:ascii="Arial" w:hAnsi="Arial" w:cs="Arial"/>
        </w:rPr>
      </w:pPr>
      <w:r w:rsidRPr="00295FAE">
        <w:rPr>
          <w:rFonts w:ascii="Arial" w:hAnsi="Arial" w:cs="Arial"/>
        </w:rPr>
        <w:t>A total of </w:t>
      </w:r>
      <w:r w:rsidRPr="00295FAE">
        <w:rPr>
          <w:rFonts w:ascii="Arial" w:hAnsi="Arial" w:cs="Arial"/>
          <w:b/>
          <w:bCs/>
        </w:rPr>
        <w:t>15 distinct stakeholders</w:t>
      </w:r>
      <w:r w:rsidRPr="00295FAE">
        <w:rPr>
          <w:rFonts w:ascii="Arial" w:hAnsi="Arial" w:cs="Arial"/>
        </w:rPr>
        <w:t> were identified. Using salience theory, the COO and IT Director possess high power, legitimacy, and urgency (definitive stakeholders). Front-line staff have high urgency (they must use the system daily) but lower power, making them ‘dependent stakeholders’. External regulators have high legitimacy and power but lower urgency unless a breach occurs. This mapping informed subsequent engagement prioritisation.</w:t>
      </w:r>
    </w:p>
    <w:p w14:paraId="78A90607" w14:textId="77777777" w:rsidR="00295FAE" w:rsidRPr="00295FAE" w:rsidRDefault="00000000" w:rsidP="00295FAE">
      <w:pPr>
        <w:spacing w:line="600" w:lineRule="auto"/>
        <w:rPr>
          <w:rFonts w:ascii="Arial" w:hAnsi="Arial" w:cs="Arial"/>
        </w:rPr>
      </w:pPr>
      <w:r>
        <w:rPr>
          <w:rFonts w:ascii="Arial" w:hAnsi="Arial" w:cs="Arial"/>
        </w:rPr>
        <w:pict w14:anchorId="2E82AAD0">
          <v:rect id="_x0000_i1027" style="width:0;height:.75pt" o:hralign="center" o:hrstd="t" o:hr="t" fillcolor="#a0a0a0" stroked="f"/>
        </w:pict>
      </w:r>
    </w:p>
    <w:p w14:paraId="075931E8" w14:textId="3481CF60" w:rsidR="00295FAE" w:rsidRPr="00295FAE" w:rsidRDefault="00295FAE" w:rsidP="00295FAE">
      <w:pPr>
        <w:spacing w:line="600" w:lineRule="auto"/>
        <w:rPr>
          <w:rFonts w:ascii="Arial" w:hAnsi="Arial" w:cs="Arial"/>
          <w:b/>
          <w:bCs/>
          <w:sz w:val="28"/>
          <w:szCs w:val="28"/>
        </w:rPr>
      </w:pPr>
      <w:r w:rsidRPr="00295FAE">
        <w:rPr>
          <w:rFonts w:ascii="Arial" w:hAnsi="Arial" w:cs="Arial"/>
          <w:b/>
          <w:bCs/>
          <w:sz w:val="28"/>
          <w:szCs w:val="28"/>
        </w:rPr>
        <w:t xml:space="preserve">6. Stakeholder Roles, Responsibilities, Benefits, and Challenges </w:t>
      </w:r>
    </w:p>
    <w:p w14:paraId="03DC5266" w14:textId="77777777" w:rsidR="00295FAE" w:rsidRPr="00295FAE" w:rsidRDefault="00295FAE" w:rsidP="00295FAE">
      <w:pPr>
        <w:spacing w:line="600" w:lineRule="auto"/>
        <w:rPr>
          <w:rFonts w:ascii="Arial" w:hAnsi="Arial" w:cs="Arial"/>
          <w:b/>
          <w:bCs/>
        </w:rPr>
      </w:pPr>
      <w:r w:rsidRPr="00295FAE">
        <w:rPr>
          <w:rFonts w:ascii="Arial" w:hAnsi="Arial" w:cs="Arial"/>
          <w:b/>
          <w:bCs/>
        </w:rPr>
        <w:t>6.1 COO (Internal – Project Sponsor)</w:t>
      </w:r>
    </w:p>
    <w:p w14:paraId="3651C09D" w14:textId="77777777" w:rsidR="00295FAE" w:rsidRPr="00295FAE" w:rsidRDefault="00295FAE" w:rsidP="00295FAE">
      <w:pPr>
        <w:numPr>
          <w:ilvl w:val="0"/>
          <w:numId w:val="2"/>
        </w:numPr>
        <w:spacing w:line="600" w:lineRule="auto"/>
        <w:rPr>
          <w:rFonts w:ascii="Arial" w:hAnsi="Arial" w:cs="Arial"/>
        </w:rPr>
      </w:pPr>
      <w:r w:rsidRPr="00295FAE">
        <w:rPr>
          <w:rFonts w:ascii="Arial" w:hAnsi="Arial" w:cs="Arial"/>
          <w:b/>
          <w:bCs/>
        </w:rPr>
        <w:t>Role &amp; Responsibilities:</w:t>
      </w:r>
      <w:r w:rsidRPr="00295FAE">
        <w:rPr>
          <w:rFonts w:ascii="Arial" w:hAnsi="Arial" w:cs="Arial"/>
        </w:rPr>
        <w:t> Approves budget changes, escalates cross-departmental conflicts, and reports to CEO on project status. Must sign off on go/no-go for international rollout.</w:t>
      </w:r>
    </w:p>
    <w:p w14:paraId="79570B4B" w14:textId="77777777" w:rsidR="00295FAE" w:rsidRPr="00295FAE" w:rsidRDefault="00295FAE" w:rsidP="00295FAE">
      <w:pPr>
        <w:numPr>
          <w:ilvl w:val="0"/>
          <w:numId w:val="2"/>
        </w:numPr>
        <w:spacing w:line="600" w:lineRule="auto"/>
        <w:rPr>
          <w:rFonts w:ascii="Arial" w:hAnsi="Arial" w:cs="Arial"/>
        </w:rPr>
      </w:pPr>
      <w:r w:rsidRPr="00295FAE">
        <w:rPr>
          <w:rFonts w:ascii="Arial" w:hAnsi="Arial" w:cs="Arial"/>
          <w:b/>
          <w:bCs/>
        </w:rPr>
        <w:lastRenderedPageBreak/>
        <w:t>Benefits:</w:t>
      </w:r>
      <w:r w:rsidRPr="00295FAE">
        <w:rPr>
          <w:rFonts w:ascii="Arial" w:hAnsi="Arial" w:cs="Arial"/>
        </w:rPr>
        <w:t> Successful launch enhances COO’s strategic reputation and bonus (tied to innovation KPIs). Access to real-time guest data improves operational decisions.</w:t>
      </w:r>
    </w:p>
    <w:p w14:paraId="1B59284C" w14:textId="42D7EC55" w:rsidR="00295FAE" w:rsidRPr="00295FAE" w:rsidRDefault="00295FAE" w:rsidP="00295FAE">
      <w:pPr>
        <w:numPr>
          <w:ilvl w:val="0"/>
          <w:numId w:val="2"/>
        </w:numPr>
        <w:spacing w:line="600" w:lineRule="auto"/>
        <w:rPr>
          <w:rFonts w:ascii="Arial" w:hAnsi="Arial" w:cs="Arial"/>
        </w:rPr>
      </w:pPr>
      <w:r w:rsidRPr="00295FAE">
        <w:rPr>
          <w:rFonts w:ascii="Arial" w:hAnsi="Arial" w:cs="Arial"/>
          <w:b/>
          <w:bCs/>
        </w:rPr>
        <w:t>Challenges:</w:t>
      </w:r>
      <w:r w:rsidRPr="00295FAE">
        <w:rPr>
          <w:rFonts w:ascii="Arial" w:hAnsi="Arial" w:cs="Arial"/>
        </w:rPr>
        <w:t xml:space="preserve"> COO’s attention is divided among multiple strategic projects. May deprioritise </w:t>
      </w:r>
      <w:r w:rsidR="003A2FF2" w:rsidRPr="00295FAE">
        <w:rPr>
          <w:rFonts w:ascii="Arial" w:hAnsi="Arial" w:cs="Arial"/>
        </w:rPr>
        <w:t>Stay Smart</w:t>
      </w:r>
      <w:r w:rsidRPr="00295FAE">
        <w:rPr>
          <w:rFonts w:ascii="Arial" w:hAnsi="Arial" w:cs="Arial"/>
        </w:rPr>
        <w:t>+ if short-term revenue dips. Challenge of balancing UK pilot lessons with Asian market differences.</w:t>
      </w:r>
    </w:p>
    <w:p w14:paraId="466B9C63" w14:textId="77777777" w:rsidR="00295FAE" w:rsidRPr="00295FAE" w:rsidRDefault="00295FAE" w:rsidP="00295FAE">
      <w:pPr>
        <w:spacing w:line="600" w:lineRule="auto"/>
        <w:rPr>
          <w:rFonts w:ascii="Arial" w:hAnsi="Arial" w:cs="Arial"/>
          <w:b/>
          <w:bCs/>
        </w:rPr>
      </w:pPr>
      <w:r w:rsidRPr="00295FAE">
        <w:rPr>
          <w:rFonts w:ascii="Arial" w:hAnsi="Arial" w:cs="Arial"/>
          <w:b/>
          <w:bCs/>
        </w:rPr>
        <w:t>6.2 Director of IT</w:t>
      </w:r>
    </w:p>
    <w:p w14:paraId="295B6552" w14:textId="1E86B212" w:rsidR="00295FAE" w:rsidRPr="00295FAE" w:rsidRDefault="00295FAE" w:rsidP="00295FAE">
      <w:pPr>
        <w:numPr>
          <w:ilvl w:val="0"/>
          <w:numId w:val="3"/>
        </w:numPr>
        <w:spacing w:line="600" w:lineRule="auto"/>
        <w:rPr>
          <w:rFonts w:ascii="Arial" w:hAnsi="Arial" w:cs="Arial"/>
        </w:rPr>
      </w:pPr>
      <w:r w:rsidRPr="00295FAE">
        <w:rPr>
          <w:rFonts w:ascii="Arial" w:hAnsi="Arial" w:cs="Arial"/>
          <w:b/>
          <w:bCs/>
        </w:rPr>
        <w:t>Role:</w:t>
      </w:r>
      <w:r w:rsidRPr="00295FAE">
        <w:rPr>
          <w:rFonts w:ascii="Arial" w:hAnsi="Arial" w:cs="Arial"/>
        </w:rPr>
        <w:t xml:space="preserve"> Leads technical integration between </w:t>
      </w:r>
      <w:r w:rsidR="003A2FF2" w:rsidRPr="00295FAE">
        <w:rPr>
          <w:rFonts w:ascii="Arial" w:hAnsi="Arial" w:cs="Arial"/>
        </w:rPr>
        <w:t>Stay Smart</w:t>
      </w:r>
      <w:r w:rsidRPr="00295FAE">
        <w:rPr>
          <w:rFonts w:ascii="Arial" w:hAnsi="Arial" w:cs="Arial"/>
        </w:rPr>
        <w:t>+ platform and existing Oracle Opera PMS. Manages vendor selection and cybersecurity risk assessments. Responsible for GDPR-mandated Data Protection Impact Assessment (DPIA).</w:t>
      </w:r>
    </w:p>
    <w:p w14:paraId="324ACF16" w14:textId="77777777" w:rsidR="00295FAE" w:rsidRPr="00295FAE" w:rsidRDefault="00295FAE" w:rsidP="00295FAE">
      <w:pPr>
        <w:numPr>
          <w:ilvl w:val="0"/>
          <w:numId w:val="3"/>
        </w:numPr>
        <w:spacing w:line="600" w:lineRule="auto"/>
        <w:rPr>
          <w:rFonts w:ascii="Arial" w:hAnsi="Arial" w:cs="Arial"/>
        </w:rPr>
      </w:pPr>
      <w:r w:rsidRPr="00295FAE">
        <w:rPr>
          <w:rFonts w:ascii="Arial" w:hAnsi="Arial" w:cs="Arial"/>
          <w:b/>
          <w:bCs/>
        </w:rPr>
        <w:t>Benefits:</w:t>
      </w:r>
      <w:r w:rsidRPr="00295FAE">
        <w:rPr>
          <w:rFonts w:ascii="Arial" w:hAnsi="Arial" w:cs="Arial"/>
        </w:rPr>
        <w:t> Opportunity to modernise legacy infrastructure. Career advancement through high-profile digital transformation.</w:t>
      </w:r>
    </w:p>
    <w:p w14:paraId="7AF73FBA" w14:textId="77777777" w:rsidR="00295FAE" w:rsidRPr="00295FAE" w:rsidRDefault="00295FAE" w:rsidP="00295FAE">
      <w:pPr>
        <w:numPr>
          <w:ilvl w:val="0"/>
          <w:numId w:val="3"/>
        </w:numPr>
        <w:spacing w:line="600" w:lineRule="auto"/>
        <w:rPr>
          <w:rFonts w:ascii="Arial" w:hAnsi="Arial" w:cs="Arial"/>
        </w:rPr>
      </w:pPr>
      <w:r w:rsidRPr="00295FAE">
        <w:rPr>
          <w:rFonts w:ascii="Arial" w:hAnsi="Arial" w:cs="Arial"/>
          <w:b/>
          <w:bCs/>
        </w:rPr>
        <w:t>Challenges:</w:t>
      </w:r>
      <w:r w:rsidRPr="00295FAE">
        <w:rPr>
          <w:rFonts w:ascii="Arial" w:hAnsi="Arial" w:cs="Arial"/>
        </w:rPr>
        <w:t> Legacy systems lack APIs; custom integration may exceed budget. Resistance from IT team members who fear automation reducing their roles. Challenge of 24/7 system availability with zero downtime.</w:t>
      </w:r>
    </w:p>
    <w:p w14:paraId="7A54C05F" w14:textId="77777777" w:rsidR="00295FAE" w:rsidRPr="00295FAE" w:rsidRDefault="00295FAE" w:rsidP="00295FAE">
      <w:pPr>
        <w:spacing w:line="600" w:lineRule="auto"/>
        <w:rPr>
          <w:rFonts w:ascii="Arial" w:hAnsi="Arial" w:cs="Arial"/>
          <w:b/>
          <w:bCs/>
        </w:rPr>
      </w:pPr>
      <w:r w:rsidRPr="00295FAE">
        <w:rPr>
          <w:rFonts w:ascii="Arial" w:hAnsi="Arial" w:cs="Arial"/>
          <w:b/>
          <w:bCs/>
        </w:rPr>
        <w:t>6.3 Front-line Staff (Concierge, Housekeeping)</w:t>
      </w:r>
    </w:p>
    <w:p w14:paraId="2064FBD1" w14:textId="77777777" w:rsidR="00295FAE" w:rsidRPr="00295FAE" w:rsidRDefault="00295FAE" w:rsidP="00295FAE">
      <w:pPr>
        <w:numPr>
          <w:ilvl w:val="0"/>
          <w:numId w:val="4"/>
        </w:numPr>
        <w:spacing w:line="600" w:lineRule="auto"/>
        <w:rPr>
          <w:rFonts w:ascii="Arial" w:hAnsi="Arial" w:cs="Arial"/>
        </w:rPr>
      </w:pPr>
      <w:r w:rsidRPr="00295FAE">
        <w:rPr>
          <w:rFonts w:ascii="Arial" w:hAnsi="Arial" w:cs="Arial"/>
          <w:b/>
          <w:bCs/>
        </w:rPr>
        <w:t>Role:</w:t>
      </w:r>
      <w:r w:rsidRPr="00295FAE">
        <w:rPr>
          <w:rFonts w:ascii="Arial" w:hAnsi="Arial" w:cs="Arial"/>
        </w:rPr>
        <w:t> Daily operation: concierge uses AI to suggest personalised itineraries; housekeeping monitors in-room energy displays and resets guest preferences.</w:t>
      </w:r>
    </w:p>
    <w:p w14:paraId="5D1D4BC7" w14:textId="77777777" w:rsidR="00295FAE" w:rsidRPr="00295FAE" w:rsidRDefault="00295FAE" w:rsidP="00295FAE">
      <w:pPr>
        <w:numPr>
          <w:ilvl w:val="0"/>
          <w:numId w:val="4"/>
        </w:numPr>
        <w:spacing w:line="600" w:lineRule="auto"/>
        <w:rPr>
          <w:rFonts w:ascii="Arial" w:hAnsi="Arial" w:cs="Arial"/>
        </w:rPr>
      </w:pPr>
      <w:r w:rsidRPr="00295FAE">
        <w:rPr>
          <w:rFonts w:ascii="Arial" w:hAnsi="Arial" w:cs="Arial"/>
          <w:b/>
          <w:bCs/>
        </w:rPr>
        <w:t>Benefits:</w:t>
      </w:r>
      <w:r w:rsidRPr="00295FAE">
        <w:rPr>
          <w:rFonts w:ascii="Arial" w:hAnsi="Arial" w:cs="Arial"/>
        </w:rPr>
        <w:t> Reduced manual data entry (guest preferences auto-populate). Opportunity for upskilling and higher tips from satisfied guests.</w:t>
      </w:r>
    </w:p>
    <w:p w14:paraId="47F0FCBD" w14:textId="77777777" w:rsidR="00295FAE" w:rsidRPr="00295FAE" w:rsidRDefault="00295FAE" w:rsidP="00295FAE">
      <w:pPr>
        <w:numPr>
          <w:ilvl w:val="0"/>
          <w:numId w:val="4"/>
        </w:numPr>
        <w:spacing w:line="600" w:lineRule="auto"/>
        <w:rPr>
          <w:rFonts w:ascii="Arial" w:hAnsi="Arial" w:cs="Arial"/>
        </w:rPr>
      </w:pPr>
      <w:r w:rsidRPr="00295FAE">
        <w:rPr>
          <w:rFonts w:ascii="Arial" w:hAnsi="Arial" w:cs="Arial"/>
          <w:b/>
          <w:bCs/>
        </w:rPr>
        <w:lastRenderedPageBreak/>
        <w:t>Challenges:</w:t>
      </w:r>
      <w:r w:rsidRPr="00295FAE">
        <w:rPr>
          <w:rFonts w:ascii="Arial" w:hAnsi="Arial" w:cs="Arial"/>
        </w:rPr>
        <w:t> Fear of technology replacing human judgement (e.g., AI might recommend a restaurant that concierge knows is poor). Older staff may lack digital literacy. Unionised housekeeping may resist performance monitoring via energy data.</w:t>
      </w:r>
    </w:p>
    <w:p w14:paraId="031CCAA3" w14:textId="77777777" w:rsidR="00295FAE" w:rsidRPr="00295FAE" w:rsidRDefault="00295FAE" w:rsidP="00295FAE">
      <w:pPr>
        <w:spacing w:line="600" w:lineRule="auto"/>
        <w:rPr>
          <w:rFonts w:ascii="Arial" w:hAnsi="Arial" w:cs="Arial"/>
          <w:b/>
          <w:bCs/>
        </w:rPr>
      </w:pPr>
      <w:r w:rsidRPr="00295FAE">
        <w:rPr>
          <w:rFonts w:ascii="Arial" w:hAnsi="Arial" w:cs="Arial"/>
          <w:b/>
          <w:bCs/>
        </w:rPr>
        <w:t>6.4 Premium Guests (External)</w:t>
      </w:r>
    </w:p>
    <w:p w14:paraId="029678E1" w14:textId="29BEF491" w:rsidR="00295FAE" w:rsidRPr="00295FAE" w:rsidRDefault="00295FAE" w:rsidP="00295FAE">
      <w:pPr>
        <w:numPr>
          <w:ilvl w:val="0"/>
          <w:numId w:val="5"/>
        </w:numPr>
        <w:spacing w:line="600" w:lineRule="auto"/>
        <w:rPr>
          <w:rFonts w:ascii="Arial" w:hAnsi="Arial" w:cs="Arial"/>
        </w:rPr>
      </w:pPr>
      <w:r w:rsidRPr="00295FAE">
        <w:rPr>
          <w:rFonts w:ascii="Arial" w:hAnsi="Arial" w:cs="Arial"/>
          <w:b/>
          <w:bCs/>
        </w:rPr>
        <w:t>Role:</w:t>
      </w:r>
      <w:r w:rsidRPr="00295FAE">
        <w:rPr>
          <w:rFonts w:ascii="Arial" w:hAnsi="Arial" w:cs="Arial"/>
        </w:rPr>
        <w:t xml:space="preserve"> End-users who opt into </w:t>
      </w:r>
      <w:r w:rsidR="003A2FF2" w:rsidRPr="00295FAE">
        <w:rPr>
          <w:rFonts w:ascii="Arial" w:hAnsi="Arial" w:cs="Arial"/>
        </w:rPr>
        <w:t>Stay Smart</w:t>
      </w:r>
      <w:r w:rsidRPr="00295FAE">
        <w:rPr>
          <w:rFonts w:ascii="Arial" w:hAnsi="Arial" w:cs="Arial"/>
        </w:rPr>
        <w:t>+ (likely at £25/night supplement). Provide consent for data collection and feedback via post-stay surveys.</w:t>
      </w:r>
    </w:p>
    <w:p w14:paraId="61A802EA" w14:textId="77777777" w:rsidR="00295FAE" w:rsidRPr="00295FAE" w:rsidRDefault="00295FAE" w:rsidP="00295FAE">
      <w:pPr>
        <w:numPr>
          <w:ilvl w:val="0"/>
          <w:numId w:val="5"/>
        </w:numPr>
        <w:spacing w:line="600" w:lineRule="auto"/>
        <w:rPr>
          <w:rFonts w:ascii="Arial" w:hAnsi="Arial" w:cs="Arial"/>
        </w:rPr>
      </w:pPr>
      <w:r w:rsidRPr="00295FAE">
        <w:rPr>
          <w:rFonts w:ascii="Arial" w:hAnsi="Arial" w:cs="Arial"/>
          <w:b/>
          <w:bCs/>
        </w:rPr>
        <w:t>Benefits:</w:t>
      </w:r>
      <w:r w:rsidRPr="00295FAE">
        <w:rPr>
          <w:rFonts w:ascii="Arial" w:hAnsi="Arial" w:cs="Arial"/>
        </w:rPr>
        <w:t> Time-saving (no repeating preferences), personalised surprise experiences, and sustainability alignment with personal values.</w:t>
      </w:r>
    </w:p>
    <w:p w14:paraId="0584BE2C" w14:textId="77777777" w:rsidR="00295FAE" w:rsidRPr="00295FAE" w:rsidRDefault="00295FAE" w:rsidP="00295FAE">
      <w:pPr>
        <w:numPr>
          <w:ilvl w:val="0"/>
          <w:numId w:val="5"/>
        </w:numPr>
        <w:spacing w:line="600" w:lineRule="auto"/>
        <w:rPr>
          <w:rFonts w:ascii="Arial" w:hAnsi="Arial" w:cs="Arial"/>
        </w:rPr>
      </w:pPr>
      <w:r w:rsidRPr="00295FAE">
        <w:rPr>
          <w:rFonts w:ascii="Arial" w:hAnsi="Arial" w:cs="Arial"/>
          <w:b/>
          <w:bCs/>
        </w:rPr>
        <w:t>Challenges:</w:t>
      </w:r>
      <w:r w:rsidRPr="00295FAE">
        <w:rPr>
          <w:rFonts w:ascii="Arial" w:hAnsi="Arial" w:cs="Arial"/>
        </w:rPr>
        <w:t> Privacy concerns – guests may not trust AI with travel patterns. Data breaches could expose intimate details (e.g., medical dietary restrictions). Guests from some cultures (e.g., German) have historically higher privacy sensitivity.</w:t>
      </w:r>
    </w:p>
    <w:p w14:paraId="508050C9" w14:textId="77777777" w:rsidR="00295FAE" w:rsidRPr="00295FAE" w:rsidRDefault="00295FAE" w:rsidP="00295FAE">
      <w:pPr>
        <w:spacing w:line="600" w:lineRule="auto"/>
        <w:rPr>
          <w:rFonts w:ascii="Arial" w:hAnsi="Arial" w:cs="Arial"/>
          <w:b/>
          <w:bCs/>
        </w:rPr>
      </w:pPr>
      <w:r w:rsidRPr="00295FAE">
        <w:rPr>
          <w:rFonts w:ascii="Arial" w:hAnsi="Arial" w:cs="Arial"/>
          <w:b/>
          <w:bCs/>
        </w:rPr>
        <w:t>6.5 Local Regulators (ICO – UK)</w:t>
      </w:r>
    </w:p>
    <w:p w14:paraId="65A80EB3" w14:textId="77777777" w:rsidR="00295FAE" w:rsidRPr="00295FAE" w:rsidRDefault="00295FAE" w:rsidP="00295FAE">
      <w:pPr>
        <w:numPr>
          <w:ilvl w:val="0"/>
          <w:numId w:val="6"/>
        </w:numPr>
        <w:spacing w:line="600" w:lineRule="auto"/>
        <w:rPr>
          <w:rFonts w:ascii="Arial" w:hAnsi="Arial" w:cs="Arial"/>
        </w:rPr>
      </w:pPr>
      <w:r w:rsidRPr="00295FAE">
        <w:rPr>
          <w:rFonts w:ascii="Arial" w:hAnsi="Arial" w:cs="Arial"/>
          <w:b/>
          <w:bCs/>
        </w:rPr>
        <w:t>Role:</w:t>
      </w:r>
      <w:r w:rsidRPr="00295FAE">
        <w:rPr>
          <w:rFonts w:ascii="Arial" w:hAnsi="Arial" w:cs="Arial"/>
        </w:rPr>
        <w:t> Enforce GDPR. Must be notified of DPIA. Can fine The Langham up to €20 million or 4% global turnover for non-compliance.</w:t>
      </w:r>
    </w:p>
    <w:p w14:paraId="7B48E781" w14:textId="77777777" w:rsidR="00295FAE" w:rsidRPr="00295FAE" w:rsidRDefault="00295FAE" w:rsidP="00295FAE">
      <w:pPr>
        <w:numPr>
          <w:ilvl w:val="0"/>
          <w:numId w:val="6"/>
        </w:numPr>
        <w:spacing w:line="600" w:lineRule="auto"/>
        <w:rPr>
          <w:rFonts w:ascii="Arial" w:hAnsi="Arial" w:cs="Arial"/>
        </w:rPr>
      </w:pPr>
      <w:r w:rsidRPr="00295FAE">
        <w:rPr>
          <w:rFonts w:ascii="Arial" w:hAnsi="Arial" w:cs="Arial"/>
          <w:b/>
          <w:bCs/>
        </w:rPr>
        <w:t>Benefits:</w:t>
      </w:r>
      <w:r w:rsidRPr="00295FAE">
        <w:rPr>
          <w:rFonts w:ascii="Arial" w:hAnsi="Arial" w:cs="Arial"/>
        </w:rPr>
        <w:t> Successful compliance enhances regulator’s demonstrable enforcement record. Cooperative relationship reduces future scrutiny.</w:t>
      </w:r>
    </w:p>
    <w:p w14:paraId="36E63115" w14:textId="77777777" w:rsidR="00295FAE" w:rsidRPr="00295FAE" w:rsidRDefault="00295FAE" w:rsidP="00295FAE">
      <w:pPr>
        <w:numPr>
          <w:ilvl w:val="0"/>
          <w:numId w:val="6"/>
        </w:numPr>
        <w:spacing w:line="600" w:lineRule="auto"/>
        <w:rPr>
          <w:rFonts w:ascii="Arial" w:hAnsi="Arial" w:cs="Arial"/>
        </w:rPr>
      </w:pPr>
      <w:r w:rsidRPr="00295FAE">
        <w:rPr>
          <w:rFonts w:ascii="Arial" w:hAnsi="Arial" w:cs="Arial"/>
          <w:b/>
          <w:bCs/>
        </w:rPr>
        <w:t>Challenges:</w:t>
      </w:r>
      <w:r w:rsidRPr="00295FAE">
        <w:rPr>
          <w:rFonts w:ascii="Arial" w:hAnsi="Arial" w:cs="Arial"/>
        </w:rPr>
        <w:t> Regulators have limited resources for pre-launch consultation; response times may delay project. Divergent requirements between ICO (UK) and PCPD (Hong Kong) create compliance complexity.</w:t>
      </w:r>
    </w:p>
    <w:p w14:paraId="37F5B7CA" w14:textId="65247859" w:rsidR="00295FAE" w:rsidRPr="00295FAE" w:rsidRDefault="00295FAE" w:rsidP="00295FAE">
      <w:pPr>
        <w:spacing w:line="600" w:lineRule="auto"/>
        <w:rPr>
          <w:rFonts w:ascii="Arial" w:hAnsi="Arial" w:cs="Arial"/>
          <w:b/>
          <w:bCs/>
        </w:rPr>
      </w:pPr>
      <w:r w:rsidRPr="00295FAE">
        <w:rPr>
          <w:rFonts w:ascii="Arial" w:hAnsi="Arial" w:cs="Arial"/>
          <w:b/>
          <w:bCs/>
        </w:rPr>
        <w:t>6.6 Technology Vendor (</w:t>
      </w:r>
      <w:r w:rsidR="003A2FF2" w:rsidRPr="00295FAE">
        <w:rPr>
          <w:rFonts w:ascii="Arial" w:hAnsi="Arial" w:cs="Arial"/>
          <w:b/>
          <w:bCs/>
        </w:rPr>
        <w:t>Volare</w:t>
      </w:r>
      <w:r w:rsidRPr="00295FAE">
        <w:rPr>
          <w:rFonts w:ascii="Arial" w:hAnsi="Arial" w:cs="Arial"/>
          <w:b/>
          <w:bCs/>
        </w:rPr>
        <w:t xml:space="preserve"> – hypothetical)</w:t>
      </w:r>
    </w:p>
    <w:p w14:paraId="68988CF5" w14:textId="77777777" w:rsidR="00295FAE" w:rsidRPr="00295FAE" w:rsidRDefault="00295FAE" w:rsidP="00295FAE">
      <w:pPr>
        <w:numPr>
          <w:ilvl w:val="0"/>
          <w:numId w:val="7"/>
        </w:numPr>
        <w:spacing w:line="600" w:lineRule="auto"/>
        <w:rPr>
          <w:rFonts w:ascii="Arial" w:hAnsi="Arial" w:cs="Arial"/>
        </w:rPr>
      </w:pPr>
      <w:r w:rsidRPr="00295FAE">
        <w:rPr>
          <w:rFonts w:ascii="Arial" w:hAnsi="Arial" w:cs="Arial"/>
          <w:b/>
          <w:bCs/>
        </w:rPr>
        <w:lastRenderedPageBreak/>
        <w:t>Role:</w:t>
      </w:r>
      <w:r w:rsidRPr="00295FAE">
        <w:rPr>
          <w:rFonts w:ascii="Arial" w:hAnsi="Arial" w:cs="Arial"/>
        </w:rPr>
        <w:t> Provides voice AI platform and maintenance. Responsible for uptime, feature updates, and data processing agreements.</w:t>
      </w:r>
    </w:p>
    <w:p w14:paraId="3F648545" w14:textId="77777777" w:rsidR="00295FAE" w:rsidRPr="00295FAE" w:rsidRDefault="00295FAE" w:rsidP="00295FAE">
      <w:pPr>
        <w:numPr>
          <w:ilvl w:val="0"/>
          <w:numId w:val="7"/>
        </w:numPr>
        <w:spacing w:line="600" w:lineRule="auto"/>
        <w:rPr>
          <w:rFonts w:ascii="Arial" w:hAnsi="Arial" w:cs="Arial"/>
        </w:rPr>
      </w:pPr>
      <w:r w:rsidRPr="00295FAE">
        <w:rPr>
          <w:rFonts w:ascii="Arial" w:hAnsi="Arial" w:cs="Arial"/>
          <w:b/>
          <w:bCs/>
        </w:rPr>
        <w:t>Benefits:</w:t>
      </w:r>
      <w:r w:rsidRPr="00295FAE">
        <w:rPr>
          <w:rFonts w:ascii="Arial" w:hAnsi="Arial" w:cs="Arial"/>
        </w:rPr>
        <w:t> The Langham as a flagship reference account attracts other luxury hotels. Long-term recurring revenue from licence fees.</w:t>
      </w:r>
    </w:p>
    <w:p w14:paraId="0E5981FC" w14:textId="77777777" w:rsidR="00295FAE" w:rsidRPr="00295FAE" w:rsidRDefault="00295FAE" w:rsidP="00295FAE">
      <w:pPr>
        <w:numPr>
          <w:ilvl w:val="0"/>
          <w:numId w:val="7"/>
        </w:numPr>
        <w:spacing w:line="600" w:lineRule="auto"/>
        <w:rPr>
          <w:rFonts w:ascii="Arial" w:hAnsi="Arial" w:cs="Arial"/>
        </w:rPr>
      </w:pPr>
      <w:r w:rsidRPr="00295FAE">
        <w:rPr>
          <w:rFonts w:ascii="Arial" w:hAnsi="Arial" w:cs="Arial"/>
          <w:b/>
          <w:bCs/>
        </w:rPr>
        <w:t>Challenges:</w:t>
      </w:r>
      <w:r w:rsidRPr="00295FAE">
        <w:rPr>
          <w:rFonts w:ascii="Arial" w:hAnsi="Arial" w:cs="Arial"/>
        </w:rPr>
        <w:t> Vendor may overpromise integration capabilities to win contract. Time zone differences (US-based) delay London issue resolution. Intellectual property disputes regarding custom features developed for The Langham.</w:t>
      </w:r>
    </w:p>
    <w:p w14:paraId="1ADC52D4" w14:textId="77777777" w:rsidR="00295FAE" w:rsidRPr="00295FAE" w:rsidRDefault="00000000" w:rsidP="00295FAE">
      <w:pPr>
        <w:spacing w:line="600" w:lineRule="auto"/>
        <w:rPr>
          <w:rFonts w:ascii="Arial" w:hAnsi="Arial" w:cs="Arial"/>
        </w:rPr>
      </w:pPr>
      <w:r>
        <w:rPr>
          <w:rFonts w:ascii="Arial" w:hAnsi="Arial" w:cs="Arial"/>
        </w:rPr>
        <w:pict w14:anchorId="65DFB32B">
          <v:rect id="_x0000_i1028" style="width:0;height:.75pt" o:hralign="center" o:hrstd="t" o:hr="t" fillcolor="#a0a0a0" stroked="f"/>
        </w:pict>
      </w:r>
    </w:p>
    <w:p w14:paraId="11623DED" w14:textId="6F6041AF" w:rsidR="00295FAE" w:rsidRPr="00295FAE" w:rsidRDefault="003A2FF2" w:rsidP="00295FAE">
      <w:pPr>
        <w:spacing w:line="600" w:lineRule="auto"/>
        <w:rPr>
          <w:rFonts w:ascii="Arial" w:hAnsi="Arial" w:cs="Arial"/>
          <w:b/>
          <w:bCs/>
        </w:rPr>
      </w:pPr>
      <w:r>
        <w:rPr>
          <w:rFonts w:ascii="Arial" w:hAnsi="Arial" w:cs="Arial"/>
          <w:b/>
          <w:bCs/>
          <w:sz w:val="28"/>
          <w:szCs w:val="28"/>
        </w:rPr>
        <w:t xml:space="preserve">                  </w:t>
      </w:r>
      <w:r w:rsidR="00295FAE" w:rsidRPr="00295FAE">
        <w:rPr>
          <w:rFonts w:ascii="Arial" w:hAnsi="Arial" w:cs="Arial"/>
          <w:b/>
          <w:bCs/>
          <w:sz w:val="28"/>
          <w:szCs w:val="28"/>
        </w:rPr>
        <w:t>7. Stakeholder Engagement Frameworks</w:t>
      </w:r>
      <w:r w:rsidR="00295FAE" w:rsidRPr="00295FAE">
        <w:rPr>
          <w:rFonts w:ascii="Arial" w:hAnsi="Arial" w:cs="Arial"/>
          <w:b/>
          <w:bCs/>
        </w:rPr>
        <w:t xml:space="preserve"> </w:t>
      </w:r>
    </w:p>
    <w:p w14:paraId="00EE5557" w14:textId="77777777" w:rsidR="00295FAE" w:rsidRPr="00295FAE" w:rsidRDefault="00295FAE" w:rsidP="00295FAE">
      <w:pPr>
        <w:spacing w:line="600" w:lineRule="auto"/>
        <w:rPr>
          <w:rFonts w:ascii="Arial" w:hAnsi="Arial" w:cs="Arial"/>
          <w:b/>
          <w:bCs/>
        </w:rPr>
      </w:pPr>
      <w:r w:rsidRPr="00295FAE">
        <w:rPr>
          <w:rFonts w:ascii="Arial" w:hAnsi="Arial" w:cs="Arial"/>
          <w:b/>
          <w:bCs/>
        </w:rPr>
        <w:t>7.1 Mendelow Matrix (Power-Interest Grid)</w:t>
      </w:r>
    </w:p>
    <w:p w14:paraId="524C8C79" w14:textId="77777777" w:rsidR="00295FAE" w:rsidRPr="00295FAE" w:rsidRDefault="00295FAE" w:rsidP="00295FAE">
      <w:pPr>
        <w:spacing w:line="600" w:lineRule="auto"/>
        <w:rPr>
          <w:rFonts w:ascii="Arial" w:hAnsi="Arial" w:cs="Arial"/>
        </w:rPr>
      </w:pPr>
      <w:r w:rsidRPr="00295FAE">
        <w:rPr>
          <w:rFonts w:ascii="Arial" w:hAnsi="Arial" w:cs="Arial"/>
        </w:rPr>
        <w:t>Using Mendelow (1991), stakeholders are plotted to determine engagement strategy.</w:t>
      </w:r>
    </w:p>
    <w:tbl>
      <w:tblPr>
        <w:tblW w:w="11280" w:type="dxa"/>
        <w:tblInd w:w="-1119" w:type="dxa"/>
        <w:tblCellMar>
          <w:top w:w="15" w:type="dxa"/>
          <w:left w:w="15" w:type="dxa"/>
          <w:bottom w:w="15" w:type="dxa"/>
          <w:right w:w="15" w:type="dxa"/>
        </w:tblCellMar>
        <w:tblLook w:val="04A0" w:firstRow="1" w:lastRow="0" w:firstColumn="1" w:lastColumn="0" w:noHBand="0" w:noVBand="1"/>
      </w:tblPr>
      <w:tblGrid>
        <w:gridCol w:w="6253"/>
        <w:gridCol w:w="5027"/>
      </w:tblGrid>
      <w:tr w:rsidR="00295FAE" w:rsidRPr="00295FAE" w14:paraId="0F25E694" w14:textId="77777777" w:rsidTr="003A2FF2">
        <w:trPr>
          <w:tblHeader/>
        </w:trPr>
        <w:tc>
          <w:tcPr>
            <w:tcW w:w="0" w:type="auto"/>
            <w:tcBorders>
              <w:top w:val="nil"/>
            </w:tcBorders>
            <w:shd w:val="clear" w:color="auto" w:fill="FFF2CC" w:themeFill="accent4" w:themeFillTint="33"/>
            <w:tcMar>
              <w:top w:w="150" w:type="dxa"/>
              <w:left w:w="0" w:type="dxa"/>
              <w:bottom w:w="150" w:type="dxa"/>
              <w:right w:w="240" w:type="dxa"/>
            </w:tcMar>
            <w:vAlign w:val="center"/>
            <w:hideMark/>
          </w:tcPr>
          <w:p w14:paraId="5DB5DBB1" w14:textId="77777777" w:rsidR="00295FAE" w:rsidRPr="00295FAE" w:rsidRDefault="00295FAE" w:rsidP="00295FAE">
            <w:pPr>
              <w:spacing w:line="600" w:lineRule="auto"/>
              <w:rPr>
                <w:rFonts w:ascii="Arial" w:hAnsi="Arial" w:cs="Arial"/>
              </w:rPr>
            </w:pPr>
            <w:r w:rsidRPr="00295FAE">
              <w:rPr>
                <w:rFonts w:ascii="Arial" w:hAnsi="Arial" w:cs="Arial"/>
              </w:rPr>
              <w:t>High Power / Low Interest</w:t>
            </w:r>
          </w:p>
        </w:tc>
        <w:tc>
          <w:tcPr>
            <w:tcW w:w="0" w:type="auto"/>
            <w:tcBorders>
              <w:top w:val="nil"/>
            </w:tcBorders>
            <w:shd w:val="clear" w:color="auto" w:fill="FFF2CC" w:themeFill="accent4" w:themeFillTint="33"/>
            <w:tcMar>
              <w:top w:w="150" w:type="dxa"/>
              <w:left w:w="240" w:type="dxa"/>
              <w:bottom w:w="150" w:type="dxa"/>
              <w:right w:w="240" w:type="dxa"/>
            </w:tcMar>
            <w:vAlign w:val="center"/>
            <w:hideMark/>
          </w:tcPr>
          <w:p w14:paraId="24BA0386" w14:textId="77777777" w:rsidR="00295FAE" w:rsidRPr="00295FAE" w:rsidRDefault="00295FAE" w:rsidP="00295FAE">
            <w:pPr>
              <w:spacing w:line="600" w:lineRule="auto"/>
              <w:rPr>
                <w:rFonts w:ascii="Arial" w:hAnsi="Arial" w:cs="Arial"/>
              </w:rPr>
            </w:pPr>
            <w:r w:rsidRPr="00295FAE">
              <w:rPr>
                <w:rFonts w:ascii="Arial" w:hAnsi="Arial" w:cs="Arial"/>
              </w:rPr>
              <w:t>High Power / High Interest</w:t>
            </w:r>
          </w:p>
        </w:tc>
      </w:tr>
      <w:tr w:rsidR="00295FAE" w:rsidRPr="00295FAE" w14:paraId="4CBCDB74" w14:textId="77777777" w:rsidTr="003A2FF2">
        <w:tc>
          <w:tcPr>
            <w:tcW w:w="0" w:type="auto"/>
            <w:shd w:val="clear" w:color="auto" w:fill="FFF2CC" w:themeFill="accent4" w:themeFillTint="33"/>
            <w:tcMar>
              <w:top w:w="150" w:type="dxa"/>
              <w:left w:w="0" w:type="dxa"/>
              <w:bottom w:w="150" w:type="dxa"/>
              <w:right w:w="240" w:type="dxa"/>
            </w:tcMar>
            <w:vAlign w:val="center"/>
            <w:hideMark/>
          </w:tcPr>
          <w:p w14:paraId="3C0B6667" w14:textId="77777777" w:rsidR="00295FAE" w:rsidRPr="00295FAE" w:rsidRDefault="00295FAE" w:rsidP="00295FAE">
            <w:pPr>
              <w:spacing w:line="600" w:lineRule="auto"/>
              <w:rPr>
                <w:rFonts w:ascii="Arial" w:hAnsi="Arial" w:cs="Arial"/>
              </w:rPr>
            </w:pPr>
            <w:r w:rsidRPr="00295FAE">
              <w:rPr>
                <w:rFonts w:ascii="Arial" w:hAnsi="Arial" w:cs="Arial"/>
              </w:rPr>
              <w:t>Local regulators (ICO) – not operationally interested but can stop project</w:t>
            </w:r>
          </w:p>
        </w:tc>
        <w:tc>
          <w:tcPr>
            <w:tcW w:w="0" w:type="auto"/>
            <w:shd w:val="clear" w:color="auto" w:fill="FFF2CC" w:themeFill="accent4" w:themeFillTint="33"/>
            <w:tcMar>
              <w:top w:w="150" w:type="dxa"/>
              <w:left w:w="240" w:type="dxa"/>
              <w:bottom w:w="150" w:type="dxa"/>
              <w:right w:w="0" w:type="dxa"/>
            </w:tcMar>
            <w:vAlign w:val="center"/>
            <w:hideMark/>
          </w:tcPr>
          <w:p w14:paraId="1C643E75" w14:textId="77777777" w:rsidR="00295FAE" w:rsidRPr="00295FAE" w:rsidRDefault="00295FAE" w:rsidP="00295FAE">
            <w:pPr>
              <w:spacing w:line="600" w:lineRule="auto"/>
              <w:rPr>
                <w:rFonts w:ascii="Arial" w:hAnsi="Arial" w:cs="Arial"/>
              </w:rPr>
            </w:pPr>
            <w:r w:rsidRPr="00295FAE">
              <w:rPr>
                <w:rFonts w:ascii="Arial" w:hAnsi="Arial" w:cs="Arial"/>
              </w:rPr>
              <w:t>COO, IT Director, Legal – must be closely managed</w:t>
            </w:r>
          </w:p>
        </w:tc>
      </w:tr>
      <w:tr w:rsidR="00295FAE" w:rsidRPr="00295FAE" w14:paraId="54A4A271" w14:textId="77777777" w:rsidTr="003A2FF2">
        <w:tc>
          <w:tcPr>
            <w:tcW w:w="0" w:type="auto"/>
            <w:shd w:val="clear" w:color="auto" w:fill="FFF2CC" w:themeFill="accent4" w:themeFillTint="33"/>
            <w:tcMar>
              <w:top w:w="150" w:type="dxa"/>
              <w:left w:w="0" w:type="dxa"/>
              <w:bottom w:w="150" w:type="dxa"/>
              <w:right w:w="240" w:type="dxa"/>
            </w:tcMar>
            <w:vAlign w:val="center"/>
            <w:hideMark/>
          </w:tcPr>
          <w:p w14:paraId="043BDFE3" w14:textId="77777777" w:rsidR="00295FAE" w:rsidRPr="00295FAE" w:rsidRDefault="00295FAE" w:rsidP="00295FAE">
            <w:pPr>
              <w:spacing w:line="600" w:lineRule="auto"/>
              <w:rPr>
                <w:rFonts w:ascii="Arial" w:hAnsi="Arial" w:cs="Arial"/>
              </w:rPr>
            </w:pPr>
            <w:r w:rsidRPr="00295FAE">
              <w:rPr>
                <w:rFonts w:ascii="Arial" w:hAnsi="Arial" w:cs="Arial"/>
              </w:rPr>
              <w:t>Sustainability certifiers – powerful over claims but rarely intervene</w:t>
            </w:r>
          </w:p>
        </w:tc>
        <w:tc>
          <w:tcPr>
            <w:tcW w:w="0" w:type="auto"/>
            <w:shd w:val="clear" w:color="auto" w:fill="FFF2CC" w:themeFill="accent4" w:themeFillTint="33"/>
            <w:tcMar>
              <w:top w:w="150" w:type="dxa"/>
              <w:left w:w="240" w:type="dxa"/>
              <w:bottom w:w="150" w:type="dxa"/>
              <w:right w:w="0" w:type="dxa"/>
            </w:tcMar>
            <w:vAlign w:val="center"/>
            <w:hideMark/>
          </w:tcPr>
          <w:p w14:paraId="0808CCC7" w14:textId="77777777" w:rsidR="00295FAE" w:rsidRPr="00295FAE" w:rsidRDefault="00295FAE" w:rsidP="00295FAE">
            <w:pPr>
              <w:spacing w:line="600" w:lineRule="auto"/>
              <w:rPr>
                <w:rFonts w:ascii="Arial" w:hAnsi="Arial" w:cs="Arial"/>
              </w:rPr>
            </w:pPr>
            <w:r w:rsidRPr="00295FAE">
              <w:rPr>
                <w:rFonts w:ascii="Arial" w:hAnsi="Arial" w:cs="Arial"/>
              </w:rPr>
              <w:t>Premium guests – high interest in privacy and experience</w:t>
            </w:r>
          </w:p>
        </w:tc>
      </w:tr>
      <w:tr w:rsidR="00295FAE" w:rsidRPr="00295FAE" w14:paraId="4AD41E46" w14:textId="77777777" w:rsidTr="003A2FF2">
        <w:tc>
          <w:tcPr>
            <w:tcW w:w="0" w:type="auto"/>
            <w:shd w:val="clear" w:color="auto" w:fill="FFF2CC" w:themeFill="accent4" w:themeFillTint="33"/>
            <w:tcMar>
              <w:top w:w="150" w:type="dxa"/>
              <w:left w:w="0" w:type="dxa"/>
              <w:bottom w:w="150" w:type="dxa"/>
              <w:right w:w="240" w:type="dxa"/>
            </w:tcMar>
            <w:vAlign w:val="center"/>
            <w:hideMark/>
          </w:tcPr>
          <w:p w14:paraId="4AF8B313" w14:textId="77777777" w:rsidR="00295FAE" w:rsidRPr="00295FAE" w:rsidRDefault="00295FAE" w:rsidP="00295FAE">
            <w:pPr>
              <w:spacing w:line="600" w:lineRule="auto"/>
              <w:rPr>
                <w:rFonts w:ascii="Arial" w:hAnsi="Arial" w:cs="Arial"/>
              </w:rPr>
            </w:pPr>
            <w:r w:rsidRPr="00295FAE">
              <w:rPr>
                <w:rFonts w:ascii="Arial" w:hAnsi="Arial" w:cs="Arial"/>
                <w:b/>
                <w:bCs/>
              </w:rPr>
              <w:t>Keep satisfied</w:t>
            </w:r>
          </w:p>
        </w:tc>
        <w:tc>
          <w:tcPr>
            <w:tcW w:w="0" w:type="auto"/>
            <w:shd w:val="clear" w:color="auto" w:fill="FFF2CC" w:themeFill="accent4" w:themeFillTint="33"/>
            <w:tcMar>
              <w:top w:w="150" w:type="dxa"/>
              <w:left w:w="240" w:type="dxa"/>
              <w:bottom w:w="150" w:type="dxa"/>
              <w:right w:w="0" w:type="dxa"/>
            </w:tcMar>
            <w:vAlign w:val="center"/>
            <w:hideMark/>
          </w:tcPr>
          <w:p w14:paraId="41FABA91" w14:textId="77777777" w:rsidR="00295FAE" w:rsidRPr="00295FAE" w:rsidRDefault="00295FAE" w:rsidP="00295FAE">
            <w:pPr>
              <w:spacing w:line="600" w:lineRule="auto"/>
              <w:rPr>
                <w:rFonts w:ascii="Arial" w:hAnsi="Arial" w:cs="Arial"/>
              </w:rPr>
            </w:pPr>
            <w:r w:rsidRPr="00295FAE">
              <w:rPr>
                <w:rFonts w:ascii="Arial" w:hAnsi="Arial" w:cs="Arial"/>
                <w:b/>
                <w:bCs/>
              </w:rPr>
              <w:t>Manage closely</w:t>
            </w:r>
          </w:p>
        </w:tc>
      </w:tr>
    </w:tbl>
    <w:p w14:paraId="469A35DA" w14:textId="77777777" w:rsidR="00295FAE" w:rsidRPr="00295FAE" w:rsidRDefault="00295FAE" w:rsidP="00295FAE">
      <w:pPr>
        <w:spacing w:line="600" w:lineRule="auto"/>
        <w:rPr>
          <w:rFonts w:ascii="Arial" w:hAnsi="Arial" w:cs="Arial"/>
          <w:vanish/>
        </w:rPr>
      </w:pPr>
    </w:p>
    <w:tbl>
      <w:tblPr>
        <w:tblW w:w="11280" w:type="dxa"/>
        <w:tblInd w:w="-1119" w:type="dxa"/>
        <w:tblCellMar>
          <w:top w:w="15" w:type="dxa"/>
          <w:left w:w="15" w:type="dxa"/>
          <w:bottom w:w="15" w:type="dxa"/>
          <w:right w:w="15" w:type="dxa"/>
        </w:tblCellMar>
        <w:tblLook w:val="04A0" w:firstRow="1" w:lastRow="0" w:firstColumn="1" w:lastColumn="0" w:noHBand="0" w:noVBand="1"/>
      </w:tblPr>
      <w:tblGrid>
        <w:gridCol w:w="6759"/>
        <w:gridCol w:w="4521"/>
      </w:tblGrid>
      <w:tr w:rsidR="00295FAE" w:rsidRPr="00295FAE" w14:paraId="2C6A51E0" w14:textId="77777777" w:rsidTr="003A2FF2">
        <w:trPr>
          <w:tblHeader/>
        </w:trPr>
        <w:tc>
          <w:tcPr>
            <w:tcW w:w="0" w:type="auto"/>
            <w:tcBorders>
              <w:top w:val="nil"/>
            </w:tcBorders>
            <w:shd w:val="clear" w:color="auto" w:fill="E2EFD9" w:themeFill="accent6" w:themeFillTint="33"/>
            <w:tcMar>
              <w:top w:w="150" w:type="dxa"/>
              <w:left w:w="0" w:type="dxa"/>
              <w:bottom w:w="150" w:type="dxa"/>
              <w:right w:w="240" w:type="dxa"/>
            </w:tcMar>
            <w:vAlign w:val="center"/>
            <w:hideMark/>
          </w:tcPr>
          <w:p w14:paraId="2510BE8B" w14:textId="77777777" w:rsidR="00295FAE" w:rsidRPr="00295FAE" w:rsidRDefault="00295FAE" w:rsidP="00295FAE">
            <w:pPr>
              <w:spacing w:line="600" w:lineRule="auto"/>
              <w:rPr>
                <w:rFonts w:ascii="Arial" w:hAnsi="Arial" w:cs="Arial"/>
              </w:rPr>
            </w:pPr>
            <w:r w:rsidRPr="00295FAE">
              <w:rPr>
                <w:rFonts w:ascii="Arial" w:hAnsi="Arial" w:cs="Arial"/>
              </w:rPr>
              <w:lastRenderedPageBreak/>
              <w:t>Low Power / Low Interest</w:t>
            </w:r>
          </w:p>
        </w:tc>
        <w:tc>
          <w:tcPr>
            <w:tcW w:w="0" w:type="auto"/>
            <w:tcBorders>
              <w:top w:val="nil"/>
            </w:tcBorders>
            <w:shd w:val="clear" w:color="auto" w:fill="E2EFD9" w:themeFill="accent6" w:themeFillTint="33"/>
            <w:tcMar>
              <w:top w:w="150" w:type="dxa"/>
              <w:left w:w="240" w:type="dxa"/>
              <w:bottom w:w="150" w:type="dxa"/>
              <w:right w:w="240" w:type="dxa"/>
            </w:tcMar>
            <w:vAlign w:val="center"/>
            <w:hideMark/>
          </w:tcPr>
          <w:p w14:paraId="0E6AA5E1" w14:textId="77777777" w:rsidR="00295FAE" w:rsidRPr="00295FAE" w:rsidRDefault="00295FAE" w:rsidP="00295FAE">
            <w:pPr>
              <w:spacing w:line="600" w:lineRule="auto"/>
              <w:rPr>
                <w:rFonts w:ascii="Arial" w:hAnsi="Arial" w:cs="Arial"/>
              </w:rPr>
            </w:pPr>
            <w:r w:rsidRPr="00295FAE">
              <w:rPr>
                <w:rFonts w:ascii="Arial" w:hAnsi="Arial" w:cs="Arial"/>
              </w:rPr>
              <w:t>Low Power / High Interest</w:t>
            </w:r>
          </w:p>
        </w:tc>
      </w:tr>
      <w:tr w:rsidR="00295FAE" w:rsidRPr="00295FAE" w14:paraId="1A7DC4B2" w14:textId="77777777" w:rsidTr="003A2FF2">
        <w:tc>
          <w:tcPr>
            <w:tcW w:w="0" w:type="auto"/>
            <w:shd w:val="clear" w:color="auto" w:fill="E2EFD9" w:themeFill="accent6" w:themeFillTint="33"/>
            <w:tcMar>
              <w:top w:w="150" w:type="dxa"/>
              <w:left w:w="0" w:type="dxa"/>
              <w:bottom w:w="150" w:type="dxa"/>
              <w:right w:w="240" w:type="dxa"/>
            </w:tcMar>
            <w:vAlign w:val="center"/>
            <w:hideMark/>
          </w:tcPr>
          <w:p w14:paraId="05D3CD81" w14:textId="77777777" w:rsidR="00295FAE" w:rsidRPr="00295FAE" w:rsidRDefault="00295FAE" w:rsidP="00295FAE">
            <w:pPr>
              <w:spacing w:line="600" w:lineRule="auto"/>
              <w:rPr>
                <w:rFonts w:ascii="Arial" w:hAnsi="Arial" w:cs="Arial"/>
              </w:rPr>
            </w:pPr>
            <w:r w:rsidRPr="00295FAE">
              <w:rPr>
                <w:rFonts w:ascii="Arial" w:hAnsi="Arial" w:cs="Arial"/>
              </w:rPr>
              <w:t>Travel agencies (unless incentivised) – interested only in commission</w:t>
            </w:r>
          </w:p>
        </w:tc>
        <w:tc>
          <w:tcPr>
            <w:tcW w:w="0" w:type="auto"/>
            <w:shd w:val="clear" w:color="auto" w:fill="E2EFD9" w:themeFill="accent6" w:themeFillTint="33"/>
            <w:tcMar>
              <w:top w:w="150" w:type="dxa"/>
              <w:left w:w="240" w:type="dxa"/>
              <w:bottom w:w="150" w:type="dxa"/>
              <w:right w:w="0" w:type="dxa"/>
            </w:tcMar>
            <w:vAlign w:val="center"/>
            <w:hideMark/>
          </w:tcPr>
          <w:p w14:paraId="297F7A26" w14:textId="77777777" w:rsidR="00295FAE" w:rsidRPr="00295FAE" w:rsidRDefault="00295FAE" w:rsidP="00295FAE">
            <w:pPr>
              <w:spacing w:line="600" w:lineRule="auto"/>
              <w:rPr>
                <w:rFonts w:ascii="Arial" w:hAnsi="Arial" w:cs="Arial"/>
              </w:rPr>
            </w:pPr>
            <w:r w:rsidRPr="00295FAE">
              <w:rPr>
                <w:rFonts w:ascii="Arial" w:hAnsi="Arial" w:cs="Arial"/>
              </w:rPr>
              <w:t>Front-line staff, local community neighbours</w:t>
            </w:r>
          </w:p>
        </w:tc>
      </w:tr>
      <w:tr w:rsidR="00295FAE" w:rsidRPr="00295FAE" w14:paraId="5086244D" w14:textId="77777777" w:rsidTr="003A2FF2">
        <w:tc>
          <w:tcPr>
            <w:tcW w:w="0" w:type="auto"/>
            <w:shd w:val="clear" w:color="auto" w:fill="E2EFD9" w:themeFill="accent6" w:themeFillTint="33"/>
            <w:tcMar>
              <w:top w:w="150" w:type="dxa"/>
              <w:left w:w="0" w:type="dxa"/>
              <w:bottom w:w="150" w:type="dxa"/>
              <w:right w:w="240" w:type="dxa"/>
            </w:tcMar>
            <w:vAlign w:val="center"/>
            <w:hideMark/>
          </w:tcPr>
          <w:p w14:paraId="65EF9FAD" w14:textId="77777777" w:rsidR="00295FAE" w:rsidRPr="00295FAE" w:rsidRDefault="00295FAE" w:rsidP="00295FAE">
            <w:pPr>
              <w:spacing w:line="600" w:lineRule="auto"/>
              <w:rPr>
                <w:rFonts w:ascii="Arial" w:hAnsi="Arial" w:cs="Arial"/>
              </w:rPr>
            </w:pPr>
            <w:r w:rsidRPr="00295FAE">
              <w:rPr>
                <w:rFonts w:ascii="Arial" w:hAnsi="Arial" w:cs="Arial"/>
              </w:rPr>
              <w:t>Community (Westminster Council) – unless noise complaints arise</w:t>
            </w:r>
          </w:p>
        </w:tc>
        <w:tc>
          <w:tcPr>
            <w:tcW w:w="0" w:type="auto"/>
            <w:shd w:val="clear" w:color="auto" w:fill="E2EFD9" w:themeFill="accent6" w:themeFillTint="33"/>
            <w:tcMar>
              <w:top w:w="150" w:type="dxa"/>
              <w:left w:w="240" w:type="dxa"/>
              <w:bottom w:w="150" w:type="dxa"/>
              <w:right w:w="0" w:type="dxa"/>
            </w:tcMar>
            <w:vAlign w:val="center"/>
            <w:hideMark/>
          </w:tcPr>
          <w:p w14:paraId="34CDA6D6" w14:textId="77777777" w:rsidR="00295FAE" w:rsidRPr="00295FAE" w:rsidRDefault="00295FAE" w:rsidP="00295FAE">
            <w:pPr>
              <w:spacing w:line="600" w:lineRule="auto"/>
              <w:rPr>
                <w:rFonts w:ascii="Arial" w:hAnsi="Arial" w:cs="Arial"/>
              </w:rPr>
            </w:pPr>
            <w:r w:rsidRPr="00295FAE">
              <w:rPr>
                <w:rFonts w:ascii="Arial" w:hAnsi="Arial" w:cs="Arial"/>
              </w:rPr>
              <w:t>Concierge team – high interest, limited power</w:t>
            </w:r>
          </w:p>
        </w:tc>
      </w:tr>
      <w:tr w:rsidR="00295FAE" w:rsidRPr="00295FAE" w14:paraId="0EEEC9EE" w14:textId="77777777" w:rsidTr="003A2FF2">
        <w:tc>
          <w:tcPr>
            <w:tcW w:w="0" w:type="auto"/>
            <w:shd w:val="clear" w:color="auto" w:fill="E2EFD9" w:themeFill="accent6" w:themeFillTint="33"/>
            <w:tcMar>
              <w:top w:w="150" w:type="dxa"/>
              <w:left w:w="0" w:type="dxa"/>
              <w:bottom w:w="150" w:type="dxa"/>
              <w:right w:w="240" w:type="dxa"/>
            </w:tcMar>
            <w:vAlign w:val="center"/>
            <w:hideMark/>
          </w:tcPr>
          <w:p w14:paraId="452B7F88" w14:textId="77777777" w:rsidR="00295FAE" w:rsidRPr="00295FAE" w:rsidRDefault="00295FAE" w:rsidP="00295FAE">
            <w:pPr>
              <w:spacing w:line="600" w:lineRule="auto"/>
              <w:rPr>
                <w:rFonts w:ascii="Arial" w:hAnsi="Arial" w:cs="Arial"/>
              </w:rPr>
            </w:pPr>
            <w:r w:rsidRPr="00295FAE">
              <w:rPr>
                <w:rFonts w:ascii="Arial" w:hAnsi="Arial" w:cs="Arial"/>
                <w:b/>
                <w:bCs/>
              </w:rPr>
              <w:t>Monitor (minimum effort)</w:t>
            </w:r>
          </w:p>
        </w:tc>
        <w:tc>
          <w:tcPr>
            <w:tcW w:w="0" w:type="auto"/>
            <w:shd w:val="clear" w:color="auto" w:fill="E2EFD9" w:themeFill="accent6" w:themeFillTint="33"/>
            <w:tcMar>
              <w:top w:w="150" w:type="dxa"/>
              <w:left w:w="240" w:type="dxa"/>
              <w:bottom w:w="150" w:type="dxa"/>
              <w:right w:w="0" w:type="dxa"/>
            </w:tcMar>
            <w:vAlign w:val="center"/>
            <w:hideMark/>
          </w:tcPr>
          <w:p w14:paraId="30C84AEA" w14:textId="77777777" w:rsidR="00295FAE" w:rsidRPr="00295FAE" w:rsidRDefault="00295FAE" w:rsidP="00295FAE">
            <w:pPr>
              <w:spacing w:line="600" w:lineRule="auto"/>
              <w:rPr>
                <w:rFonts w:ascii="Arial" w:hAnsi="Arial" w:cs="Arial"/>
              </w:rPr>
            </w:pPr>
            <w:r w:rsidRPr="00295FAE">
              <w:rPr>
                <w:rFonts w:ascii="Arial" w:hAnsi="Arial" w:cs="Arial"/>
                <w:b/>
                <w:bCs/>
              </w:rPr>
              <w:t>Keep informed</w:t>
            </w:r>
          </w:p>
        </w:tc>
      </w:tr>
    </w:tbl>
    <w:p w14:paraId="7F684E28" w14:textId="77777777" w:rsidR="008158DB" w:rsidRDefault="008158DB" w:rsidP="00295FAE">
      <w:pPr>
        <w:spacing w:line="600" w:lineRule="auto"/>
        <w:rPr>
          <w:rFonts w:ascii="Arial" w:hAnsi="Arial" w:cs="Arial"/>
          <w:i/>
          <w:iCs/>
        </w:rPr>
      </w:pPr>
    </w:p>
    <w:p w14:paraId="7FA31D97" w14:textId="77777777" w:rsidR="008158DB" w:rsidRDefault="008158DB" w:rsidP="00295FAE">
      <w:pPr>
        <w:spacing w:line="600" w:lineRule="auto"/>
        <w:rPr>
          <w:rFonts w:ascii="Arial" w:hAnsi="Arial" w:cs="Arial"/>
          <w:i/>
          <w:iCs/>
        </w:rPr>
      </w:pPr>
    </w:p>
    <w:p w14:paraId="05088E4E" w14:textId="77777777" w:rsidR="008158DB" w:rsidRDefault="008158DB" w:rsidP="00295FAE">
      <w:pPr>
        <w:spacing w:line="600" w:lineRule="auto"/>
        <w:rPr>
          <w:rFonts w:ascii="Arial" w:hAnsi="Arial" w:cs="Arial"/>
          <w:i/>
          <w:iCs/>
        </w:rPr>
      </w:pPr>
    </w:p>
    <w:p w14:paraId="79C5578B" w14:textId="2FB31A66" w:rsidR="00295FAE" w:rsidRPr="00295FAE" w:rsidRDefault="00295FAE" w:rsidP="00295FAE">
      <w:pPr>
        <w:spacing w:line="600" w:lineRule="auto"/>
        <w:rPr>
          <w:rFonts w:ascii="Arial" w:hAnsi="Arial" w:cs="Arial"/>
        </w:rPr>
      </w:pPr>
      <w:r w:rsidRPr="00295FAE">
        <w:rPr>
          <w:rFonts w:ascii="Arial" w:hAnsi="Arial" w:cs="Arial"/>
          <w:i/>
          <w:iCs/>
        </w:rPr>
        <w:t>Application:</w:t>
      </w:r>
      <w:r w:rsidRPr="00295FAE">
        <w:rPr>
          <w:rFonts w:ascii="Arial" w:hAnsi="Arial" w:cs="Arial"/>
        </w:rPr>
        <w:t> The COO and IT Director receive weekly steering committee updates and are consulted on all major decisions (Manage closely). Front-line staff receive monthly town halls and a dedicated WhatsApp channel for questions (Keep informed). Regulators receive compliance documentation but no operational updates (Keep satisfied). Travel agencies receive a one-page info sheet (Monitor).</w:t>
      </w:r>
    </w:p>
    <w:p w14:paraId="47251F4C" w14:textId="77777777" w:rsidR="008158DB" w:rsidRDefault="008158DB" w:rsidP="00295FAE">
      <w:pPr>
        <w:spacing w:line="600" w:lineRule="auto"/>
        <w:rPr>
          <w:rFonts w:ascii="Arial" w:hAnsi="Arial" w:cs="Arial"/>
          <w:b/>
          <w:bCs/>
          <w:sz w:val="24"/>
          <w:szCs w:val="24"/>
        </w:rPr>
      </w:pPr>
    </w:p>
    <w:p w14:paraId="7013F82E" w14:textId="77777777" w:rsidR="008158DB" w:rsidRDefault="008158DB" w:rsidP="00295FAE">
      <w:pPr>
        <w:spacing w:line="600" w:lineRule="auto"/>
        <w:rPr>
          <w:rFonts w:ascii="Arial" w:hAnsi="Arial" w:cs="Arial"/>
          <w:b/>
          <w:bCs/>
          <w:sz w:val="24"/>
          <w:szCs w:val="24"/>
        </w:rPr>
      </w:pPr>
    </w:p>
    <w:p w14:paraId="6E83DF49" w14:textId="77777777" w:rsidR="008158DB" w:rsidRDefault="008158DB" w:rsidP="00295FAE">
      <w:pPr>
        <w:spacing w:line="600" w:lineRule="auto"/>
        <w:rPr>
          <w:rFonts w:ascii="Arial" w:hAnsi="Arial" w:cs="Arial"/>
          <w:b/>
          <w:bCs/>
          <w:sz w:val="24"/>
          <w:szCs w:val="24"/>
        </w:rPr>
      </w:pPr>
    </w:p>
    <w:p w14:paraId="22BC7685" w14:textId="381DE917" w:rsidR="00295FAE" w:rsidRPr="00295FAE" w:rsidRDefault="00295FAE" w:rsidP="00295FAE">
      <w:pPr>
        <w:spacing w:line="600" w:lineRule="auto"/>
        <w:rPr>
          <w:rFonts w:ascii="Arial" w:hAnsi="Arial" w:cs="Arial"/>
          <w:b/>
          <w:bCs/>
          <w:sz w:val="24"/>
          <w:szCs w:val="24"/>
        </w:rPr>
      </w:pPr>
      <w:r w:rsidRPr="00295FAE">
        <w:rPr>
          <w:rFonts w:ascii="Arial" w:hAnsi="Arial" w:cs="Arial"/>
          <w:b/>
          <w:bCs/>
          <w:sz w:val="24"/>
          <w:szCs w:val="24"/>
        </w:rPr>
        <w:lastRenderedPageBreak/>
        <w:t>7.2 RACI Matrix (Responsible, Accountable, Consulted, Informed)</w:t>
      </w:r>
    </w:p>
    <w:p w14:paraId="331B8C15" w14:textId="10B6BB9B" w:rsidR="00295FAE" w:rsidRPr="00295FAE" w:rsidRDefault="00295FAE" w:rsidP="00295FAE">
      <w:pPr>
        <w:spacing w:line="600" w:lineRule="auto"/>
        <w:rPr>
          <w:rFonts w:ascii="Arial" w:hAnsi="Arial" w:cs="Arial"/>
        </w:rPr>
      </w:pPr>
      <w:r w:rsidRPr="00295FAE">
        <w:rPr>
          <w:rFonts w:ascii="Arial" w:hAnsi="Arial" w:cs="Arial"/>
        </w:rPr>
        <w:t xml:space="preserve">Below is a simplified RACI for five key </w:t>
      </w:r>
      <w:r w:rsidR="003A2FF2" w:rsidRPr="00295FAE">
        <w:rPr>
          <w:rFonts w:ascii="Arial" w:hAnsi="Arial" w:cs="Arial"/>
        </w:rPr>
        <w:t>Stay Smart</w:t>
      </w:r>
      <w:r w:rsidRPr="00295FAE">
        <w:rPr>
          <w:rFonts w:ascii="Arial" w:hAnsi="Arial" w:cs="Arial"/>
        </w:rPr>
        <w:t>+ tasks:</w:t>
      </w:r>
    </w:p>
    <w:tbl>
      <w:tblPr>
        <w:tblW w:w="10939" w:type="dxa"/>
        <w:tblInd w:w="-891" w:type="dxa"/>
        <w:tblCellMar>
          <w:top w:w="15" w:type="dxa"/>
          <w:left w:w="15" w:type="dxa"/>
          <w:bottom w:w="15" w:type="dxa"/>
          <w:right w:w="15" w:type="dxa"/>
        </w:tblCellMar>
        <w:tblLook w:val="04A0" w:firstRow="1" w:lastRow="0" w:firstColumn="1" w:lastColumn="0" w:noHBand="0" w:noVBand="1"/>
      </w:tblPr>
      <w:tblGrid>
        <w:gridCol w:w="1762"/>
        <w:gridCol w:w="1735"/>
        <w:gridCol w:w="1547"/>
        <w:gridCol w:w="1428"/>
        <w:gridCol w:w="1667"/>
        <w:gridCol w:w="1781"/>
        <w:gridCol w:w="1019"/>
      </w:tblGrid>
      <w:tr w:rsidR="00295FAE" w:rsidRPr="00295FAE" w14:paraId="643FA1F0" w14:textId="77777777" w:rsidTr="003A2FF2">
        <w:trPr>
          <w:trHeight w:val="1443"/>
          <w:tblHeader/>
        </w:trPr>
        <w:tc>
          <w:tcPr>
            <w:tcW w:w="0" w:type="auto"/>
            <w:tcBorders>
              <w:top w:val="nil"/>
            </w:tcBorders>
            <w:shd w:val="clear" w:color="auto" w:fill="FFF2CC" w:themeFill="accent4" w:themeFillTint="33"/>
            <w:tcMar>
              <w:top w:w="150" w:type="dxa"/>
              <w:left w:w="0" w:type="dxa"/>
              <w:bottom w:w="150" w:type="dxa"/>
              <w:right w:w="240" w:type="dxa"/>
            </w:tcMar>
            <w:vAlign w:val="center"/>
            <w:hideMark/>
          </w:tcPr>
          <w:p w14:paraId="42D9CB35" w14:textId="77777777" w:rsidR="00295FAE" w:rsidRPr="00295FAE" w:rsidRDefault="00295FAE" w:rsidP="00295FAE">
            <w:pPr>
              <w:spacing w:line="600" w:lineRule="auto"/>
              <w:rPr>
                <w:rFonts w:ascii="Arial" w:hAnsi="Arial" w:cs="Arial"/>
              </w:rPr>
            </w:pPr>
            <w:r w:rsidRPr="00295FAE">
              <w:rPr>
                <w:rFonts w:ascii="Arial" w:hAnsi="Arial" w:cs="Arial"/>
              </w:rPr>
              <w:t>Task</w:t>
            </w:r>
          </w:p>
        </w:tc>
        <w:tc>
          <w:tcPr>
            <w:tcW w:w="0" w:type="auto"/>
            <w:tcBorders>
              <w:top w:val="nil"/>
            </w:tcBorders>
            <w:shd w:val="clear" w:color="auto" w:fill="FFF2CC" w:themeFill="accent4" w:themeFillTint="33"/>
            <w:tcMar>
              <w:top w:w="150" w:type="dxa"/>
              <w:left w:w="240" w:type="dxa"/>
              <w:bottom w:w="150" w:type="dxa"/>
              <w:right w:w="240" w:type="dxa"/>
            </w:tcMar>
            <w:vAlign w:val="center"/>
            <w:hideMark/>
          </w:tcPr>
          <w:p w14:paraId="38559855" w14:textId="77777777" w:rsidR="00295FAE" w:rsidRPr="00295FAE" w:rsidRDefault="00295FAE" w:rsidP="00295FAE">
            <w:pPr>
              <w:spacing w:line="600" w:lineRule="auto"/>
              <w:rPr>
                <w:rFonts w:ascii="Arial" w:hAnsi="Arial" w:cs="Arial"/>
              </w:rPr>
            </w:pPr>
            <w:r w:rsidRPr="00295FAE">
              <w:rPr>
                <w:rFonts w:ascii="Arial" w:hAnsi="Arial" w:cs="Arial"/>
              </w:rPr>
              <w:t>COO (Sponsor)</w:t>
            </w:r>
          </w:p>
        </w:tc>
        <w:tc>
          <w:tcPr>
            <w:tcW w:w="0" w:type="auto"/>
            <w:tcBorders>
              <w:top w:val="nil"/>
            </w:tcBorders>
            <w:shd w:val="clear" w:color="auto" w:fill="FFF2CC" w:themeFill="accent4" w:themeFillTint="33"/>
            <w:tcMar>
              <w:top w:w="150" w:type="dxa"/>
              <w:left w:w="240" w:type="dxa"/>
              <w:bottom w:w="150" w:type="dxa"/>
              <w:right w:w="240" w:type="dxa"/>
            </w:tcMar>
            <w:vAlign w:val="center"/>
            <w:hideMark/>
          </w:tcPr>
          <w:p w14:paraId="46C1B3D2" w14:textId="77777777" w:rsidR="00295FAE" w:rsidRPr="00295FAE" w:rsidRDefault="00295FAE" w:rsidP="00295FAE">
            <w:pPr>
              <w:spacing w:line="600" w:lineRule="auto"/>
              <w:rPr>
                <w:rFonts w:ascii="Arial" w:hAnsi="Arial" w:cs="Arial"/>
              </w:rPr>
            </w:pPr>
            <w:r w:rsidRPr="00295FAE">
              <w:rPr>
                <w:rFonts w:ascii="Arial" w:hAnsi="Arial" w:cs="Arial"/>
              </w:rPr>
              <w:t>IT Director</w:t>
            </w:r>
          </w:p>
        </w:tc>
        <w:tc>
          <w:tcPr>
            <w:tcW w:w="0" w:type="auto"/>
            <w:tcBorders>
              <w:top w:val="nil"/>
            </w:tcBorders>
            <w:shd w:val="clear" w:color="auto" w:fill="FFF2CC" w:themeFill="accent4" w:themeFillTint="33"/>
            <w:tcMar>
              <w:top w:w="150" w:type="dxa"/>
              <w:left w:w="240" w:type="dxa"/>
              <w:bottom w:w="150" w:type="dxa"/>
              <w:right w:w="240" w:type="dxa"/>
            </w:tcMar>
            <w:vAlign w:val="center"/>
            <w:hideMark/>
          </w:tcPr>
          <w:p w14:paraId="101C48F2" w14:textId="77777777" w:rsidR="00295FAE" w:rsidRPr="00295FAE" w:rsidRDefault="00295FAE" w:rsidP="00295FAE">
            <w:pPr>
              <w:spacing w:line="600" w:lineRule="auto"/>
              <w:rPr>
                <w:rFonts w:ascii="Arial" w:hAnsi="Arial" w:cs="Arial"/>
              </w:rPr>
            </w:pPr>
            <w:r w:rsidRPr="00295FAE">
              <w:rPr>
                <w:rFonts w:ascii="Arial" w:hAnsi="Arial" w:cs="Arial"/>
              </w:rPr>
              <w:t>GM London</w:t>
            </w:r>
          </w:p>
        </w:tc>
        <w:tc>
          <w:tcPr>
            <w:tcW w:w="0" w:type="auto"/>
            <w:tcBorders>
              <w:top w:val="nil"/>
            </w:tcBorders>
            <w:shd w:val="clear" w:color="auto" w:fill="FFF2CC" w:themeFill="accent4" w:themeFillTint="33"/>
            <w:tcMar>
              <w:top w:w="150" w:type="dxa"/>
              <w:left w:w="240" w:type="dxa"/>
              <w:bottom w:w="150" w:type="dxa"/>
              <w:right w:w="240" w:type="dxa"/>
            </w:tcMar>
            <w:vAlign w:val="center"/>
            <w:hideMark/>
          </w:tcPr>
          <w:p w14:paraId="28273499" w14:textId="77777777" w:rsidR="00295FAE" w:rsidRPr="00295FAE" w:rsidRDefault="00295FAE" w:rsidP="00295FAE">
            <w:pPr>
              <w:spacing w:line="600" w:lineRule="auto"/>
              <w:rPr>
                <w:rFonts w:ascii="Arial" w:hAnsi="Arial" w:cs="Arial"/>
              </w:rPr>
            </w:pPr>
            <w:r w:rsidRPr="00295FAE">
              <w:rPr>
                <w:rFonts w:ascii="Arial" w:hAnsi="Arial" w:cs="Arial"/>
              </w:rPr>
              <w:t>Front-line Staff</w:t>
            </w:r>
          </w:p>
        </w:tc>
        <w:tc>
          <w:tcPr>
            <w:tcW w:w="0" w:type="auto"/>
            <w:tcBorders>
              <w:top w:val="nil"/>
            </w:tcBorders>
            <w:shd w:val="clear" w:color="auto" w:fill="FFF2CC" w:themeFill="accent4" w:themeFillTint="33"/>
            <w:tcMar>
              <w:top w:w="150" w:type="dxa"/>
              <w:left w:w="240" w:type="dxa"/>
              <w:bottom w:w="150" w:type="dxa"/>
              <w:right w:w="240" w:type="dxa"/>
            </w:tcMar>
            <w:vAlign w:val="center"/>
            <w:hideMark/>
          </w:tcPr>
          <w:p w14:paraId="03198C68" w14:textId="77777777" w:rsidR="00295FAE" w:rsidRPr="00295FAE" w:rsidRDefault="00295FAE" w:rsidP="00295FAE">
            <w:pPr>
              <w:spacing w:line="600" w:lineRule="auto"/>
              <w:rPr>
                <w:rFonts w:ascii="Arial" w:hAnsi="Arial" w:cs="Arial"/>
              </w:rPr>
            </w:pPr>
            <w:r w:rsidRPr="00295FAE">
              <w:rPr>
                <w:rFonts w:ascii="Arial" w:hAnsi="Arial" w:cs="Arial"/>
              </w:rPr>
              <w:t>Tech Vendor</w:t>
            </w:r>
          </w:p>
        </w:tc>
        <w:tc>
          <w:tcPr>
            <w:tcW w:w="0" w:type="auto"/>
            <w:tcBorders>
              <w:top w:val="nil"/>
            </w:tcBorders>
            <w:shd w:val="clear" w:color="auto" w:fill="FFF2CC" w:themeFill="accent4" w:themeFillTint="33"/>
            <w:tcMar>
              <w:top w:w="150" w:type="dxa"/>
              <w:left w:w="240" w:type="dxa"/>
              <w:bottom w:w="150" w:type="dxa"/>
              <w:right w:w="240" w:type="dxa"/>
            </w:tcMar>
            <w:vAlign w:val="center"/>
            <w:hideMark/>
          </w:tcPr>
          <w:p w14:paraId="062C1573" w14:textId="77777777" w:rsidR="00295FAE" w:rsidRPr="00295FAE" w:rsidRDefault="00295FAE" w:rsidP="00295FAE">
            <w:pPr>
              <w:spacing w:line="600" w:lineRule="auto"/>
              <w:rPr>
                <w:rFonts w:ascii="Arial" w:hAnsi="Arial" w:cs="Arial"/>
              </w:rPr>
            </w:pPr>
            <w:r w:rsidRPr="00295FAE">
              <w:rPr>
                <w:rFonts w:ascii="Arial" w:hAnsi="Arial" w:cs="Arial"/>
              </w:rPr>
              <w:t>Legal</w:t>
            </w:r>
          </w:p>
        </w:tc>
      </w:tr>
      <w:tr w:rsidR="00295FAE" w:rsidRPr="00295FAE" w14:paraId="333ACF50" w14:textId="77777777" w:rsidTr="003A2FF2">
        <w:trPr>
          <w:trHeight w:val="1455"/>
        </w:trPr>
        <w:tc>
          <w:tcPr>
            <w:tcW w:w="0" w:type="auto"/>
            <w:shd w:val="clear" w:color="auto" w:fill="FFF2CC" w:themeFill="accent4" w:themeFillTint="33"/>
            <w:tcMar>
              <w:top w:w="150" w:type="dxa"/>
              <w:left w:w="0" w:type="dxa"/>
              <w:bottom w:w="150" w:type="dxa"/>
              <w:right w:w="240" w:type="dxa"/>
            </w:tcMar>
            <w:vAlign w:val="center"/>
            <w:hideMark/>
          </w:tcPr>
          <w:p w14:paraId="783457C1" w14:textId="77777777" w:rsidR="00295FAE" w:rsidRPr="00295FAE" w:rsidRDefault="00295FAE" w:rsidP="00295FAE">
            <w:pPr>
              <w:spacing w:line="600" w:lineRule="auto"/>
              <w:rPr>
                <w:rFonts w:ascii="Arial" w:hAnsi="Arial" w:cs="Arial"/>
              </w:rPr>
            </w:pPr>
            <w:r w:rsidRPr="00295FAE">
              <w:rPr>
                <w:rFonts w:ascii="Arial" w:hAnsi="Arial" w:cs="Arial"/>
              </w:rPr>
              <w:t>Approve budget v2.0</w:t>
            </w:r>
          </w:p>
        </w:tc>
        <w:tc>
          <w:tcPr>
            <w:tcW w:w="0" w:type="auto"/>
            <w:shd w:val="clear" w:color="auto" w:fill="FFF2CC" w:themeFill="accent4" w:themeFillTint="33"/>
            <w:tcMar>
              <w:top w:w="150" w:type="dxa"/>
              <w:left w:w="240" w:type="dxa"/>
              <w:bottom w:w="150" w:type="dxa"/>
              <w:right w:w="240" w:type="dxa"/>
            </w:tcMar>
            <w:vAlign w:val="center"/>
            <w:hideMark/>
          </w:tcPr>
          <w:p w14:paraId="0B178765" w14:textId="77777777" w:rsidR="00295FAE" w:rsidRPr="00295FAE" w:rsidRDefault="00295FAE" w:rsidP="00295FAE">
            <w:pPr>
              <w:spacing w:line="600" w:lineRule="auto"/>
              <w:rPr>
                <w:rFonts w:ascii="Arial" w:hAnsi="Arial" w:cs="Arial"/>
              </w:rPr>
            </w:pPr>
            <w:r w:rsidRPr="00295FAE">
              <w:rPr>
                <w:rFonts w:ascii="Arial" w:hAnsi="Arial" w:cs="Arial"/>
                <w:color w:val="4472C4" w:themeColor="accent1"/>
              </w:rPr>
              <w:t>A</w:t>
            </w:r>
          </w:p>
        </w:tc>
        <w:tc>
          <w:tcPr>
            <w:tcW w:w="0" w:type="auto"/>
            <w:shd w:val="clear" w:color="auto" w:fill="FFF2CC" w:themeFill="accent4" w:themeFillTint="33"/>
            <w:tcMar>
              <w:top w:w="150" w:type="dxa"/>
              <w:left w:w="240" w:type="dxa"/>
              <w:bottom w:w="150" w:type="dxa"/>
              <w:right w:w="240" w:type="dxa"/>
            </w:tcMar>
            <w:vAlign w:val="center"/>
            <w:hideMark/>
          </w:tcPr>
          <w:p w14:paraId="20B1DFF8" w14:textId="77777777" w:rsidR="00295FAE" w:rsidRPr="00295FAE" w:rsidRDefault="00295FAE" w:rsidP="00295FAE">
            <w:pPr>
              <w:spacing w:line="600" w:lineRule="auto"/>
              <w:rPr>
                <w:rFonts w:ascii="Arial" w:hAnsi="Arial" w:cs="Arial"/>
              </w:rPr>
            </w:pPr>
            <w:r w:rsidRPr="00295FAE">
              <w:rPr>
                <w:rFonts w:ascii="Arial" w:hAnsi="Arial" w:cs="Arial"/>
                <w:color w:val="EE0000"/>
              </w:rPr>
              <w:t>C</w:t>
            </w:r>
          </w:p>
        </w:tc>
        <w:tc>
          <w:tcPr>
            <w:tcW w:w="0" w:type="auto"/>
            <w:shd w:val="clear" w:color="auto" w:fill="FFF2CC" w:themeFill="accent4" w:themeFillTint="33"/>
            <w:tcMar>
              <w:top w:w="150" w:type="dxa"/>
              <w:left w:w="240" w:type="dxa"/>
              <w:bottom w:w="150" w:type="dxa"/>
              <w:right w:w="240" w:type="dxa"/>
            </w:tcMar>
            <w:vAlign w:val="center"/>
            <w:hideMark/>
          </w:tcPr>
          <w:p w14:paraId="62EA025C" w14:textId="77777777" w:rsidR="00295FAE" w:rsidRPr="00295FAE" w:rsidRDefault="00295FAE" w:rsidP="00295FAE">
            <w:pPr>
              <w:spacing w:line="600" w:lineRule="auto"/>
              <w:rPr>
                <w:rFonts w:ascii="Arial" w:hAnsi="Arial" w:cs="Arial"/>
              </w:rPr>
            </w:pPr>
            <w:r w:rsidRPr="00295FAE">
              <w:rPr>
                <w:rFonts w:ascii="Arial" w:hAnsi="Arial" w:cs="Arial"/>
              </w:rPr>
              <w:t>I</w:t>
            </w:r>
          </w:p>
        </w:tc>
        <w:tc>
          <w:tcPr>
            <w:tcW w:w="0" w:type="auto"/>
            <w:shd w:val="clear" w:color="auto" w:fill="FFF2CC" w:themeFill="accent4" w:themeFillTint="33"/>
            <w:tcMar>
              <w:top w:w="150" w:type="dxa"/>
              <w:left w:w="240" w:type="dxa"/>
              <w:bottom w:w="150" w:type="dxa"/>
              <w:right w:w="240" w:type="dxa"/>
            </w:tcMar>
            <w:vAlign w:val="center"/>
            <w:hideMark/>
          </w:tcPr>
          <w:p w14:paraId="46697863" w14:textId="77777777" w:rsidR="00295FAE" w:rsidRPr="00295FAE" w:rsidRDefault="00295FAE" w:rsidP="00295FAE">
            <w:pPr>
              <w:spacing w:line="600" w:lineRule="auto"/>
              <w:rPr>
                <w:rFonts w:ascii="Arial" w:hAnsi="Arial" w:cs="Arial"/>
              </w:rPr>
            </w:pPr>
            <w:r w:rsidRPr="00295FAE">
              <w:rPr>
                <w:rFonts w:ascii="Arial" w:hAnsi="Arial" w:cs="Arial"/>
              </w:rPr>
              <w:t>I</w:t>
            </w:r>
          </w:p>
        </w:tc>
        <w:tc>
          <w:tcPr>
            <w:tcW w:w="0" w:type="auto"/>
            <w:shd w:val="clear" w:color="auto" w:fill="FFF2CC" w:themeFill="accent4" w:themeFillTint="33"/>
            <w:tcMar>
              <w:top w:w="150" w:type="dxa"/>
              <w:left w:w="240" w:type="dxa"/>
              <w:bottom w:w="150" w:type="dxa"/>
              <w:right w:w="240" w:type="dxa"/>
            </w:tcMar>
            <w:vAlign w:val="center"/>
            <w:hideMark/>
          </w:tcPr>
          <w:p w14:paraId="573C3632" w14:textId="77777777" w:rsidR="00295FAE" w:rsidRPr="00295FAE" w:rsidRDefault="00295FAE" w:rsidP="00295FAE">
            <w:pPr>
              <w:spacing w:line="600" w:lineRule="auto"/>
              <w:rPr>
                <w:rFonts w:ascii="Arial" w:hAnsi="Arial" w:cs="Arial"/>
              </w:rPr>
            </w:pPr>
            <w:r w:rsidRPr="00295FAE">
              <w:rPr>
                <w:rFonts w:ascii="Arial" w:hAnsi="Arial" w:cs="Arial"/>
              </w:rPr>
              <w:t>I</w:t>
            </w:r>
          </w:p>
        </w:tc>
        <w:tc>
          <w:tcPr>
            <w:tcW w:w="0" w:type="auto"/>
            <w:shd w:val="clear" w:color="auto" w:fill="FFF2CC" w:themeFill="accent4" w:themeFillTint="33"/>
            <w:tcMar>
              <w:top w:w="150" w:type="dxa"/>
              <w:left w:w="240" w:type="dxa"/>
              <w:bottom w:w="150" w:type="dxa"/>
              <w:right w:w="0" w:type="dxa"/>
            </w:tcMar>
            <w:vAlign w:val="center"/>
            <w:hideMark/>
          </w:tcPr>
          <w:p w14:paraId="3BF7F9E6" w14:textId="77777777" w:rsidR="00295FAE" w:rsidRPr="00295FAE" w:rsidRDefault="00295FAE" w:rsidP="00295FAE">
            <w:pPr>
              <w:spacing w:line="600" w:lineRule="auto"/>
              <w:rPr>
                <w:rFonts w:ascii="Arial" w:hAnsi="Arial" w:cs="Arial"/>
              </w:rPr>
            </w:pPr>
            <w:r w:rsidRPr="00295FAE">
              <w:rPr>
                <w:rFonts w:ascii="Arial" w:hAnsi="Arial" w:cs="Arial"/>
                <w:color w:val="EE0000"/>
              </w:rPr>
              <w:t>C</w:t>
            </w:r>
          </w:p>
        </w:tc>
      </w:tr>
      <w:tr w:rsidR="00295FAE" w:rsidRPr="00295FAE" w14:paraId="44B293E3" w14:textId="77777777" w:rsidTr="003A2FF2">
        <w:trPr>
          <w:trHeight w:val="1443"/>
        </w:trPr>
        <w:tc>
          <w:tcPr>
            <w:tcW w:w="0" w:type="auto"/>
            <w:shd w:val="clear" w:color="auto" w:fill="FFF2CC" w:themeFill="accent4" w:themeFillTint="33"/>
            <w:tcMar>
              <w:top w:w="150" w:type="dxa"/>
              <w:left w:w="0" w:type="dxa"/>
              <w:bottom w:w="150" w:type="dxa"/>
              <w:right w:w="240" w:type="dxa"/>
            </w:tcMar>
            <w:vAlign w:val="center"/>
            <w:hideMark/>
          </w:tcPr>
          <w:p w14:paraId="722FF2F9" w14:textId="77777777" w:rsidR="00295FAE" w:rsidRPr="00295FAE" w:rsidRDefault="00295FAE" w:rsidP="00295FAE">
            <w:pPr>
              <w:spacing w:line="600" w:lineRule="auto"/>
              <w:rPr>
                <w:rFonts w:ascii="Arial" w:hAnsi="Arial" w:cs="Arial"/>
              </w:rPr>
            </w:pPr>
            <w:r w:rsidRPr="00295FAE">
              <w:rPr>
                <w:rFonts w:ascii="Arial" w:hAnsi="Arial" w:cs="Arial"/>
              </w:rPr>
              <w:t>Select AI vendor</w:t>
            </w:r>
          </w:p>
        </w:tc>
        <w:tc>
          <w:tcPr>
            <w:tcW w:w="0" w:type="auto"/>
            <w:shd w:val="clear" w:color="auto" w:fill="FFF2CC" w:themeFill="accent4" w:themeFillTint="33"/>
            <w:tcMar>
              <w:top w:w="150" w:type="dxa"/>
              <w:left w:w="240" w:type="dxa"/>
              <w:bottom w:w="150" w:type="dxa"/>
              <w:right w:w="240" w:type="dxa"/>
            </w:tcMar>
            <w:vAlign w:val="center"/>
            <w:hideMark/>
          </w:tcPr>
          <w:p w14:paraId="34891C2A" w14:textId="77777777" w:rsidR="00295FAE" w:rsidRPr="00295FAE" w:rsidRDefault="00295FAE" w:rsidP="00295FAE">
            <w:pPr>
              <w:spacing w:line="600" w:lineRule="auto"/>
              <w:rPr>
                <w:rFonts w:ascii="Arial" w:hAnsi="Arial" w:cs="Arial"/>
              </w:rPr>
            </w:pPr>
            <w:r w:rsidRPr="00295FAE">
              <w:rPr>
                <w:rFonts w:ascii="Arial" w:hAnsi="Arial" w:cs="Arial"/>
                <w:color w:val="EE0000"/>
              </w:rPr>
              <w:t>C</w:t>
            </w:r>
          </w:p>
        </w:tc>
        <w:tc>
          <w:tcPr>
            <w:tcW w:w="0" w:type="auto"/>
            <w:shd w:val="clear" w:color="auto" w:fill="FFF2CC" w:themeFill="accent4" w:themeFillTint="33"/>
            <w:tcMar>
              <w:top w:w="150" w:type="dxa"/>
              <w:left w:w="240" w:type="dxa"/>
              <w:bottom w:w="150" w:type="dxa"/>
              <w:right w:w="240" w:type="dxa"/>
            </w:tcMar>
            <w:vAlign w:val="center"/>
            <w:hideMark/>
          </w:tcPr>
          <w:p w14:paraId="0B0A4BB5" w14:textId="77777777" w:rsidR="00295FAE" w:rsidRPr="00295FAE" w:rsidRDefault="00295FAE" w:rsidP="00295FAE">
            <w:pPr>
              <w:spacing w:line="600" w:lineRule="auto"/>
              <w:rPr>
                <w:rFonts w:ascii="Arial" w:hAnsi="Arial" w:cs="Arial"/>
              </w:rPr>
            </w:pPr>
            <w:r w:rsidRPr="00295FAE">
              <w:rPr>
                <w:rFonts w:ascii="Arial" w:hAnsi="Arial" w:cs="Arial"/>
                <w:color w:val="4472C4" w:themeColor="accent1"/>
              </w:rPr>
              <w:t>A</w:t>
            </w:r>
          </w:p>
        </w:tc>
        <w:tc>
          <w:tcPr>
            <w:tcW w:w="0" w:type="auto"/>
            <w:shd w:val="clear" w:color="auto" w:fill="FFF2CC" w:themeFill="accent4" w:themeFillTint="33"/>
            <w:tcMar>
              <w:top w:w="150" w:type="dxa"/>
              <w:left w:w="240" w:type="dxa"/>
              <w:bottom w:w="150" w:type="dxa"/>
              <w:right w:w="240" w:type="dxa"/>
            </w:tcMar>
            <w:vAlign w:val="center"/>
            <w:hideMark/>
          </w:tcPr>
          <w:p w14:paraId="25070711" w14:textId="77777777" w:rsidR="00295FAE" w:rsidRPr="00295FAE" w:rsidRDefault="00295FAE" w:rsidP="00295FAE">
            <w:pPr>
              <w:spacing w:line="600" w:lineRule="auto"/>
              <w:rPr>
                <w:rFonts w:ascii="Arial" w:hAnsi="Arial" w:cs="Arial"/>
              </w:rPr>
            </w:pPr>
            <w:r w:rsidRPr="00295FAE">
              <w:rPr>
                <w:rFonts w:ascii="Arial" w:hAnsi="Arial" w:cs="Arial"/>
                <w:color w:val="EE0000"/>
              </w:rPr>
              <w:t>C</w:t>
            </w:r>
          </w:p>
        </w:tc>
        <w:tc>
          <w:tcPr>
            <w:tcW w:w="0" w:type="auto"/>
            <w:shd w:val="clear" w:color="auto" w:fill="FFF2CC" w:themeFill="accent4" w:themeFillTint="33"/>
            <w:tcMar>
              <w:top w:w="150" w:type="dxa"/>
              <w:left w:w="240" w:type="dxa"/>
              <w:bottom w:w="150" w:type="dxa"/>
              <w:right w:w="240" w:type="dxa"/>
            </w:tcMar>
            <w:vAlign w:val="center"/>
            <w:hideMark/>
          </w:tcPr>
          <w:p w14:paraId="19A6E661" w14:textId="77777777" w:rsidR="00295FAE" w:rsidRPr="00295FAE" w:rsidRDefault="00295FAE" w:rsidP="00295FAE">
            <w:pPr>
              <w:spacing w:line="600" w:lineRule="auto"/>
              <w:rPr>
                <w:rFonts w:ascii="Arial" w:hAnsi="Arial" w:cs="Arial"/>
              </w:rPr>
            </w:pPr>
            <w:r w:rsidRPr="00295FAE">
              <w:rPr>
                <w:rFonts w:ascii="Arial" w:hAnsi="Arial" w:cs="Arial"/>
              </w:rPr>
              <w:t>I</w:t>
            </w:r>
          </w:p>
        </w:tc>
        <w:tc>
          <w:tcPr>
            <w:tcW w:w="0" w:type="auto"/>
            <w:shd w:val="clear" w:color="auto" w:fill="FFF2CC" w:themeFill="accent4" w:themeFillTint="33"/>
            <w:tcMar>
              <w:top w:w="150" w:type="dxa"/>
              <w:left w:w="240" w:type="dxa"/>
              <w:bottom w:w="150" w:type="dxa"/>
              <w:right w:w="240" w:type="dxa"/>
            </w:tcMar>
            <w:vAlign w:val="center"/>
            <w:hideMark/>
          </w:tcPr>
          <w:p w14:paraId="32E0CA7E" w14:textId="77777777" w:rsidR="00295FAE" w:rsidRPr="00295FAE" w:rsidRDefault="00295FAE" w:rsidP="00295FAE">
            <w:pPr>
              <w:spacing w:line="600" w:lineRule="auto"/>
              <w:rPr>
                <w:rFonts w:ascii="Arial" w:hAnsi="Arial" w:cs="Arial"/>
              </w:rPr>
            </w:pPr>
            <w:r w:rsidRPr="00295FAE">
              <w:rPr>
                <w:rFonts w:ascii="Arial" w:hAnsi="Arial" w:cs="Arial"/>
                <w:color w:val="ED7D31" w:themeColor="accent2"/>
              </w:rPr>
              <w:t>R</w:t>
            </w:r>
            <w:r w:rsidRPr="00295FAE">
              <w:rPr>
                <w:rFonts w:ascii="Arial" w:hAnsi="Arial" w:cs="Arial"/>
              </w:rPr>
              <w:t xml:space="preserve"> (provide demo)</w:t>
            </w:r>
          </w:p>
        </w:tc>
        <w:tc>
          <w:tcPr>
            <w:tcW w:w="0" w:type="auto"/>
            <w:shd w:val="clear" w:color="auto" w:fill="FFF2CC" w:themeFill="accent4" w:themeFillTint="33"/>
            <w:tcMar>
              <w:top w:w="150" w:type="dxa"/>
              <w:left w:w="240" w:type="dxa"/>
              <w:bottom w:w="150" w:type="dxa"/>
              <w:right w:w="0" w:type="dxa"/>
            </w:tcMar>
            <w:vAlign w:val="center"/>
            <w:hideMark/>
          </w:tcPr>
          <w:p w14:paraId="74C5008A" w14:textId="77777777" w:rsidR="00295FAE" w:rsidRPr="00295FAE" w:rsidRDefault="00295FAE" w:rsidP="00295FAE">
            <w:pPr>
              <w:spacing w:line="600" w:lineRule="auto"/>
              <w:rPr>
                <w:rFonts w:ascii="Arial" w:hAnsi="Arial" w:cs="Arial"/>
              </w:rPr>
            </w:pPr>
            <w:r w:rsidRPr="00295FAE">
              <w:rPr>
                <w:rFonts w:ascii="Arial" w:hAnsi="Arial" w:cs="Arial"/>
                <w:color w:val="EE0000"/>
              </w:rPr>
              <w:t>C</w:t>
            </w:r>
          </w:p>
        </w:tc>
      </w:tr>
      <w:tr w:rsidR="00295FAE" w:rsidRPr="00295FAE" w14:paraId="6CE1EC05" w14:textId="77777777" w:rsidTr="003A2FF2">
        <w:trPr>
          <w:trHeight w:val="2083"/>
        </w:trPr>
        <w:tc>
          <w:tcPr>
            <w:tcW w:w="0" w:type="auto"/>
            <w:shd w:val="clear" w:color="auto" w:fill="FFF2CC" w:themeFill="accent4" w:themeFillTint="33"/>
            <w:tcMar>
              <w:top w:w="150" w:type="dxa"/>
              <w:left w:w="0" w:type="dxa"/>
              <w:bottom w:w="150" w:type="dxa"/>
              <w:right w:w="240" w:type="dxa"/>
            </w:tcMar>
            <w:vAlign w:val="center"/>
            <w:hideMark/>
          </w:tcPr>
          <w:p w14:paraId="11E038B8" w14:textId="77777777" w:rsidR="00295FAE" w:rsidRPr="00295FAE" w:rsidRDefault="00295FAE" w:rsidP="00295FAE">
            <w:pPr>
              <w:spacing w:line="600" w:lineRule="auto"/>
              <w:rPr>
                <w:rFonts w:ascii="Arial" w:hAnsi="Arial" w:cs="Arial"/>
              </w:rPr>
            </w:pPr>
            <w:r w:rsidRPr="00295FAE">
              <w:rPr>
                <w:rFonts w:ascii="Arial" w:hAnsi="Arial" w:cs="Arial"/>
              </w:rPr>
              <w:t>Conduct GDPR DPIA</w:t>
            </w:r>
          </w:p>
        </w:tc>
        <w:tc>
          <w:tcPr>
            <w:tcW w:w="0" w:type="auto"/>
            <w:shd w:val="clear" w:color="auto" w:fill="FFF2CC" w:themeFill="accent4" w:themeFillTint="33"/>
            <w:tcMar>
              <w:top w:w="150" w:type="dxa"/>
              <w:left w:w="240" w:type="dxa"/>
              <w:bottom w:w="150" w:type="dxa"/>
              <w:right w:w="240" w:type="dxa"/>
            </w:tcMar>
            <w:vAlign w:val="center"/>
            <w:hideMark/>
          </w:tcPr>
          <w:p w14:paraId="61ECA8BC" w14:textId="77777777" w:rsidR="00295FAE" w:rsidRPr="00295FAE" w:rsidRDefault="00295FAE" w:rsidP="00295FAE">
            <w:pPr>
              <w:spacing w:line="600" w:lineRule="auto"/>
              <w:rPr>
                <w:rFonts w:ascii="Arial" w:hAnsi="Arial" w:cs="Arial"/>
              </w:rPr>
            </w:pPr>
            <w:r w:rsidRPr="00295FAE">
              <w:rPr>
                <w:rFonts w:ascii="Arial" w:hAnsi="Arial" w:cs="Arial"/>
              </w:rPr>
              <w:t>I</w:t>
            </w:r>
          </w:p>
        </w:tc>
        <w:tc>
          <w:tcPr>
            <w:tcW w:w="0" w:type="auto"/>
            <w:shd w:val="clear" w:color="auto" w:fill="FFF2CC" w:themeFill="accent4" w:themeFillTint="33"/>
            <w:tcMar>
              <w:top w:w="150" w:type="dxa"/>
              <w:left w:w="240" w:type="dxa"/>
              <w:bottom w:w="150" w:type="dxa"/>
              <w:right w:w="240" w:type="dxa"/>
            </w:tcMar>
            <w:vAlign w:val="center"/>
            <w:hideMark/>
          </w:tcPr>
          <w:p w14:paraId="4F120F7C" w14:textId="77777777" w:rsidR="00295FAE" w:rsidRPr="00295FAE" w:rsidRDefault="00295FAE" w:rsidP="00295FAE">
            <w:pPr>
              <w:spacing w:line="600" w:lineRule="auto"/>
              <w:rPr>
                <w:rFonts w:ascii="Arial" w:hAnsi="Arial" w:cs="Arial"/>
              </w:rPr>
            </w:pPr>
            <w:r w:rsidRPr="00295FAE">
              <w:rPr>
                <w:rFonts w:ascii="Arial" w:hAnsi="Arial" w:cs="Arial"/>
                <w:color w:val="ED7D31" w:themeColor="accent2"/>
              </w:rPr>
              <w:t>R</w:t>
            </w:r>
          </w:p>
        </w:tc>
        <w:tc>
          <w:tcPr>
            <w:tcW w:w="0" w:type="auto"/>
            <w:shd w:val="clear" w:color="auto" w:fill="FFF2CC" w:themeFill="accent4" w:themeFillTint="33"/>
            <w:tcMar>
              <w:top w:w="150" w:type="dxa"/>
              <w:left w:w="240" w:type="dxa"/>
              <w:bottom w:w="150" w:type="dxa"/>
              <w:right w:w="240" w:type="dxa"/>
            </w:tcMar>
            <w:vAlign w:val="center"/>
            <w:hideMark/>
          </w:tcPr>
          <w:p w14:paraId="02E8E410" w14:textId="77777777" w:rsidR="00295FAE" w:rsidRPr="00295FAE" w:rsidRDefault="00295FAE" w:rsidP="00295FAE">
            <w:pPr>
              <w:spacing w:line="600" w:lineRule="auto"/>
              <w:rPr>
                <w:rFonts w:ascii="Arial" w:hAnsi="Arial" w:cs="Arial"/>
              </w:rPr>
            </w:pPr>
            <w:r w:rsidRPr="00295FAE">
              <w:rPr>
                <w:rFonts w:ascii="Arial" w:hAnsi="Arial" w:cs="Arial"/>
              </w:rPr>
              <w:t>I</w:t>
            </w:r>
          </w:p>
        </w:tc>
        <w:tc>
          <w:tcPr>
            <w:tcW w:w="0" w:type="auto"/>
            <w:shd w:val="clear" w:color="auto" w:fill="FFF2CC" w:themeFill="accent4" w:themeFillTint="33"/>
            <w:tcMar>
              <w:top w:w="150" w:type="dxa"/>
              <w:left w:w="240" w:type="dxa"/>
              <w:bottom w:w="150" w:type="dxa"/>
              <w:right w:w="240" w:type="dxa"/>
            </w:tcMar>
            <w:vAlign w:val="center"/>
            <w:hideMark/>
          </w:tcPr>
          <w:p w14:paraId="3B81EF63" w14:textId="77777777" w:rsidR="00295FAE" w:rsidRPr="00295FAE" w:rsidRDefault="00295FAE" w:rsidP="00295FAE">
            <w:pPr>
              <w:spacing w:line="600" w:lineRule="auto"/>
              <w:rPr>
                <w:rFonts w:ascii="Arial" w:hAnsi="Arial" w:cs="Arial"/>
              </w:rPr>
            </w:pPr>
            <w:r w:rsidRPr="00295FAE">
              <w:rPr>
                <w:rFonts w:ascii="Arial" w:hAnsi="Arial" w:cs="Arial"/>
              </w:rPr>
              <w:t>I</w:t>
            </w:r>
          </w:p>
        </w:tc>
        <w:tc>
          <w:tcPr>
            <w:tcW w:w="0" w:type="auto"/>
            <w:shd w:val="clear" w:color="auto" w:fill="FFF2CC" w:themeFill="accent4" w:themeFillTint="33"/>
            <w:tcMar>
              <w:top w:w="150" w:type="dxa"/>
              <w:left w:w="240" w:type="dxa"/>
              <w:bottom w:w="150" w:type="dxa"/>
              <w:right w:w="240" w:type="dxa"/>
            </w:tcMar>
            <w:vAlign w:val="center"/>
            <w:hideMark/>
          </w:tcPr>
          <w:p w14:paraId="02C97DF1" w14:textId="77777777" w:rsidR="00295FAE" w:rsidRPr="00295FAE" w:rsidRDefault="00295FAE" w:rsidP="00295FAE">
            <w:pPr>
              <w:spacing w:line="600" w:lineRule="auto"/>
              <w:rPr>
                <w:rFonts w:ascii="Arial" w:hAnsi="Arial" w:cs="Arial"/>
              </w:rPr>
            </w:pPr>
            <w:r w:rsidRPr="00295FAE">
              <w:rPr>
                <w:rFonts w:ascii="Arial" w:hAnsi="Arial" w:cs="Arial"/>
                <w:color w:val="EE0000"/>
              </w:rPr>
              <w:t>C</w:t>
            </w:r>
          </w:p>
        </w:tc>
        <w:tc>
          <w:tcPr>
            <w:tcW w:w="0" w:type="auto"/>
            <w:shd w:val="clear" w:color="auto" w:fill="FFF2CC" w:themeFill="accent4" w:themeFillTint="33"/>
            <w:tcMar>
              <w:top w:w="150" w:type="dxa"/>
              <w:left w:w="240" w:type="dxa"/>
              <w:bottom w:w="150" w:type="dxa"/>
              <w:right w:w="0" w:type="dxa"/>
            </w:tcMar>
            <w:vAlign w:val="center"/>
            <w:hideMark/>
          </w:tcPr>
          <w:p w14:paraId="06F129EC" w14:textId="77777777" w:rsidR="00295FAE" w:rsidRPr="00295FAE" w:rsidRDefault="00295FAE" w:rsidP="00295FAE">
            <w:pPr>
              <w:spacing w:line="600" w:lineRule="auto"/>
              <w:rPr>
                <w:rFonts w:ascii="Arial" w:hAnsi="Arial" w:cs="Arial"/>
              </w:rPr>
            </w:pPr>
            <w:r w:rsidRPr="00295FAE">
              <w:rPr>
                <w:rFonts w:ascii="Arial" w:hAnsi="Arial" w:cs="Arial"/>
                <w:color w:val="4472C4" w:themeColor="accent1"/>
              </w:rPr>
              <w:t>A</w:t>
            </w:r>
          </w:p>
        </w:tc>
      </w:tr>
      <w:tr w:rsidR="00295FAE" w:rsidRPr="00295FAE" w14:paraId="58A779C1" w14:textId="77777777" w:rsidTr="003A2FF2">
        <w:trPr>
          <w:trHeight w:val="1455"/>
        </w:trPr>
        <w:tc>
          <w:tcPr>
            <w:tcW w:w="0" w:type="auto"/>
            <w:shd w:val="clear" w:color="auto" w:fill="FFF2CC" w:themeFill="accent4" w:themeFillTint="33"/>
            <w:tcMar>
              <w:top w:w="150" w:type="dxa"/>
              <w:left w:w="0" w:type="dxa"/>
              <w:bottom w:w="150" w:type="dxa"/>
              <w:right w:w="240" w:type="dxa"/>
            </w:tcMar>
            <w:vAlign w:val="center"/>
            <w:hideMark/>
          </w:tcPr>
          <w:p w14:paraId="32286FDF" w14:textId="77777777" w:rsidR="00295FAE" w:rsidRPr="00295FAE" w:rsidRDefault="00295FAE" w:rsidP="00295FAE">
            <w:pPr>
              <w:spacing w:line="600" w:lineRule="auto"/>
              <w:rPr>
                <w:rFonts w:ascii="Arial" w:hAnsi="Arial" w:cs="Arial"/>
              </w:rPr>
            </w:pPr>
            <w:r w:rsidRPr="00295FAE">
              <w:rPr>
                <w:rFonts w:ascii="Arial" w:hAnsi="Arial" w:cs="Arial"/>
              </w:rPr>
              <w:t>Train front-line staff</w:t>
            </w:r>
          </w:p>
        </w:tc>
        <w:tc>
          <w:tcPr>
            <w:tcW w:w="0" w:type="auto"/>
            <w:shd w:val="clear" w:color="auto" w:fill="FFF2CC" w:themeFill="accent4" w:themeFillTint="33"/>
            <w:tcMar>
              <w:top w:w="150" w:type="dxa"/>
              <w:left w:w="240" w:type="dxa"/>
              <w:bottom w:w="150" w:type="dxa"/>
              <w:right w:w="240" w:type="dxa"/>
            </w:tcMar>
            <w:vAlign w:val="center"/>
            <w:hideMark/>
          </w:tcPr>
          <w:p w14:paraId="54589680" w14:textId="77777777" w:rsidR="00295FAE" w:rsidRPr="00295FAE" w:rsidRDefault="00295FAE" w:rsidP="00295FAE">
            <w:pPr>
              <w:spacing w:line="600" w:lineRule="auto"/>
              <w:rPr>
                <w:rFonts w:ascii="Arial" w:hAnsi="Arial" w:cs="Arial"/>
              </w:rPr>
            </w:pPr>
            <w:r w:rsidRPr="00295FAE">
              <w:rPr>
                <w:rFonts w:ascii="Arial" w:hAnsi="Arial" w:cs="Arial"/>
              </w:rPr>
              <w:t>I</w:t>
            </w:r>
          </w:p>
        </w:tc>
        <w:tc>
          <w:tcPr>
            <w:tcW w:w="0" w:type="auto"/>
            <w:shd w:val="clear" w:color="auto" w:fill="FFF2CC" w:themeFill="accent4" w:themeFillTint="33"/>
            <w:tcMar>
              <w:top w:w="150" w:type="dxa"/>
              <w:left w:w="240" w:type="dxa"/>
              <w:bottom w:w="150" w:type="dxa"/>
              <w:right w:w="240" w:type="dxa"/>
            </w:tcMar>
            <w:vAlign w:val="center"/>
            <w:hideMark/>
          </w:tcPr>
          <w:p w14:paraId="65929A31" w14:textId="77777777" w:rsidR="00295FAE" w:rsidRPr="00295FAE" w:rsidRDefault="00295FAE" w:rsidP="00295FAE">
            <w:pPr>
              <w:spacing w:line="600" w:lineRule="auto"/>
              <w:rPr>
                <w:rFonts w:ascii="Arial" w:hAnsi="Arial" w:cs="Arial"/>
              </w:rPr>
            </w:pPr>
            <w:r w:rsidRPr="00295FAE">
              <w:rPr>
                <w:rFonts w:ascii="Arial" w:hAnsi="Arial" w:cs="Arial"/>
                <w:color w:val="EE0000"/>
              </w:rPr>
              <w:t>C</w:t>
            </w:r>
          </w:p>
        </w:tc>
        <w:tc>
          <w:tcPr>
            <w:tcW w:w="0" w:type="auto"/>
            <w:shd w:val="clear" w:color="auto" w:fill="FFF2CC" w:themeFill="accent4" w:themeFillTint="33"/>
            <w:tcMar>
              <w:top w:w="150" w:type="dxa"/>
              <w:left w:w="240" w:type="dxa"/>
              <w:bottom w:w="150" w:type="dxa"/>
              <w:right w:w="240" w:type="dxa"/>
            </w:tcMar>
            <w:vAlign w:val="center"/>
            <w:hideMark/>
          </w:tcPr>
          <w:p w14:paraId="44324702" w14:textId="77777777" w:rsidR="00295FAE" w:rsidRPr="00295FAE" w:rsidRDefault="00295FAE" w:rsidP="00295FAE">
            <w:pPr>
              <w:spacing w:line="600" w:lineRule="auto"/>
              <w:rPr>
                <w:rFonts w:ascii="Arial" w:hAnsi="Arial" w:cs="Arial"/>
              </w:rPr>
            </w:pPr>
            <w:r w:rsidRPr="00295FAE">
              <w:rPr>
                <w:rFonts w:ascii="Arial" w:hAnsi="Arial" w:cs="Arial"/>
                <w:color w:val="4472C4" w:themeColor="accent1"/>
              </w:rPr>
              <w:t>A</w:t>
            </w:r>
          </w:p>
        </w:tc>
        <w:tc>
          <w:tcPr>
            <w:tcW w:w="0" w:type="auto"/>
            <w:shd w:val="clear" w:color="auto" w:fill="FFF2CC" w:themeFill="accent4" w:themeFillTint="33"/>
            <w:tcMar>
              <w:top w:w="150" w:type="dxa"/>
              <w:left w:w="240" w:type="dxa"/>
              <w:bottom w:w="150" w:type="dxa"/>
              <w:right w:w="240" w:type="dxa"/>
            </w:tcMar>
            <w:vAlign w:val="center"/>
            <w:hideMark/>
          </w:tcPr>
          <w:p w14:paraId="57DADF35" w14:textId="77777777" w:rsidR="00295FAE" w:rsidRPr="00295FAE" w:rsidRDefault="00295FAE" w:rsidP="00295FAE">
            <w:pPr>
              <w:spacing w:line="600" w:lineRule="auto"/>
              <w:rPr>
                <w:rFonts w:ascii="Arial" w:hAnsi="Arial" w:cs="Arial"/>
              </w:rPr>
            </w:pPr>
            <w:r w:rsidRPr="00295FAE">
              <w:rPr>
                <w:rFonts w:ascii="Arial" w:hAnsi="Arial" w:cs="Arial"/>
                <w:color w:val="ED7D31" w:themeColor="accent2"/>
              </w:rPr>
              <w:t>R</w:t>
            </w:r>
          </w:p>
        </w:tc>
        <w:tc>
          <w:tcPr>
            <w:tcW w:w="0" w:type="auto"/>
            <w:shd w:val="clear" w:color="auto" w:fill="FFF2CC" w:themeFill="accent4" w:themeFillTint="33"/>
            <w:tcMar>
              <w:top w:w="150" w:type="dxa"/>
              <w:left w:w="240" w:type="dxa"/>
              <w:bottom w:w="150" w:type="dxa"/>
              <w:right w:w="240" w:type="dxa"/>
            </w:tcMar>
            <w:vAlign w:val="center"/>
            <w:hideMark/>
          </w:tcPr>
          <w:p w14:paraId="02B1D909" w14:textId="77777777" w:rsidR="00295FAE" w:rsidRPr="00295FAE" w:rsidRDefault="00295FAE" w:rsidP="00295FAE">
            <w:pPr>
              <w:spacing w:line="600" w:lineRule="auto"/>
              <w:rPr>
                <w:rFonts w:ascii="Arial" w:hAnsi="Arial" w:cs="Arial"/>
              </w:rPr>
            </w:pPr>
            <w:r w:rsidRPr="00295FAE">
              <w:rPr>
                <w:rFonts w:ascii="Arial" w:hAnsi="Arial" w:cs="Arial"/>
              </w:rPr>
              <w:t>I</w:t>
            </w:r>
          </w:p>
        </w:tc>
        <w:tc>
          <w:tcPr>
            <w:tcW w:w="0" w:type="auto"/>
            <w:shd w:val="clear" w:color="auto" w:fill="FFF2CC" w:themeFill="accent4" w:themeFillTint="33"/>
            <w:tcMar>
              <w:top w:w="150" w:type="dxa"/>
              <w:left w:w="240" w:type="dxa"/>
              <w:bottom w:w="150" w:type="dxa"/>
              <w:right w:w="0" w:type="dxa"/>
            </w:tcMar>
            <w:vAlign w:val="center"/>
            <w:hideMark/>
          </w:tcPr>
          <w:p w14:paraId="7BDFED81" w14:textId="77777777" w:rsidR="00295FAE" w:rsidRPr="00295FAE" w:rsidRDefault="00295FAE" w:rsidP="00295FAE">
            <w:pPr>
              <w:spacing w:line="600" w:lineRule="auto"/>
              <w:rPr>
                <w:rFonts w:ascii="Arial" w:hAnsi="Arial" w:cs="Arial"/>
              </w:rPr>
            </w:pPr>
            <w:r w:rsidRPr="00295FAE">
              <w:rPr>
                <w:rFonts w:ascii="Arial" w:hAnsi="Arial" w:cs="Arial"/>
              </w:rPr>
              <w:t>I</w:t>
            </w:r>
          </w:p>
        </w:tc>
      </w:tr>
      <w:tr w:rsidR="00295FAE" w:rsidRPr="00295FAE" w14:paraId="2386BD0C" w14:textId="77777777" w:rsidTr="003A2FF2">
        <w:trPr>
          <w:trHeight w:val="2083"/>
        </w:trPr>
        <w:tc>
          <w:tcPr>
            <w:tcW w:w="0" w:type="auto"/>
            <w:shd w:val="clear" w:color="auto" w:fill="FFF2CC" w:themeFill="accent4" w:themeFillTint="33"/>
            <w:tcMar>
              <w:top w:w="150" w:type="dxa"/>
              <w:left w:w="0" w:type="dxa"/>
              <w:bottom w:w="150" w:type="dxa"/>
              <w:right w:w="240" w:type="dxa"/>
            </w:tcMar>
            <w:vAlign w:val="center"/>
            <w:hideMark/>
          </w:tcPr>
          <w:p w14:paraId="2BF6D6AD" w14:textId="77777777" w:rsidR="00295FAE" w:rsidRPr="00295FAE" w:rsidRDefault="00295FAE" w:rsidP="00295FAE">
            <w:pPr>
              <w:spacing w:line="600" w:lineRule="auto"/>
              <w:rPr>
                <w:rFonts w:ascii="Arial" w:hAnsi="Arial" w:cs="Arial"/>
              </w:rPr>
            </w:pPr>
            <w:r w:rsidRPr="00295FAE">
              <w:rPr>
                <w:rFonts w:ascii="Arial" w:hAnsi="Arial" w:cs="Arial"/>
              </w:rPr>
              <w:t>Launch pilot (London)</w:t>
            </w:r>
          </w:p>
        </w:tc>
        <w:tc>
          <w:tcPr>
            <w:tcW w:w="0" w:type="auto"/>
            <w:shd w:val="clear" w:color="auto" w:fill="FFF2CC" w:themeFill="accent4" w:themeFillTint="33"/>
            <w:tcMar>
              <w:top w:w="150" w:type="dxa"/>
              <w:left w:w="240" w:type="dxa"/>
              <w:bottom w:w="150" w:type="dxa"/>
              <w:right w:w="240" w:type="dxa"/>
            </w:tcMar>
            <w:vAlign w:val="center"/>
            <w:hideMark/>
          </w:tcPr>
          <w:p w14:paraId="37968476" w14:textId="77777777" w:rsidR="00295FAE" w:rsidRPr="00295FAE" w:rsidRDefault="00295FAE" w:rsidP="00295FAE">
            <w:pPr>
              <w:spacing w:line="600" w:lineRule="auto"/>
              <w:rPr>
                <w:rFonts w:ascii="Arial" w:hAnsi="Arial" w:cs="Arial"/>
              </w:rPr>
            </w:pPr>
            <w:r w:rsidRPr="00295FAE">
              <w:rPr>
                <w:rFonts w:ascii="Arial" w:hAnsi="Arial" w:cs="Arial"/>
              </w:rPr>
              <w:t>I</w:t>
            </w:r>
          </w:p>
        </w:tc>
        <w:tc>
          <w:tcPr>
            <w:tcW w:w="0" w:type="auto"/>
            <w:shd w:val="clear" w:color="auto" w:fill="FFF2CC" w:themeFill="accent4" w:themeFillTint="33"/>
            <w:tcMar>
              <w:top w:w="150" w:type="dxa"/>
              <w:left w:w="240" w:type="dxa"/>
              <w:bottom w:w="150" w:type="dxa"/>
              <w:right w:w="240" w:type="dxa"/>
            </w:tcMar>
            <w:vAlign w:val="center"/>
            <w:hideMark/>
          </w:tcPr>
          <w:p w14:paraId="24648600" w14:textId="77777777" w:rsidR="00295FAE" w:rsidRPr="00295FAE" w:rsidRDefault="00295FAE" w:rsidP="00295FAE">
            <w:pPr>
              <w:spacing w:line="600" w:lineRule="auto"/>
              <w:rPr>
                <w:rFonts w:ascii="Arial" w:hAnsi="Arial" w:cs="Arial"/>
              </w:rPr>
            </w:pPr>
            <w:r w:rsidRPr="00295FAE">
              <w:rPr>
                <w:rFonts w:ascii="Arial" w:hAnsi="Arial" w:cs="Arial"/>
                <w:color w:val="ED7D31" w:themeColor="accent2"/>
              </w:rPr>
              <w:t>R</w:t>
            </w:r>
            <w:r w:rsidRPr="00295FAE">
              <w:rPr>
                <w:rFonts w:ascii="Arial" w:hAnsi="Arial" w:cs="Arial"/>
              </w:rPr>
              <w:t xml:space="preserve"> (systems)</w:t>
            </w:r>
          </w:p>
        </w:tc>
        <w:tc>
          <w:tcPr>
            <w:tcW w:w="0" w:type="auto"/>
            <w:shd w:val="clear" w:color="auto" w:fill="FFF2CC" w:themeFill="accent4" w:themeFillTint="33"/>
            <w:tcMar>
              <w:top w:w="150" w:type="dxa"/>
              <w:left w:w="240" w:type="dxa"/>
              <w:bottom w:w="150" w:type="dxa"/>
              <w:right w:w="240" w:type="dxa"/>
            </w:tcMar>
            <w:vAlign w:val="center"/>
            <w:hideMark/>
          </w:tcPr>
          <w:p w14:paraId="3F756D64" w14:textId="77777777" w:rsidR="00295FAE" w:rsidRPr="00295FAE" w:rsidRDefault="00295FAE" w:rsidP="00295FAE">
            <w:pPr>
              <w:spacing w:line="600" w:lineRule="auto"/>
              <w:rPr>
                <w:rFonts w:ascii="Arial" w:hAnsi="Arial" w:cs="Arial"/>
              </w:rPr>
            </w:pPr>
            <w:r w:rsidRPr="00295FAE">
              <w:rPr>
                <w:rFonts w:ascii="Arial" w:hAnsi="Arial" w:cs="Arial"/>
                <w:color w:val="4472C4" w:themeColor="accent1"/>
              </w:rPr>
              <w:t>A</w:t>
            </w:r>
            <w:r w:rsidRPr="00295FAE">
              <w:rPr>
                <w:rFonts w:ascii="Arial" w:hAnsi="Arial" w:cs="Arial"/>
              </w:rPr>
              <w:t xml:space="preserve"> (ops)</w:t>
            </w:r>
          </w:p>
        </w:tc>
        <w:tc>
          <w:tcPr>
            <w:tcW w:w="0" w:type="auto"/>
            <w:shd w:val="clear" w:color="auto" w:fill="FFF2CC" w:themeFill="accent4" w:themeFillTint="33"/>
            <w:tcMar>
              <w:top w:w="150" w:type="dxa"/>
              <w:left w:w="240" w:type="dxa"/>
              <w:bottom w:w="150" w:type="dxa"/>
              <w:right w:w="240" w:type="dxa"/>
            </w:tcMar>
            <w:vAlign w:val="center"/>
            <w:hideMark/>
          </w:tcPr>
          <w:p w14:paraId="16F2626F" w14:textId="77777777" w:rsidR="00295FAE" w:rsidRPr="00295FAE" w:rsidRDefault="00295FAE" w:rsidP="00295FAE">
            <w:pPr>
              <w:spacing w:line="600" w:lineRule="auto"/>
              <w:rPr>
                <w:rFonts w:ascii="Arial" w:hAnsi="Arial" w:cs="Arial"/>
              </w:rPr>
            </w:pPr>
            <w:r w:rsidRPr="00295FAE">
              <w:rPr>
                <w:rFonts w:ascii="Arial" w:hAnsi="Arial" w:cs="Arial"/>
                <w:color w:val="ED7D31" w:themeColor="accent2"/>
              </w:rPr>
              <w:t>R</w:t>
            </w:r>
            <w:r w:rsidRPr="00295FAE">
              <w:rPr>
                <w:rFonts w:ascii="Arial" w:hAnsi="Arial" w:cs="Arial"/>
              </w:rPr>
              <w:t xml:space="preserve"> (execute)</w:t>
            </w:r>
          </w:p>
        </w:tc>
        <w:tc>
          <w:tcPr>
            <w:tcW w:w="0" w:type="auto"/>
            <w:shd w:val="clear" w:color="auto" w:fill="FFF2CC" w:themeFill="accent4" w:themeFillTint="33"/>
            <w:tcMar>
              <w:top w:w="150" w:type="dxa"/>
              <w:left w:w="240" w:type="dxa"/>
              <w:bottom w:w="150" w:type="dxa"/>
              <w:right w:w="240" w:type="dxa"/>
            </w:tcMar>
            <w:vAlign w:val="center"/>
            <w:hideMark/>
          </w:tcPr>
          <w:p w14:paraId="6BB6EC47" w14:textId="77777777" w:rsidR="00295FAE" w:rsidRPr="00295FAE" w:rsidRDefault="00295FAE" w:rsidP="00295FAE">
            <w:pPr>
              <w:spacing w:line="600" w:lineRule="auto"/>
              <w:rPr>
                <w:rFonts w:ascii="Arial" w:hAnsi="Arial" w:cs="Arial"/>
              </w:rPr>
            </w:pPr>
            <w:r w:rsidRPr="00295FAE">
              <w:rPr>
                <w:rFonts w:ascii="Arial" w:hAnsi="Arial" w:cs="Arial"/>
                <w:color w:val="EE0000"/>
              </w:rPr>
              <w:t>C</w:t>
            </w:r>
            <w:r w:rsidRPr="00295FAE">
              <w:rPr>
                <w:rFonts w:ascii="Arial" w:hAnsi="Arial" w:cs="Arial"/>
              </w:rPr>
              <w:t xml:space="preserve"> (support)</w:t>
            </w:r>
          </w:p>
        </w:tc>
        <w:tc>
          <w:tcPr>
            <w:tcW w:w="0" w:type="auto"/>
            <w:shd w:val="clear" w:color="auto" w:fill="FFF2CC" w:themeFill="accent4" w:themeFillTint="33"/>
            <w:tcMar>
              <w:top w:w="150" w:type="dxa"/>
              <w:left w:w="240" w:type="dxa"/>
              <w:bottom w:w="150" w:type="dxa"/>
              <w:right w:w="0" w:type="dxa"/>
            </w:tcMar>
            <w:vAlign w:val="center"/>
            <w:hideMark/>
          </w:tcPr>
          <w:p w14:paraId="63934339" w14:textId="77777777" w:rsidR="00295FAE" w:rsidRPr="00295FAE" w:rsidRDefault="00295FAE" w:rsidP="00295FAE">
            <w:pPr>
              <w:spacing w:line="600" w:lineRule="auto"/>
              <w:rPr>
                <w:rFonts w:ascii="Arial" w:hAnsi="Arial" w:cs="Arial"/>
              </w:rPr>
            </w:pPr>
            <w:r w:rsidRPr="00295FAE">
              <w:rPr>
                <w:rFonts w:ascii="Arial" w:hAnsi="Arial" w:cs="Arial"/>
                <w:color w:val="EE0000"/>
              </w:rPr>
              <w:t>C</w:t>
            </w:r>
          </w:p>
        </w:tc>
      </w:tr>
    </w:tbl>
    <w:p w14:paraId="030F38F3" w14:textId="57717EE5" w:rsidR="00295FAE" w:rsidRPr="00295FAE" w:rsidRDefault="00295FAE" w:rsidP="00295FAE">
      <w:pPr>
        <w:spacing w:line="600" w:lineRule="auto"/>
        <w:rPr>
          <w:rFonts w:ascii="Arial" w:hAnsi="Arial" w:cs="Arial"/>
        </w:rPr>
      </w:pPr>
      <w:r w:rsidRPr="00295FAE">
        <w:rPr>
          <w:rFonts w:ascii="Arial" w:hAnsi="Arial" w:cs="Arial"/>
          <w:b/>
          <w:bCs/>
          <w:color w:val="ED7D31" w:themeColor="accent2"/>
        </w:rPr>
        <w:lastRenderedPageBreak/>
        <w:t>R</w:t>
      </w:r>
      <w:r w:rsidRPr="00295FAE">
        <w:rPr>
          <w:rFonts w:ascii="Arial" w:hAnsi="Arial" w:cs="Arial"/>
        </w:rPr>
        <w:t> = Responsible (does the work)</w:t>
      </w:r>
      <w:r w:rsidR="008158DB">
        <w:rPr>
          <w:rFonts w:ascii="Arial" w:hAnsi="Arial" w:cs="Arial"/>
        </w:rPr>
        <w:t xml:space="preserve">                         </w:t>
      </w:r>
      <w:r w:rsidRPr="00295FAE">
        <w:rPr>
          <w:rFonts w:ascii="Arial" w:hAnsi="Arial" w:cs="Arial"/>
          <w:b/>
          <w:bCs/>
          <w:color w:val="4472C4" w:themeColor="accent1"/>
        </w:rPr>
        <w:t>A</w:t>
      </w:r>
      <w:r w:rsidRPr="00295FAE">
        <w:rPr>
          <w:rFonts w:ascii="Arial" w:hAnsi="Arial" w:cs="Arial"/>
        </w:rPr>
        <w:t> = Accountable (signs off)</w:t>
      </w:r>
      <w:r w:rsidRPr="00295FAE">
        <w:rPr>
          <w:rFonts w:ascii="Arial" w:hAnsi="Arial" w:cs="Arial"/>
        </w:rPr>
        <w:br/>
      </w:r>
      <w:r w:rsidRPr="00295FAE">
        <w:rPr>
          <w:rFonts w:ascii="Arial" w:hAnsi="Arial" w:cs="Arial"/>
          <w:b/>
          <w:bCs/>
          <w:color w:val="EE0000"/>
        </w:rPr>
        <w:t>C</w:t>
      </w:r>
      <w:r w:rsidRPr="00295FAE">
        <w:rPr>
          <w:rFonts w:ascii="Arial" w:hAnsi="Arial" w:cs="Arial"/>
        </w:rPr>
        <w:t> = Consulted (two-way communication)</w:t>
      </w:r>
      <w:r w:rsidR="008158DB">
        <w:rPr>
          <w:rFonts w:ascii="Arial" w:hAnsi="Arial" w:cs="Arial"/>
        </w:rPr>
        <w:t xml:space="preserve">           </w:t>
      </w:r>
      <w:r w:rsidRPr="00295FAE">
        <w:rPr>
          <w:rFonts w:ascii="Arial" w:hAnsi="Arial" w:cs="Arial"/>
          <w:b/>
          <w:bCs/>
        </w:rPr>
        <w:t>I)</w:t>
      </w:r>
      <w:r w:rsidRPr="00295FAE">
        <w:rPr>
          <w:rFonts w:ascii="Arial" w:hAnsi="Arial" w:cs="Arial"/>
        </w:rPr>
        <w:t> = Informed (one-way communication)</w:t>
      </w:r>
    </w:p>
    <w:p w14:paraId="7A086F9B" w14:textId="77777777" w:rsidR="00295FAE" w:rsidRPr="00295FAE" w:rsidRDefault="00295FAE" w:rsidP="00295FAE">
      <w:pPr>
        <w:spacing w:line="600" w:lineRule="auto"/>
        <w:rPr>
          <w:rFonts w:ascii="Arial" w:hAnsi="Arial" w:cs="Arial"/>
        </w:rPr>
      </w:pPr>
      <w:r w:rsidRPr="00295FAE">
        <w:rPr>
          <w:rFonts w:ascii="Arial" w:hAnsi="Arial" w:cs="Arial"/>
          <w:i/>
          <w:iCs/>
        </w:rPr>
        <w:t>Critical insight:</w:t>
      </w:r>
      <w:r w:rsidRPr="00295FAE">
        <w:rPr>
          <w:rFonts w:ascii="Arial" w:hAnsi="Arial" w:cs="Arial"/>
        </w:rPr>
        <w:t> The RACI clarifies that the GM London is Accountable for training, not HR, which avoids a common ambiguity. The vendor is Responsible for providing a demo but not Accountable for final selection.</w:t>
      </w:r>
    </w:p>
    <w:p w14:paraId="30AE8965" w14:textId="77777777" w:rsidR="00295FAE" w:rsidRPr="00295FAE" w:rsidRDefault="00295FAE" w:rsidP="00295FAE">
      <w:pPr>
        <w:spacing w:line="600" w:lineRule="auto"/>
        <w:rPr>
          <w:rFonts w:ascii="Arial" w:hAnsi="Arial" w:cs="Arial"/>
          <w:b/>
          <w:bCs/>
          <w:sz w:val="24"/>
          <w:szCs w:val="24"/>
        </w:rPr>
      </w:pPr>
      <w:r w:rsidRPr="00295FAE">
        <w:rPr>
          <w:rFonts w:ascii="Arial" w:hAnsi="Arial" w:cs="Arial"/>
          <w:b/>
          <w:bCs/>
          <w:sz w:val="24"/>
          <w:szCs w:val="24"/>
        </w:rPr>
        <w:t>7.3 Communication Plan</w:t>
      </w:r>
    </w:p>
    <w:tbl>
      <w:tblPr>
        <w:tblW w:w="0" w:type="auto"/>
        <w:shd w:val="clear" w:color="auto" w:fill="D0CECE" w:themeFill="background2" w:themeFillShade="E6"/>
        <w:tblCellMar>
          <w:top w:w="15" w:type="dxa"/>
          <w:left w:w="15" w:type="dxa"/>
          <w:bottom w:w="15" w:type="dxa"/>
          <w:right w:w="15" w:type="dxa"/>
        </w:tblCellMar>
        <w:tblLook w:val="04A0" w:firstRow="1" w:lastRow="0" w:firstColumn="1" w:lastColumn="0" w:noHBand="0" w:noVBand="1"/>
      </w:tblPr>
      <w:tblGrid>
        <w:gridCol w:w="1552"/>
        <w:gridCol w:w="1833"/>
        <w:gridCol w:w="2158"/>
        <w:gridCol w:w="1508"/>
        <w:gridCol w:w="1975"/>
      </w:tblGrid>
      <w:tr w:rsidR="00295FAE" w:rsidRPr="00295FAE" w14:paraId="527B80BA" w14:textId="77777777" w:rsidTr="003A2FF2">
        <w:trPr>
          <w:tblHeader/>
        </w:trPr>
        <w:tc>
          <w:tcPr>
            <w:tcW w:w="0" w:type="auto"/>
            <w:tcBorders>
              <w:top w:val="nil"/>
            </w:tcBorders>
            <w:shd w:val="clear" w:color="auto" w:fill="D0CECE" w:themeFill="background2" w:themeFillShade="E6"/>
            <w:tcMar>
              <w:top w:w="150" w:type="dxa"/>
              <w:left w:w="0" w:type="dxa"/>
              <w:bottom w:w="150" w:type="dxa"/>
              <w:right w:w="240" w:type="dxa"/>
            </w:tcMar>
            <w:vAlign w:val="center"/>
            <w:hideMark/>
          </w:tcPr>
          <w:p w14:paraId="32D9AA74" w14:textId="77777777" w:rsidR="00295FAE" w:rsidRPr="00295FAE" w:rsidRDefault="00295FAE" w:rsidP="00295FAE">
            <w:pPr>
              <w:spacing w:line="600" w:lineRule="auto"/>
              <w:rPr>
                <w:rFonts w:ascii="Arial" w:hAnsi="Arial" w:cs="Arial"/>
              </w:rPr>
            </w:pPr>
            <w:r w:rsidRPr="00295FAE">
              <w:rPr>
                <w:rFonts w:ascii="Arial" w:hAnsi="Arial" w:cs="Arial"/>
              </w:rPr>
              <w:t>Stakeholder</w:t>
            </w:r>
          </w:p>
        </w:tc>
        <w:tc>
          <w:tcPr>
            <w:tcW w:w="0" w:type="auto"/>
            <w:tcBorders>
              <w:top w:val="nil"/>
            </w:tcBorders>
            <w:shd w:val="clear" w:color="auto" w:fill="D0CECE" w:themeFill="background2" w:themeFillShade="E6"/>
            <w:tcMar>
              <w:top w:w="150" w:type="dxa"/>
              <w:left w:w="240" w:type="dxa"/>
              <w:bottom w:w="150" w:type="dxa"/>
              <w:right w:w="240" w:type="dxa"/>
            </w:tcMar>
            <w:vAlign w:val="center"/>
            <w:hideMark/>
          </w:tcPr>
          <w:p w14:paraId="636CF7E9" w14:textId="77777777" w:rsidR="00295FAE" w:rsidRPr="00295FAE" w:rsidRDefault="00295FAE" w:rsidP="00295FAE">
            <w:pPr>
              <w:spacing w:line="600" w:lineRule="auto"/>
              <w:rPr>
                <w:rFonts w:ascii="Arial" w:hAnsi="Arial" w:cs="Arial"/>
              </w:rPr>
            </w:pPr>
            <w:r w:rsidRPr="00295FAE">
              <w:rPr>
                <w:rFonts w:ascii="Arial" w:hAnsi="Arial" w:cs="Arial"/>
              </w:rPr>
              <w:t>Frequency</w:t>
            </w:r>
          </w:p>
        </w:tc>
        <w:tc>
          <w:tcPr>
            <w:tcW w:w="0" w:type="auto"/>
            <w:tcBorders>
              <w:top w:val="nil"/>
            </w:tcBorders>
            <w:shd w:val="clear" w:color="auto" w:fill="D0CECE" w:themeFill="background2" w:themeFillShade="E6"/>
            <w:tcMar>
              <w:top w:w="150" w:type="dxa"/>
              <w:left w:w="240" w:type="dxa"/>
              <w:bottom w:w="150" w:type="dxa"/>
              <w:right w:w="240" w:type="dxa"/>
            </w:tcMar>
            <w:vAlign w:val="center"/>
            <w:hideMark/>
          </w:tcPr>
          <w:p w14:paraId="666F8254" w14:textId="77777777" w:rsidR="00295FAE" w:rsidRPr="00295FAE" w:rsidRDefault="00295FAE" w:rsidP="00295FAE">
            <w:pPr>
              <w:spacing w:line="600" w:lineRule="auto"/>
              <w:rPr>
                <w:rFonts w:ascii="Arial" w:hAnsi="Arial" w:cs="Arial"/>
              </w:rPr>
            </w:pPr>
            <w:r w:rsidRPr="00295FAE">
              <w:rPr>
                <w:rFonts w:ascii="Arial" w:hAnsi="Arial" w:cs="Arial"/>
              </w:rPr>
              <w:t>Channel</w:t>
            </w:r>
          </w:p>
        </w:tc>
        <w:tc>
          <w:tcPr>
            <w:tcW w:w="0" w:type="auto"/>
            <w:tcBorders>
              <w:top w:val="nil"/>
            </w:tcBorders>
            <w:shd w:val="clear" w:color="auto" w:fill="D0CECE" w:themeFill="background2" w:themeFillShade="E6"/>
            <w:tcMar>
              <w:top w:w="150" w:type="dxa"/>
              <w:left w:w="240" w:type="dxa"/>
              <w:bottom w:w="150" w:type="dxa"/>
              <w:right w:w="240" w:type="dxa"/>
            </w:tcMar>
            <w:vAlign w:val="center"/>
            <w:hideMark/>
          </w:tcPr>
          <w:p w14:paraId="5EE7C4CE" w14:textId="77777777" w:rsidR="00295FAE" w:rsidRPr="00295FAE" w:rsidRDefault="00295FAE" w:rsidP="00295FAE">
            <w:pPr>
              <w:spacing w:line="600" w:lineRule="auto"/>
              <w:rPr>
                <w:rFonts w:ascii="Arial" w:hAnsi="Arial" w:cs="Arial"/>
              </w:rPr>
            </w:pPr>
            <w:r w:rsidRPr="00295FAE">
              <w:rPr>
                <w:rFonts w:ascii="Arial" w:hAnsi="Arial" w:cs="Arial"/>
              </w:rPr>
              <w:t>Owner</w:t>
            </w:r>
          </w:p>
        </w:tc>
        <w:tc>
          <w:tcPr>
            <w:tcW w:w="0" w:type="auto"/>
            <w:tcBorders>
              <w:top w:val="nil"/>
            </w:tcBorders>
            <w:shd w:val="clear" w:color="auto" w:fill="D0CECE" w:themeFill="background2" w:themeFillShade="E6"/>
            <w:tcMar>
              <w:top w:w="150" w:type="dxa"/>
              <w:left w:w="240" w:type="dxa"/>
              <w:bottom w:w="150" w:type="dxa"/>
              <w:right w:w="240" w:type="dxa"/>
            </w:tcMar>
            <w:vAlign w:val="center"/>
            <w:hideMark/>
          </w:tcPr>
          <w:p w14:paraId="7C75E913" w14:textId="77777777" w:rsidR="00295FAE" w:rsidRPr="00295FAE" w:rsidRDefault="00295FAE" w:rsidP="00295FAE">
            <w:pPr>
              <w:spacing w:line="600" w:lineRule="auto"/>
              <w:rPr>
                <w:rFonts w:ascii="Arial" w:hAnsi="Arial" w:cs="Arial"/>
              </w:rPr>
            </w:pPr>
            <w:r w:rsidRPr="00295FAE">
              <w:rPr>
                <w:rFonts w:ascii="Arial" w:hAnsi="Arial" w:cs="Arial"/>
              </w:rPr>
              <w:t>Message Type</w:t>
            </w:r>
          </w:p>
        </w:tc>
      </w:tr>
      <w:tr w:rsidR="00295FAE" w:rsidRPr="00295FAE" w14:paraId="6B4B5DEF" w14:textId="77777777" w:rsidTr="003A2FF2">
        <w:tc>
          <w:tcPr>
            <w:tcW w:w="0" w:type="auto"/>
            <w:shd w:val="clear" w:color="auto" w:fill="D0CECE" w:themeFill="background2" w:themeFillShade="E6"/>
            <w:tcMar>
              <w:top w:w="150" w:type="dxa"/>
              <w:left w:w="0" w:type="dxa"/>
              <w:bottom w:w="150" w:type="dxa"/>
              <w:right w:w="240" w:type="dxa"/>
            </w:tcMar>
            <w:vAlign w:val="center"/>
            <w:hideMark/>
          </w:tcPr>
          <w:p w14:paraId="67063F1A" w14:textId="77777777" w:rsidR="00295FAE" w:rsidRPr="00295FAE" w:rsidRDefault="00295FAE" w:rsidP="00295FAE">
            <w:pPr>
              <w:spacing w:line="600" w:lineRule="auto"/>
              <w:rPr>
                <w:rFonts w:ascii="Arial" w:hAnsi="Arial" w:cs="Arial"/>
              </w:rPr>
            </w:pPr>
            <w:r w:rsidRPr="00295FAE">
              <w:rPr>
                <w:rFonts w:ascii="Arial" w:hAnsi="Arial" w:cs="Arial"/>
              </w:rPr>
              <w:t>COO</w:t>
            </w:r>
          </w:p>
        </w:tc>
        <w:tc>
          <w:tcPr>
            <w:tcW w:w="0" w:type="auto"/>
            <w:shd w:val="clear" w:color="auto" w:fill="D0CECE" w:themeFill="background2" w:themeFillShade="E6"/>
            <w:tcMar>
              <w:top w:w="150" w:type="dxa"/>
              <w:left w:w="240" w:type="dxa"/>
              <w:bottom w:w="150" w:type="dxa"/>
              <w:right w:w="240" w:type="dxa"/>
            </w:tcMar>
            <w:vAlign w:val="center"/>
            <w:hideMark/>
          </w:tcPr>
          <w:p w14:paraId="75AFB8FC" w14:textId="77777777" w:rsidR="00295FAE" w:rsidRPr="00295FAE" w:rsidRDefault="00295FAE" w:rsidP="00295FAE">
            <w:pPr>
              <w:spacing w:line="600" w:lineRule="auto"/>
              <w:rPr>
                <w:rFonts w:ascii="Arial" w:hAnsi="Arial" w:cs="Arial"/>
              </w:rPr>
            </w:pPr>
            <w:r w:rsidRPr="00295FAE">
              <w:rPr>
                <w:rFonts w:ascii="Arial" w:hAnsi="Arial" w:cs="Arial"/>
              </w:rPr>
              <w:t>Weekly</w:t>
            </w:r>
          </w:p>
        </w:tc>
        <w:tc>
          <w:tcPr>
            <w:tcW w:w="0" w:type="auto"/>
            <w:shd w:val="clear" w:color="auto" w:fill="D0CECE" w:themeFill="background2" w:themeFillShade="E6"/>
            <w:tcMar>
              <w:top w:w="150" w:type="dxa"/>
              <w:left w:w="240" w:type="dxa"/>
              <w:bottom w:w="150" w:type="dxa"/>
              <w:right w:w="240" w:type="dxa"/>
            </w:tcMar>
            <w:vAlign w:val="center"/>
            <w:hideMark/>
          </w:tcPr>
          <w:p w14:paraId="71589501" w14:textId="77777777" w:rsidR="00295FAE" w:rsidRPr="00295FAE" w:rsidRDefault="00295FAE" w:rsidP="00295FAE">
            <w:pPr>
              <w:spacing w:line="600" w:lineRule="auto"/>
              <w:rPr>
                <w:rFonts w:ascii="Arial" w:hAnsi="Arial" w:cs="Arial"/>
              </w:rPr>
            </w:pPr>
            <w:r w:rsidRPr="00295FAE">
              <w:rPr>
                <w:rFonts w:ascii="Arial" w:hAnsi="Arial" w:cs="Arial"/>
              </w:rPr>
              <w:t>30-min meeting</w:t>
            </w:r>
          </w:p>
        </w:tc>
        <w:tc>
          <w:tcPr>
            <w:tcW w:w="0" w:type="auto"/>
            <w:shd w:val="clear" w:color="auto" w:fill="D0CECE" w:themeFill="background2" w:themeFillShade="E6"/>
            <w:tcMar>
              <w:top w:w="150" w:type="dxa"/>
              <w:left w:w="240" w:type="dxa"/>
              <w:bottom w:w="150" w:type="dxa"/>
              <w:right w:w="240" w:type="dxa"/>
            </w:tcMar>
            <w:vAlign w:val="center"/>
            <w:hideMark/>
          </w:tcPr>
          <w:p w14:paraId="6E593222" w14:textId="77777777" w:rsidR="00295FAE" w:rsidRPr="00295FAE" w:rsidRDefault="00295FAE" w:rsidP="00295FAE">
            <w:pPr>
              <w:spacing w:line="600" w:lineRule="auto"/>
              <w:rPr>
                <w:rFonts w:ascii="Arial" w:hAnsi="Arial" w:cs="Arial"/>
              </w:rPr>
            </w:pPr>
            <w:r w:rsidRPr="00295FAE">
              <w:rPr>
                <w:rFonts w:ascii="Arial" w:hAnsi="Arial" w:cs="Arial"/>
              </w:rPr>
              <w:t>PM</w:t>
            </w:r>
          </w:p>
        </w:tc>
        <w:tc>
          <w:tcPr>
            <w:tcW w:w="0" w:type="auto"/>
            <w:shd w:val="clear" w:color="auto" w:fill="D0CECE" w:themeFill="background2" w:themeFillShade="E6"/>
            <w:tcMar>
              <w:top w:w="150" w:type="dxa"/>
              <w:left w:w="240" w:type="dxa"/>
              <w:bottom w:w="150" w:type="dxa"/>
              <w:right w:w="0" w:type="dxa"/>
            </w:tcMar>
            <w:vAlign w:val="center"/>
            <w:hideMark/>
          </w:tcPr>
          <w:p w14:paraId="6EE53C68" w14:textId="77777777" w:rsidR="00295FAE" w:rsidRPr="00295FAE" w:rsidRDefault="00295FAE" w:rsidP="00295FAE">
            <w:pPr>
              <w:spacing w:line="600" w:lineRule="auto"/>
              <w:rPr>
                <w:rFonts w:ascii="Arial" w:hAnsi="Arial" w:cs="Arial"/>
              </w:rPr>
            </w:pPr>
            <w:r w:rsidRPr="00295FAE">
              <w:rPr>
                <w:rFonts w:ascii="Arial" w:hAnsi="Arial" w:cs="Arial"/>
              </w:rPr>
              <w:t>Status, risks, decisions needed</w:t>
            </w:r>
          </w:p>
        </w:tc>
      </w:tr>
      <w:tr w:rsidR="00295FAE" w:rsidRPr="00295FAE" w14:paraId="765EEBF0" w14:textId="77777777" w:rsidTr="003A2FF2">
        <w:tc>
          <w:tcPr>
            <w:tcW w:w="0" w:type="auto"/>
            <w:shd w:val="clear" w:color="auto" w:fill="D0CECE" w:themeFill="background2" w:themeFillShade="E6"/>
            <w:tcMar>
              <w:top w:w="150" w:type="dxa"/>
              <w:left w:w="0" w:type="dxa"/>
              <w:bottom w:w="150" w:type="dxa"/>
              <w:right w:w="240" w:type="dxa"/>
            </w:tcMar>
            <w:vAlign w:val="center"/>
            <w:hideMark/>
          </w:tcPr>
          <w:p w14:paraId="455F9947" w14:textId="77777777" w:rsidR="00295FAE" w:rsidRPr="00295FAE" w:rsidRDefault="00295FAE" w:rsidP="00295FAE">
            <w:pPr>
              <w:spacing w:line="600" w:lineRule="auto"/>
              <w:rPr>
                <w:rFonts w:ascii="Arial" w:hAnsi="Arial" w:cs="Arial"/>
              </w:rPr>
            </w:pPr>
            <w:r w:rsidRPr="00295FAE">
              <w:rPr>
                <w:rFonts w:ascii="Arial" w:hAnsi="Arial" w:cs="Arial"/>
              </w:rPr>
              <w:t>IT Director</w:t>
            </w:r>
          </w:p>
        </w:tc>
        <w:tc>
          <w:tcPr>
            <w:tcW w:w="0" w:type="auto"/>
            <w:shd w:val="clear" w:color="auto" w:fill="D0CECE" w:themeFill="background2" w:themeFillShade="E6"/>
            <w:tcMar>
              <w:top w:w="150" w:type="dxa"/>
              <w:left w:w="240" w:type="dxa"/>
              <w:bottom w:w="150" w:type="dxa"/>
              <w:right w:w="240" w:type="dxa"/>
            </w:tcMar>
            <w:vAlign w:val="center"/>
            <w:hideMark/>
          </w:tcPr>
          <w:p w14:paraId="7F881194" w14:textId="77777777" w:rsidR="00295FAE" w:rsidRPr="00295FAE" w:rsidRDefault="00295FAE" w:rsidP="00295FAE">
            <w:pPr>
              <w:spacing w:line="600" w:lineRule="auto"/>
              <w:rPr>
                <w:rFonts w:ascii="Arial" w:hAnsi="Arial" w:cs="Arial"/>
              </w:rPr>
            </w:pPr>
            <w:r w:rsidRPr="00295FAE">
              <w:rPr>
                <w:rFonts w:ascii="Arial" w:hAnsi="Arial" w:cs="Arial"/>
              </w:rPr>
              <w:t>Twice weekly</w:t>
            </w:r>
          </w:p>
        </w:tc>
        <w:tc>
          <w:tcPr>
            <w:tcW w:w="0" w:type="auto"/>
            <w:shd w:val="clear" w:color="auto" w:fill="D0CECE" w:themeFill="background2" w:themeFillShade="E6"/>
            <w:tcMar>
              <w:top w:w="150" w:type="dxa"/>
              <w:left w:w="240" w:type="dxa"/>
              <w:bottom w:w="150" w:type="dxa"/>
              <w:right w:w="240" w:type="dxa"/>
            </w:tcMar>
            <w:vAlign w:val="center"/>
            <w:hideMark/>
          </w:tcPr>
          <w:p w14:paraId="22176456" w14:textId="77777777" w:rsidR="00295FAE" w:rsidRPr="00295FAE" w:rsidRDefault="00295FAE" w:rsidP="00295FAE">
            <w:pPr>
              <w:spacing w:line="600" w:lineRule="auto"/>
              <w:rPr>
                <w:rFonts w:ascii="Arial" w:hAnsi="Arial" w:cs="Arial"/>
              </w:rPr>
            </w:pPr>
            <w:r w:rsidRPr="00295FAE">
              <w:rPr>
                <w:rFonts w:ascii="Arial" w:hAnsi="Arial" w:cs="Arial"/>
              </w:rPr>
              <w:t>Slack + brief call</w:t>
            </w:r>
          </w:p>
        </w:tc>
        <w:tc>
          <w:tcPr>
            <w:tcW w:w="0" w:type="auto"/>
            <w:shd w:val="clear" w:color="auto" w:fill="D0CECE" w:themeFill="background2" w:themeFillShade="E6"/>
            <w:tcMar>
              <w:top w:w="150" w:type="dxa"/>
              <w:left w:w="240" w:type="dxa"/>
              <w:bottom w:w="150" w:type="dxa"/>
              <w:right w:w="240" w:type="dxa"/>
            </w:tcMar>
            <w:vAlign w:val="center"/>
            <w:hideMark/>
          </w:tcPr>
          <w:p w14:paraId="7670FD99" w14:textId="77777777" w:rsidR="00295FAE" w:rsidRPr="00295FAE" w:rsidRDefault="00295FAE" w:rsidP="00295FAE">
            <w:pPr>
              <w:spacing w:line="600" w:lineRule="auto"/>
              <w:rPr>
                <w:rFonts w:ascii="Arial" w:hAnsi="Arial" w:cs="Arial"/>
              </w:rPr>
            </w:pPr>
            <w:r w:rsidRPr="00295FAE">
              <w:rPr>
                <w:rFonts w:ascii="Arial" w:hAnsi="Arial" w:cs="Arial"/>
              </w:rPr>
              <w:t>PM</w:t>
            </w:r>
          </w:p>
        </w:tc>
        <w:tc>
          <w:tcPr>
            <w:tcW w:w="0" w:type="auto"/>
            <w:shd w:val="clear" w:color="auto" w:fill="D0CECE" w:themeFill="background2" w:themeFillShade="E6"/>
            <w:tcMar>
              <w:top w:w="150" w:type="dxa"/>
              <w:left w:w="240" w:type="dxa"/>
              <w:bottom w:w="150" w:type="dxa"/>
              <w:right w:w="0" w:type="dxa"/>
            </w:tcMar>
            <w:vAlign w:val="center"/>
            <w:hideMark/>
          </w:tcPr>
          <w:p w14:paraId="67BDC5EC" w14:textId="77777777" w:rsidR="00295FAE" w:rsidRPr="00295FAE" w:rsidRDefault="00295FAE" w:rsidP="00295FAE">
            <w:pPr>
              <w:spacing w:line="600" w:lineRule="auto"/>
              <w:rPr>
                <w:rFonts w:ascii="Arial" w:hAnsi="Arial" w:cs="Arial"/>
              </w:rPr>
            </w:pPr>
            <w:r w:rsidRPr="00295FAE">
              <w:rPr>
                <w:rFonts w:ascii="Arial" w:hAnsi="Arial" w:cs="Arial"/>
              </w:rPr>
              <w:t>Technical integration updates</w:t>
            </w:r>
          </w:p>
        </w:tc>
      </w:tr>
      <w:tr w:rsidR="00295FAE" w:rsidRPr="00295FAE" w14:paraId="11F1E61E" w14:textId="77777777" w:rsidTr="003A2FF2">
        <w:tc>
          <w:tcPr>
            <w:tcW w:w="0" w:type="auto"/>
            <w:shd w:val="clear" w:color="auto" w:fill="D0CECE" w:themeFill="background2" w:themeFillShade="E6"/>
            <w:tcMar>
              <w:top w:w="150" w:type="dxa"/>
              <w:left w:w="0" w:type="dxa"/>
              <w:bottom w:w="150" w:type="dxa"/>
              <w:right w:w="240" w:type="dxa"/>
            </w:tcMar>
            <w:vAlign w:val="center"/>
            <w:hideMark/>
          </w:tcPr>
          <w:p w14:paraId="328E4409" w14:textId="77777777" w:rsidR="00295FAE" w:rsidRPr="00295FAE" w:rsidRDefault="00295FAE" w:rsidP="00295FAE">
            <w:pPr>
              <w:spacing w:line="600" w:lineRule="auto"/>
              <w:rPr>
                <w:rFonts w:ascii="Arial" w:hAnsi="Arial" w:cs="Arial"/>
              </w:rPr>
            </w:pPr>
            <w:r w:rsidRPr="00295FAE">
              <w:rPr>
                <w:rFonts w:ascii="Arial" w:hAnsi="Arial" w:cs="Arial"/>
              </w:rPr>
              <w:t>Front-line staff</w:t>
            </w:r>
          </w:p>
        </w:tc>
        <w:tc>
          <w:tcPr>
            <w:tcW w:w="0" w:type="auto"/>
            <w:shd w:val="clear" w:color="auto" w:fill="D0CECE" w:themeFill="background2" w:themeFillShade="E6"/>
            <w:tcMar>
              <w:top w:w="150" w:type="dxa"/>
              <w:left w:w="240" w:type="dxa"/>
              <w:bottom w:w="150" w:type="dxa"/>
              <w:right w:w="240" w:type="dxa"/>
            </w:tcMar>
            <w:vAlign w:val="center"/>
            <w:hideMark/>
          </w:tcPr>
          <w:p w14:paraId="16D4CBD6" w14:textId="77777777" w:rsidR="00295FAE" w:rsidRPr="00295FAE" w:rsidRDefault="00295FAE" w:rsidP="00295FAE">
            <w:pPr>
              <w:spacing w:line="600" w:lineRule="auto"/>
              <w:rPr>
                <w:rFonts w:ascii="Arial" w:hAnsi="Arial" w:cs="Arial"/>
              </w:rPr>
            </w:pPr>
            <w:r w:rsidRPr="00295FAE">
              <w:rPr>
                <w:rFonts w:ascii="Arial" w:hAnsi="Arial" w:cs="Arial"/>
              </w:rPr>
              <w:t>Weekly</w:t>
            </w:r>
          </w:p>
        </w:tc>
        <w:tc>
          <w:tcPr>
            <w:tcW w:w="0" w:type="auto"/>
            <w:shd w:val="clear" w:color="auto" w:fill="D0CECE" w:themeFill="background2" w:themeFillShade="E6"/>
            <w:tcMar>
              <w:top w:w="150" w:type="dxa"/>
              <w:left w:w="240" w:type="dxa"/>
              <w:bottom w:w="150" w:type="dxa"/>
              <w:right w:w="240" w:type="dxa"/>
            </w:tcMar>
            <w:vAlign w:val="center"/>
            <w:hideMark/>
          </w:tcPr>
          <w:p w14:paraId="7C9C9DEA" w14:textId="77777777" w:rsidR="00295FAE" w:rsidRPr="00295FAE" w:rsidRDefault="00295FAE" w:rsidP="00295FAE">
            <w:pPr>
              <w:spacing w:line="600" w:lineRule="auto"/>
              <w:rPr>
                <w:rFonts w:ascii="Arial" w:hAnsi="Arial" w:cs="Arial"/>
              </w:rPr>
            </w:pPr>
            <w:r w:rsidRPr="00295FAE">
              <w:rPr>
                <w:rFonts w:ascii="Arial" w:hAnsi="Arial" w:cs="Arial"/>
              </w:rPr>
              <w:t>Email digest + monthly town hall</w:t>
            </w:r>
          </w:p>
        </w:tc>
        <w:tc>
          <w:tcPr>
            <w:tcW w:w="0" w:type="auto"/>
            <w:shd w:val="clear" w:color="auto" w:fill="D0CECE" w:themeFill="background2" w:themeFillShade="E6"/>
            <w:tcMar>
              <w:top w:w="150" w:type="dxa"/>
              <w:left w:w="240" w:type="dxa"/>
              <w:bottom w:w="150" w:type="dxa"/>
              <w:right w:w="240" w:type="dxa"/>
            </w:tcMar>
            <w:vAlign w:val="center"/>
            <w:hideMark/>
          </w:tcPr>
          <w:p w14:paraId="1F631DA9" w14:textId="77777777" w:rsidR="00295FAE" w:rsidRPr="00295FAE" w:rsidRDefault="00295FAE" w:rsidP="00295FAE">
            <w:pPr>
              <w:spacing w:line="600" w:lineRule="auto"/>
              <w:rPr>
                <w:rFonts w:ascii="Arial" w:hAnsi="Arial" w:cs="Arial"/>
              </w:rPr>
            </w:pPr>
            <w:r w:rsidRPr="00295FAE">
              <w:rPr>
                <w:rFonts w:ascii="Arial" w:hAnsi="Arial" w:cs="Arial"/>
              </w:rPr>
              <w:t>GM London</w:t>
            </w:r>
          </w:p>
        </w:tc>
        <w:tc>
          <w:tcPr>
            <w:tcW w:w="0" w:type="auto"/>
            <w:shd w:val="clear" w:color="auto" w:fill="D0CECE" w:themeFill="background2" w:themeFillShade="E6"/>
            <w:tcMar>
              <w:top w:w="150" w:type="dxa"/>
              <w:left w:w="240" w:type="dxa"/>
              <w:bottom w:w="150" w:type="dxa"/>
              <w:right w:w="0" w:type="dxa"/>
            </w:tcMar>
            <w:vAlign w:val="center"/>
            <w:hideMark/>
          </w:tcPr>
          <w:p w14:paraId="3875956A" w14:textId="77777777" w:rsidR="00295FAE" w:rsidRPr="00295FAE" w:rsidRDefault="00295FAE" w:rsidP="00295FAE">
            <w:pPr>
              <w:spacing w:line="600" w:lineRule="auto"/>
              <w:rPr>
                <w:rFonts w:ascii="Arial" w:hAnsi="Arial" w:cs="Arial"/>
              </w:rPr>
            </w:pPr>
            <w:r w:rsidRPr="00295FAE">
              <w:rPr>
                <w:rFonts w:ascii="Arial" w:hAnsi="Arial" w:cs="Arial"/>
              </w:rPr>
              <w:t>How-to tips, FAQs, recognition</w:t>
            </w:r>
          </w:p>
        </w:tc>
      </w:tr>
      <w:tr w:rsidR="00295FAE" w:rsidRPr="00295FAE" w14:paraId="1C02C803" w14:textId="77777777" w:rsidTr="003A2FF2">
        <w:tc>
          <w:tcPr>
            <w:tcW w:w="0" w:type="auto"/>
            <w:shd w:val="clear" w:color="auto" w:fill="D0CECE" w:themeFill="background2" w:themeFillShade="E6"/>
            <w:tcMar>
              <w:top w:w="150" w:type="dxa"/>
              <w:left w:w="0" w:type="dxa"/>
              <w:bottom w:w="150" w:type="dxa"/>
              <w:right w:w="240" w:type="dxa"/>
            </w:tcMar>
            <w:vAlign w:val="center"/>
            <w:hideMark/>
          </w:tcPr>
          <w:p w14:paraId="0815C1E0" w14:textId="77777777" w:rsidR="00295FAE" w:rsidRPr="00295FAE" w:rsidRDefault="00295FAE" w:rsidP="00295FAE">
            <w:pPr>
              <w:spacing w:line="600" w:lineRule="auto"/>
              <w:rPr>
                <w:rFonts w:ascii="Arial" w:hAnsi="Arial" w:cs="Arial"/>
              </w:rPr>
            </w:pPr>
            <w:r w:rsidRPr="00295FAE">
              <w:rPr>
                <w:rFonts w:ascii="Arial" w:hAnsi="Arial" w:cs="Arial"/>
              </w:rPr>
              <w:lastRenderedPageBreak/>
              <w:t>Premium guests</w:t>
            </w:r>
          </w:p>
        </w:tc>
        <w:tc>
          <w:tcPr>
            <w:tcW w:w="0" w:type="auto"/>
            <w:shd w:val="clear" w:color="auto" w:fill="D0CECE" w:themeFill="background2" w:themeFillShade="E6"/>
            <w:tcMar>
              <w:top w:w="150" w:type="dxa"/>
              <w:left w:w="240" w:type="dxa"/>
              <w:bottom w:w="150" w:type="dxa"/>
              <w:right w:w="240" w:type="dxa"/>
            </w:tcMar>
            <w:vAlign w:val="center"/>
            <w:hideMark/>
          </w:tcPr>
          <w:p w14:paraId="45BB71F6" w14:textId="77777777" w:rsidR="00295FAE" w:rsidRPr="00295FAE" w:rsidRDefault="00295FAE" w:rsidP="00295FAE">
            <w:pPr>
              <w:spacing w:line="600" w:lineRule="auto"/>
              <w:rPr>
                <w:rFonts w:ascii="Arial" w:hAnsi="Arial" w:cs="Arial"/>
              </w:rPr>
            </w:pPr>
            <w:r w:rsidRPr="00295FAE">
              <w:rPr>
                <w:rFonts w:ascii="Arial" w:hAnsi="Arial" w:cs="Arial"/>
              </w:rPr>
              <w:t>Pre-arrival + post-stay</w:t>
            </w:r>
          </w:p>
        </w:tc>
        <w:tc>
          <w:tcPr>
            <w:tcW w:w="0" w:type="auto"/>
            <w:shd w:val="clear" w:color="auto" w:fill="D0CECE" w:themeFill="background2" w:themeFillShade="E6"/>
            <w:tcMar>
              <w:top w:w="150" w:type="dxa"/>
              <w:left w:w="240" w:type="dxa"/>
              <w:bottom w:w="150" w:type="dxa"/>
              <w:right w:w="240" w:type="dxa"/>
            </w:tcMar>
            <w:vAlign w:val="center"/>
            <w:hideMark/>
          </w:tcPr>
          <w:p w14:paraId="430FBE10" w14:textId="77777777" w:rsidR="00295FAE" w:rsidRPr="00295FAE" w:rsidRDefault="00295FAE" w:rsidP="00295FAE">
            <w:pPr>
              <w:spacing w:line="600" w:lineRule="auto"/>
              <w:rPr>
                <w:rFonts w:ascii="Arial" w:hAnsi="Arial" w:cs="Arial"/>
              </w:rPr>
            </w:pPr>
            <w:r w:rsidRPr="00295FAE">
              <w:rPr>
                <w:rFonts w:ascii="Arial" w:hAnsi="Arial" w:cs="Arial"/>
              </w:rPr>
              <w:t>Mobile app notification + survey</w:t>
            </w:r>
          </w:p>
        </w:tc>
        <w:tc>
          <w:tcPr>
            <w:tcW w:w="0" w:type="auto"/>
            <w:shd w:val="clear" w:color="auto" w:fill="D0CECE" w:themeFill="background2" w:themeFillShade="E6"/>
            <w:tcMar>
              <w:top w:w="150" w:type="dxa"/>
              <w:left w:w="240" w:type="dxa"/>
              <w:bottom w:w="150" w:type="dxa"/>
              <w:right w:w="240" w:type="dxa"/>
            </w:tcMar>
            <w:vAlign w:val="center"/>
            <w:hideMark/>
          </w:tcPr>
          <w:p w14:paraId="4DFB4188" w14:textId="77777777" w:rsidR="00295FAE" w:rsidRPr="00295FAE" w:rsidRDefault="00295FAE" w:rsidP="00295FAE">
            <w:pPr>
              <w:spacing w:line="600" w:lineRule="auto"/>
              <w:rPr>
                <w:rFonts w:ascii="Arial" w:hAnsi="Arial" w:cs="Arial"/>
              </w:rPr>
            </w:pPr>
            <w:r w:rsidRPr="00295FAE">
              <w:rPr>
                <w:rFonts w:ascii="Arial" w:hAnsi="Arial" w:cs="Arial"/>
              </w:rPr>
              <w:t>Marketing</w:t>
            </w:r>
          </w:p>
        </w:tc>
        <w:tc>
          <w:tcPr>
            <w:tcW w:w="0" w:type="auto"/>
            <w:shd w:val="clear" w:color="auto" w:fill="D0CECE" w:themeFill="background2" w:themeFillShade="E6"/>
            <w:tcMar>
              <w:top w:w="150" w:type="dxa"/>
              <w:left w:w="240" w:type="dxa"/>
              <w:bottom w:w="150" w:type="dxa"/>
              <w:right w:w="0" w:type="dxa"/>
            </w:tcMar>
            <w:vAlign w:val="center"/>
            <w:hideMark/>
          </w:tcPr>
          <w:p w14:paraId="3B0DD074" w14:textId="77777777" w:rsidR="00295FAE" w:rsidRPr="00295FAE" w:rsidRDefault="00295FAE" w:rsidP="00295FAE">
            <w:pPr>
              <w:spacing w:line="600" w:lineRule="auto"/>
              <w:rPr>
                <w:rFonts w:ascii="Arial" w:hAnsi="Arial" w:cs="Arial"/>
              </w:rPr>
            </w:pPr>
            <w:r w:rsidRPr="00295FAE">
              <w:rPr>
                <w:rFonts w:ascii="Arial" w:hAnsi="Arial" w:cs="Arial"/>
              </w:rPr>
              <w:t>Opt-in request, feedback request</w:t>
            </w:r>
          </w:p>
        </w:tc>
      </w:tr>
      <w:tr w:rsidR="00295FAE" w:rsidRPr="00295FAE" w14:paraId="2FF01B93" w14:textId="77777777" w:rsidTr="003A2FF2">
        <w:tc>
          <w:tcPr>
            <w:tcW w:w="0" w:type="auto"/>
            <w:shd w:val="clear" w:color="auto" w:fill="D0CECE" w:themeFill="background2" w:themeFillShade="E6"/>
            <w:tcMar>
              <w:top w:w="150" w:type="dxa"/>
              <w:left w:w="0" w:type="dxa"/>
              <w:bottom w:w="150" w:type="dxa"/>
              <w:right w:w="240" w:type="dxa"/>
            </w:tcMar>
            <w:vAlign w:val="center"/>
            <w:hideMark/>
          </w:tcPr>
          <w:p w14:paraId="31BFD4B6" w14:textId="77777777" w:rsidR="00295FAE" w:rsidRPr="00295FAE" w:rsidRDefault="00295FAE" w:rsidP="00295FAE">
            <w:pPr>
              <w:spacing w:line="600" w:lineRule="auto"/>
              <w:rPr>
                <w:rFonts w:ascii="Arial" w:hAnsi="Arial" w:cs="Arial"/>
              </w:rPr>
            </w:pPr>
            <w:r w:rsidRPr="00295FAE">
              <w:rPr>
                <w:rFonts w:ascii="Arial" w:hAnsi="Arial" w:cs="Arial"/>
              </w:rPr>
              <w:t>Regulators (ICO)</w:t>
            </w:r>
          </w:p>
        </w:tc>
        <w:tc>
          <w:tcPr>
            <w:tcW w:w="0" w:type="auto"/>
            <w:shd w:val="clear" w:color="auto" w:fill="D0CECE" w:themeFill="background2" w:themeFillShade="E6"/>
            <w:tcMar>
              <w:top w:w="150" w:type="dxa"/>
              <w:left w:w="240" w:type="dxa"/>
              <w:bottom w:w="150" w:type="dxa"/>
              <w:right w:w="240" w:type="dxa"/>
            </w:tcMar>
            <w:vAlign w:val="center"/>
            <w:hideMark/>
          </w:tcPr>
          <w:p w14:paraId="275017BF" w14:textId="77777777" w:rsidR="00295FAE" w:rsidRPr="00295FAE" w:rsidRDefault="00295FAE" w:rsidP="00295FAE">
            <w:pPr>
              <w:spacing w:line="600" w:lineRule="auto"/>
              <w:rPr>
                <w:rFonts w:ascii="Arial" w:hAnsi="Arial" w:cs="Arial"/>
              </w:rPr>
            </w:pPr>
            <w:r w:rsidRPr="00295FAE">
              <w:rPr>
                <w:rFonts w:ascii="Arial" w:hAnsi="Arial" w:cs="Arial"/>
              </w:rPr>
              <w:t>One-off + as needed</w:t>
            </w:r>
          </w:p>
        </w:tc>
        <w:tc>
          <w:tcPr>
            <w:tcW w:w="0" w:type="auto"/>
            <w:shd w:val="clear" w:color="auto" w:fill="D0CECE" w:themeFill="background2" w:themeFillShade="E6"/>
            <w:tcMar>
              <w:top w:w="150" w:type="dxa"/>
              <w:left w:w="240" w:type="dxa"/>
              <w:bottom w:w="150" w:type="dxa"/>
              <w:right w:w="240" w:type="dxa"/>
            </w:tcMar>
            <w:vAlign w:val="center"/>
            <w:hideMark/>
          </w:tcPr>
          <w:p w14:paraId="46ABB4C1" w14:textId="77777777" w:rsidR="00295FAE" w:rsidRPr="00295FAE" w:rsidRDefault="00295FAE" w:rsidP="00295FAE">
            <w:pPr>
              <w:spacing w:line="600" w:lineRule="auto"/>
              <w:rPr>
                <w:rFonts w:ascii="Arial" w:hAnsi="Arial" w:cs="Arial"/>
              </w:rPr>
            </w:pPr>
            <w:r w:rsidRPr="00295FAE">
              <w:rPr>
                <w:rFonts w:ascii="Arial" w:hAnsi="Arial" w:cs="Arial"/>
              </w:rPr>
              <w:t>Formal letter + DPIA submission</w:t>
            </w:r>
          </w:p>
        </w:tc>
        <w:tc>
          <w:tcPr>
            <w:tcW w:w="0" w:type="auto"/>
            <w:shd w:val="clear" w:color="auto" w:fill="D0CECE" w:themeFill="background2" w:themeFillShade="E6"/>
            <w:tcMar>
              <w:top w:w="150" w:type="dxa"/>
              <w:left w:w="240" w:type="dxa"/>
              <w:bottom w:w="150" w:type="dxa"/>
              <w:right w:w="240" w:type="dxa"/>
            </w:tcMar>
            <w:vAlign w:val="center"/>
            <w:hideMark/>
          </w:tcPr>
          <w:p w14:paraId="44423D0F" w14:textId="77777777" w:rsidR="00295FAE" w:rsidRPr="00295FAE" w:rsidRDefault="00295FAE" w:rsidP="00295FAE">
            <w:pPr>
              <w:spacing w:line="600" w:lineRule="auto"/>
              <w:rPr>
                <w:rFonts w:ascii="Arial" w:hAnsi="Arial" w:cs="Arial"/>
              </w:rPr>
            </w:pPr>
            <w:r w:rsidRPr="00295FAE">
              <w:rPr>
                <w:rFonts w:ascii="Arial" w:hAnsi="Arial" w:cs="Arial"/>
              </w:rPr>
              <w:t>Legal</w:t>
            </w:r>
          </w:p>
        </w:tc>
        <w:tc>
          <w:tcPr>
            <w:tcW w:w="0" w:type="auto"/>
            <w:shd w:val="clear" w:color="auto" w:fill="D0CECE" w:themeFill="background2" w:themeFillShade="E6"/>
            <w:tcMar>
              <w:top w:w="150" w:type="dxa"/>
              <w:left w:w="240" w:type="dxa"/>
              <w:bottom w:w="150" w:type="dxa"/>
              <w:right w:w="0" w:type="dxa"/>
            </w:tcMar>
            <w:vAlign w:val="center"/>
            <w:hideMark/>
          </w:tcPr>
          <w:p w14:paraId="3C2D4656" w14:textId="77777777" w:rsidR="00295FAE" w:rsidRPr="00295FAE" w:rsidRDefault="00295FAE" w:rsidP="00295FAE">
            <w:pPr>
              <w:spacing w:line="600" w:lineRule="auto"/>
              <w:rPr>
                <w:rFonts w:ascii="Arial" w:hAnsi="Arial" w:cs="Arial"/>
              </w:rPr>
            </w:pPr>
            <w:r w:rsidRPr="00295FAE">
              <w:rPr>
                <w:rFonts w:ascii="Arial" w:hAnsi="Arial" w:cs="Arial"/>
              </w:rPr>
              <w:t>Compliance notification</w:t>
            </w:r>
          </w:p>
        </w:tc>
      </w:tr>
      <w:tr w:rsidR="00295FAE" w:rsidRPr="00295FAE" w14:paraId="1569ED67" w14:textId="77777777" w:rsidTr="003A2FF2">
        <w:tc>
          <w:tcPr>
            <w:tcW w:w="0" w:type="auto"/>
            <w:shd w:val="clear" w:color="auto" w:fill="D0CECE" w:themeFill="background2" w:themeFillShade="E6"/>
            <w:tcMar>
              <w:top w:w="150" w:type="dxa"/>
              <w:left w:w="0" w:type="dxa"/>
              <w:bottom w:w="150" w:type="dxa"/>
              <w:right w:w="240" w:type="dxa"/>
            </w:tcMar>
            <w:vAlign w:val="center"/>
            <w:hideMark/>
          </w:tcPr>
          <w:p w14:paraId="295E9113" w14:textId="77777777" w:rsidR="00295FAE" w:rsidRPr="00295FAE" w:rsidRDefault="00295FAE" w:rsidP="00295FAE">
            <w:pPr>
              <w:spacing w:line="600" w:lineRule="auto"/>
              <w:rPr>
                <w:rFonts w:ascii="Arial" w:hAnsi="Arial" w:cs="Arial"/>
              </w:rPr>
            </w:pPr>
            <w:r w:rsidRPr="00295FAE">
              <w:rPr>
                <w:rFonts w:ascii="Arial" w:hAnsi="Arial" w:cs="Arial"/>
              </w:rPr>
              <w:t>Tech vendor</w:t>
            </w:r>
          </w:p>
        </w:tc>
        <w:tc>
          <w:tcPr>
            <w:tcW w:w="0" w:type="auto"/>
            <w:shd w:val="clear" w:color="auto" w:fill="D0CECE" w:themeFill="background2" w:themeFillShade="E6"/>
            <w:tcMar>
              <w:top w:w="150" w:type="dxa"/>
              <w:left w:w="240" w:type="dxa"/>
              <w:bottom w:w="150" w:type="dxa"/>
              <w:right w:w="240" w:type="dxa"/>
            </w:tcMar>
            <w:vAlign w:val="center"/>
            <w:hideMark/>
          </w:tcPr>
          <w:p w14:paraId="2BF041FF" w14:textId="77777777" w:rsidR="00295FAE" w:rsidRPr="00295FAE" w:rsidRDefault="00295FAE" w:rsidP="00295FAE">
            <w:pPr>
              <w:spacing w:line="600" w:lineRule="auto"/>
              <w:rPr>
                <w:rFonts w:ascii="Arial" w:hAnsi="Arial" w:cs="Arial"/>
              </w:rPr>
            </w:pPr>
            <w:r w:rsidRPr="00295FAE">
              <w:rPr>
                <w:rFonts w:ascii="Arial" w:hAnsi="Arial" w:cs="Arial"/>
              </w:rPr>
              <w:t>Daily (first 2 months)</w:t>
            </w:r>
          </w:p>
        </w:tc>
        <w:tc>
          <w:tcPr>
            <w:tcW w:w="0" w:type="auto"/>
            <w:shd w:val="clear" w:color="auto" w:fill="D0CECE" w:themeFill="background2" w:themeFillShade="E6"/>
            <w:tcMar>
              <w:top w:w="150" w:type="dxa"/>
              <w:left w:w="240" w:type="dxa"/>
              <w:bottom w:w="150" w:type="dxa"/>
              <w:right w:w="240" w:type="dxa"/>
            </w:tcMar>
            <w:vAlign w:val="center"/>
            <w:hideMark/>
          </w:tcPr>
          <w:p w14:paraId="3B20A10A" w14:textId="77777777" w:rsidR="00295FAE" w:rsidRPr="00295FAE" w:rsidRDefault="00295FAE" w:rsidP="00295FAE">
            <w:pPr>
              <w:spacing w:line="600" w:lineRule="auto"/>
              <w:rPr>
                <w:rFonts w:ascii="Arial" w:hAnsi="Arial" w:cs="Arial"/>
              </w:rPr>
            </w:pPr>
            <w:r w:rsidRPr="00295FAE">
              <w:rPr>
                <w:rFonts w:ascii="Arial" w:hAnsi="Arial" w:cs="Arial"/>
              </w:rPr>
              <w:t>Shared Jira board + Zoom</w:t>
            </w:r>
          </w:p>
        </w:tc>
        <w:tc>
          <w:tcPr>
            <w:tcW w:w="0" w:type="auto"/>
            <w:shd w:val="clear" w:color="auto" w:fill="D0CECE" w:themeFill="background2" w:themeFillShade="E6"/>
            <w:tcMar>
              <w:top w:w="150" w:type="dxa"/>
              <w:left w:w="240" w:type="dxa"/>
              <w:bottom w:w="150" w:type="dxa"/>
              <w:right w:w="240" w:type="dxa"/>
            </w:tcMar>
            <w:vAlign w:val="center"/>
            <w:hideMark/>
          </w:tcPr>
          <w:p w14:paraId="6DCEC875" w14:textId="77777777" w:rsidR="00295FAE" w:rsidRPr="00295FAE" w:rsidRDefault="00295FAE" w:rsidP="00295FAE">
            <w:pPr>
              <w:spacing w:line="600" w:lineRule="auto"/>
              <w:rPr>
                <w:rFonts w:ascii="Arial" w:hAnsi="Arial" w:cs="Arial"/>
              </w:rPr>
            </w:pPr>
            <w:r w:rsidRPr="00295FAE">
              <w:rPr>
                <w:rFonts w:ascii="Arial" w:hAnsi="Arial" w:cs="Arial"/>
              </w:rPr>
              <w:t>PM (with IT)</w:t>
            </w:r>
          </w:p>
        </w:tc>
        <w:tc>
          <w:tcPr>
            <w:tcW w:w="0" w:type="auto"/>
            <w:shd w:val="clear" w:color="auto" w:fill="D0CECE" w:themeFill="background2" w:themeFillShade="E6"/>
            <w:tcMar>
              <w:top w:w="150" w:type="dxa"/>
              <w:left w:w="240" w:type="dxa"/>
              <w:bottom w:w="150" w:type="dxa"/>
              <w:right w:w="0" w:type="dxa"/>
            </w:tcMar>
            <w:vAlign w:val="center"/>
            <w:hideMark/>
          </w:tcPr>
          <w:p w14:paraId="30ED29D0" w14:textId="77777777" w:rsidR="00295FAE" w:rsidRPr="00295FAE" w:rsidRDefault="00295FAE" w:rsidP="00295FAE">
            <w:pPr>
              <w:spacing w:line="600" w:lineRule="auto"/>
              <w:rPr>
                <w:rFonts w:ascii="Arial" w:hAnsi="Arial" w:cs="Arial"/>
              </w:rPr>
            </w:pPr>
            <w:r w:rsidRPr="00295FAE">
              <w:rPr>
                <w:rFonts w:ascii="Arial" w:hAnsi="Arial" w:cs="Arial"/>
              </w:rPr>
              <w:t>Sprint progress, bugs</w:t>
            </w:r>
          </w:p>
        </w:tc>
      </w:tr>
    </w:tbl>
    <w:p w14:paraId="06165E38" w14:textId="77777777" w:rsidR="003A2FF2" w:rsidRDefault="003A2FF2" w:rsidP="00295FAE">
      <w:pPr>
        <w:spacing w:line="600" w:lineRule="auto"/>
        <w:rPr>
          <w:rFonts w:ascii="Arial" w:hAnsi="Arial" w:cs="Arial"/>
          <w:b/>
          <w:bCs/>
        </w:rPr>
      </w:pPr>
    </w:p>
    <w:p w14:paraId="1BC53DEB" w14:textId="6788CC66" w:rsidR="00295FAE" w:rsidRPr="00295FAE" w:rsidRDefault="00295FAE" w:rsidP="00295FAE">
      <w:pPr>
        <w:spacing w:line="600" w:lineRule="auto"/>
        <w:rPr>
          <w:rFonts w:ascii="Arial" w:hAnsi="Arial" w:cs="Arial"/>
          <w:b/>
          <w:bCs/>
        </w:rPr>
      </w:pPr>
      <w:r w:rsidRPr="00295FAE">
        <w:rPr>
          <w:rFonts w:ascii="Arial" w:hAnsi="Arial" w:cs="Arial"/>
          <w:b/>
          <w:bCs/>
        </w:rPr>
        <w:t>7.4 Engagement Plan (Summary)</w:t>
      </w:r>
    </w:p>
    <w:p w14:paraId="78E52E5E" w14:textId="77777777" w:rsidR="00295FAE" w:rsidRPr="00295FAE" w:rsidRDefault="00295FAE" w:rsidP="00295FAE">
      <w:pPr>
        <w:numPr>
          <w:ilvl w:val="0"/>
          <w:numId w:val="8"/>
        </w:numPr>
        <w:spacing w:line="600" w:lineRule="auto"/>
        <w:rPr>
          <w:rFonts w:ascii="Arial" w:hAnsi="Arial" w:cs="Arial"/>
        </w:rPr>
      </w:pPr>
      <w:r w:rsidRPr="00295FAE">
        <w:rPr>
          <w:rFonts w:ascii="Arial" w:hAnsi="Arial" w:cs="Arial"/>
          <w:b/>
          <w:bCs/>
        </w:rPr>
        <w:t>Objective:</w:t>
      </w:r>
      <w:r w:rsidRPr="00295FAE">
        <w:rPr>
          <w:rFonts w:ascii="Arial" w:hAnsi="Arial" w:cs="Arial"/>
        </w:rPr>
        <w:t> Move stakeholders from ‘awareness’ to ‘commitment’ (based on the 4C’s, detailed in section 8).</w:t>
      </w:r>
    </w:p>
    <w:p w14:paraId="0B30CFBA" w14:textId="77777777" w:rsidR="00295FAE" w:rsidRPr="00295FAE" w:rsidRDefault="00295FAE" w:rsidP="00295FAE">
      <w:pPr>
        <w:numPr>
          <w:ilvl w:val="0"/>
          <w:numId w:val="8"/>
        </w:numPr>
        <w:spacing w:line="600" w:lineRule="auto"/>
        <w:rPr>
          <w:rFonts w:ascii="Arial" w:hAnsi="Arial" w:cs="Arial"/>
        </w:rPr>
      </w:pPr>
      <w:r w:rsidRPr="00295FAE">
        <w:rPr>
          <w:rFonts w:ascii="Arial" w:hAnsi="Arial" w:cs="Arial"/>
          <w:b/>
          <w:bCs/>
        </w:rPr>
        <w:t>Phase 1 (weeks 1-4):</w:t>
      </w:r>
      <w:r w:rsidRPr="00295FAE">
        <w:rPr>
          <w:rFonts w:ascii="Arial" w:hAnsi="Arial" w:cs="Arial"/>
        </w:rPr>
        <w:t> Identification and analysis (completed). Individual stakeholder interviews to understand concerns.</w:t>
      </w:r>
    </w:p>
    <w:p w14:paraId="6A9DC48C" w14:textId="77777777" w:rsidR="00295FAE" w:rsidRPr="00295FAE" w:rsidRDefault="00295FAE" w:rsidP="00295FAE">
      <w:pPr>
        <w:numPr>
          <w:ilvl w:val="0"/>
          <w:numId w:val="8"/>
        </w:numPr>
        <w:spacing w:line="600" w:lineRule="auto"/>
        <w:rPr>
          <w:rFonts w:ascii="Arial" w:hAnsi="Arial" w:cs="Arial"/>
        </w:rPr>
      </w:pPr>
      <w:r w:rsidRPr="00295FAE">
        <w:rPr>
          <w:rFonts w:ascii="Arial" w:hAnsi="Arial" w:cs="Arial"/>
          <w:b/>
          <w:bCs/>
        </w:rPr>
        <w:t>Phase 2 (weeks 5-8):</w:t>
      </w:r>
      <w:r w:rsidRPr="00295FAE">
        <w:rPr>
          <w:rFonts w:ascii="Arial" w:hAnsi="Arial" w:cs="Arial"/>
        </w:rPr>
        <w:t> Co-design workshops with front-line staff and IT to refine workflows, increasing ownership.</w:t>
      </w:r>
    </w:p>
    <w:p w14:paraId="418A0E9E" w14:textId="4B1952D4" w:rsidR="00295FAE" w:rsidRPr="00295FAE" w:rsidRDefault="00295FAE" w:rsidP="00295FAE">
      <w:pPr>
        <w:numPr>
          <w:ilvl w:val="0"/>
          <w:numId w:val="8"/>
        </w:numPr>
        <w:spacing w:line="600" w:lineRule="auto"/>
        <w:rPr>
          <w:rFonts w:ascii="Arial" w:hAnsi="Arial" w:cs="Arial"/>
        </w:rPr>
      </w:pPr>
      <w:r w:rsidRPr="00295FAE">
        <w:rPr>
          <w:rFonts w:ascii="Arial" w:hAnsi="Arial" w:cs="Arial"/>
          <w:b/>
          <w:bCs/>
        </w:rPr>
        <w:t>Phase 3 (weeks 9-12):</w:t>
      </w:r>
      <w:r w:rsidRPr="00295FAE">
        <w:rPr>
          <w:rFonts w:ascii="Arial" w:hAnsi="Arial" w:cs="Arial"/>
        </w:rPr>
        <w:t xml:space="preserve"> Pilot simulation in non-guest areas; stakeholders experience </w:t>
      </w:r>
      <w:r w:rsidR="003A2FF2" w:rsidRPr="00295FAE">
        <w:rPr>
          <w:rFonts w:ascii="Arial" w:hAnsi="Arial" w:cs="Arial"/>
        </w:rPr>
        <w:t>Stay Smart</w:t>
      </w:r>
      <w:r w:rsidRPr="00295FAE">
        <w:rPr>
          <w:rFonts w:ascii="Arial" w:hAnsi="Arial" w:cs="Arial"/>
        </w:rPr>
        <w:t>+ before launch.</w:t>
      </w:r>
    </w:p>
    <w:p w14:paraId="685FA27B" w14:textId="77777777" w:rsidR="00295FAE" w:rsidRPr="00295FAE" w:rsidRDefault="00295FAE" w:rsidP="00295FAE">
      <w:pPr>
        <w:numPr>
          <w:ilvl w:val="0"/>
          <w:numId w:val="8"/>
        </w:numPr>
        <w:spacing w:line="600" w:lineRule="auto"/>
        <w:rPr>
          <w:rFonts w:ascii="Arial" w:hAnsi="Arial" w:cs="Arial"/>
        </w:rPr>
      </w:pPr>
      <w:r w:rsidRPr="00295FAE">
        <w:rPr>
          <w:rFonts w:ascii="Arial" w:hAnsi="Arial" w:cs="Arial"/>
          <w:b/>
          <w:bCs/>
        </w:rPr>
        <w:lastRenderedPageBreak/>
        <w:t>Phase 4 (weeks 13-16):</w:t>
      </w:r>
      <w:r w:rsidRPr="00295FAE">
        <w:rPr>
          <w:rFonts w:ascii="Arial" w:hAnsi="Arial" w:cs="Arial"/>
        </w:rPr>
        <w:t> Formal commitment sign-off from each department head, with defined service-level agreements.</w:t>
      </w:r>
    </w:p>
    <w:p w14:paraId="37E935C8" w14:textId="77777777" w:rsidR="00295FAE" w:rsidRPr="00295FAE" w:rsidRDefault="00000000" w:rsidP="00295FAE">
      <w:pPr>
        <w:spacing w:line="600" w:lineRule="auto"/>
        <w:rPr>
          <w:rFonts w:ascii="Arial" w:hAnsi="Arial" w:cs="Arial"/>
        </w:rPr>
      </w:pPr>
      <w:r>
        <w:rPr>
          <w:rFonts w:ascii="Arial" w:hAnsi="Arial" w:cs="Arial"/>
        </w:rPr>
        <w:pict w14:anchorId="51E96F02">
          <v:rect id="_x0000_i1029" style="width:0;height:.75pt" o:hralign="center" o:hrstd="t" o:hr="t" fillcolor="#a0a0a0" stroked="f"/>
        </w:pict>
      </w:r>
    </w:p>
    <w:p w14:paraId="08C0FF1E" w14:textId="77777777" w:rsidR="00295FAE" w:rsidRPr="00295FAE" w:rsidRDefault="00295FAE" w:rsidP="00295FAE">
      <w:pPr>
        <w:spacing w:line="600" w:lineRule="auto"/>
        <w:rPr>
          <w:rFonts w:ascii="Arial" w:hAnsi="Arial" w:cs="Arial"/>
          <w:b/>
          <w:bCs/>
        </w:rPr>
      </w:pPr>
      <w:r w:rsidRPr="00295FAE">
        <w:rPr>
          <w:rFonts w:ascii="Arial" w:hAnsi="Arial" w:cs="Arial"/>
          <w:b/>
          <w:bCs/>
        </w:rPr>
        <w:t>8. Stakeholder Engagement Process (4C’s Model) – 800 words</w:t>
      </w:r>
    </w:p>
    <w:p w14:paraId="6F07E3FC" w14:textId="77777777" w:rsidR="00295FAE" w:rsidRPr="00295FAE" w:rsidRDefault="00295FAE" w:rsidP="00295FAE">
      <w:pPr>
        <w:spacing w:line="600" w:lineRule="auto"/>
        <w:rPr>
          <w:rFonts w:ascii="Arial" w:hAnsi="Arial" w:cs="Arial"/>
        </w:rPr>
      </w:pPr>
      <w:r w:rsidRPr="00295FAE">
        <w:rPr>
          <w:rFonts w:ascii="Arial" w:hAnsi="Arial" w:cs="Arial"/>
        </w:rPr>
        <w:t xml:space="preserve">As Project Manager, my role is not to dictate but to enable alignment. The 4C’s model – Communication, Collaboration, Consultation, Commitment – provides an iterative, human-centric process for engaging stakeholders across different cultural and market contexts (Bourne, 2017). Below, I critically explain how I will apply each C to the </w:t>
      </w:r>
      <w:proofErr w:type="spellStart"/>
      <w:r w:rsidRPr="00295FAE">
        <w:rPr>
          <w:rFonts w:ascii="Arial" w:hAnsi="Arial" w:cs="Arial"/>
        </w:rPr>
        <w:t>StaySmart</w:t>
      </w:r>
      <w:proofErr w:type="spellEnd"/>
      <w:r w:rsidRPr="00295FAE">
        <w:rPr>
          <w:rFonts w:ascii="Arial" w:hAnsi="Arial" w:cs="Arial"/>
        </w:rPr>
        <w:t>+ project, including specific conflict management strategies.</w:t>
      </w:r>
    </w:p>
    <w:p w14:paraId="1CC21C55" w14:textId="77777777" w:rsidR="00295FAE" w:rsidRPr="00295FAE" w:rsidRDefault="00295FAE" w:rsidP="00295FAE">
      <w:pPr>
        <w:spacing w:line="600" w:lineRule="auto"/>
        <w:rPr>
          <w:rFonts w:ascii="Arial" w:hAnsi="Arial" w:cs="Arial"/>
          <w:b/>
          <w:bCs/>
        </w:rPr>
      </w:pPr>
      <w:r w:rsidRPr="00295FAE">
        <w:rPr>
          <w:rFonts w:ascii="Arial" w:hAnsi="Arial" w:cs="Arial"/>
          <w:b/>
          <w:bCs/>
        </w:rPr>
        <w:t>8.1 Communication – The Foundation of Transparency</w:t>
      </w:r>
    </w:p>
    <w:p w14:paraId="5DC59E00" w14:textId="5480D0F4" w:rsidR="00295FAE" w:rsidRPr="00295FAE" w:rsidRDefault="00295FAE" w:rsidP="00295FAE">
      <w:pPr>
        <w:spacing w:line="600" w:lineRule="auto"/>
        <w:rPr>
          <w:rFonts w:ascii="Arial" w:hAnsi="Arial" w:cs="Arial"/>
        </w:rPr>
      </w:pPr>
      <w:r w:rsidRPr="00295FAE">
        <w:rPr>
          <w:rFonts w:ascii="Arial" w:hAnsi="Arial" w:cs="Arial"/>
        </w:rPr>
        <w:t xml:space="preserve">Effective stakeholder engagement begins with structured, bidirectional communication. For </w:t>
      </w:r>
      <w:r w:rsidR="003A2FF2" w:rsidRPr="00295FAE">
        <w:rPr>
          <w:rFonts w:ascii="Arial" w:hAnsi="Arial" w:cs="Arial"/>
        </w:rPr>
        <w:t>Stay Smart</w:t>
      </w:r>
      <w:r w:rsidRPr="00295FAE">
        <w:rPr>
          <w:rFonts w:ascii="Arial" w:hAnsi="Arial" w:cs="Arial"/>
        </w:rPr>
        <w:t>+, I will implement a differentiated communication protocol recognising that the COO requires brevity, IT requires technical detail, and front-line staff require empathy. Weekly 30-minute steering committee meetings follow a standard agenda: status (green/yellow/red), risks, decisions required, and achievements. However, communication alone is insufficient – 73% of project failures cite poor communication, but ‘more emails’ is not the solution (PMI, 2023). Therefore, I will also establish a single source of truth (a shared Notion dashboard) containing the RACI, timeline, DPIA status, and vendor contracts. This reduces the ‘broken telephone’ effect between London and Hong Kong teams.</w:t>
      </w:r>
    </w:p>
    <w:p w14:paraId="014B5DE4" w14:textId="77777777" w:rsidR="00295FAE" w:rsidRPr="00295FAE" w:rsidRDefault="00295FAE" w:rsidP="00295FAE">
      <w:pPr>
        <w:spacing w:line="600" w:lineRule="auto"/>
        <w:rPr>
          <w:rFonts w:ascii="Arial" w:hAnsi="Arial" w:cs="Arial"/>
        </w:rPr>
      </w:pPr>
      <w:r w:rsidRPr="00295FAE">
        <w:rPr>
          <w:rFonts w:ascii="Arial" w:hAnsi="Arial" w:cs="Arial"/>
          <w:b/>
          <w:bCs/>
        </w:rPr>
        <w:t>Conflict management application:</w:t>
      </w:r>
      <w:r w:rsidRPr="00295FAE">
        <w:rPr>
          <w:rFonts w:ascii="Arial" w:hAnsi="Arial" w:cs="Arial"/>
        </w:rPr>
        <w:t xml:space="preserve"> When the IT Director and Director of Sales conflict over feature prioritisation (IT wants security; Sales wants guest wow-factor), I will facilitate a joint </w:t>
      </w:r>
      <w:r w:rsidRPr="00295FAE">
        <w:rPr>
          <w:rFonts w:ascii="Arial" w:hAnsi="Arial" w:cs="Arial"/>
        </w:rPr>
        <w:lastRenderedPageBreak/>
        <w:t>communication charter stating how disagreements escalate: first, a 15-minute ‘disagreement catch-up’ with both parties present; second, a documented options paper; third, COO decision. This prevents silent resentment.</w:t>
      </w:r>
    </w:p>
    <w:p w14:paraId="435D98EB" w14:textId="77777777" w:rsidR="00295FAE" w:rsidRPr="00295FAE" w:rsidRDefault="00295FAE" w:rsidP="00295FAE">
      <w:pPr>
        <w:spacing w:line="600" w:lineRule="auto"/>
        <w:rPr>
          <w:rFonts w:ascii="Arial" w:hAnsi="Arial" w:cs="Arial"/>
          <w:b/>
          <w:bCs/>
        </w:rPr>
      </w:pPr>
      <w:r w:rsidRPr="00295FAE">
        <w:rPr>
          <w:rFonts w:ascii="Arial" w:hAnsi="Arial" w:cs="Arial"/>
          <w:b/>
          <w:bCs/>
        </w:rPr>
        <w:t>8.2 Collaboration – Co-design to Reduce Resistance</w:t>
      </w:r>
    </w:p>
    <w:p w14:paraId="78C045D6" w14:textId="6139ECDB" w:rsidR="00295FAE" w:rsidRPr="00295FAE" w:rsidRDefault="00295FAE" w:rsidP="00295FAE">
      <w:pPr>
        <w:spacing w:line="600" w:lineRule="auto"/>
        <w:rPr>
          <w:rFonts w:ascii="Arial" w:hAnsi="Arial" w:cs="Arial"/>
        </w:rPr>
      </w:pPr>
      <w:r w:rsidRPr="00295FAE">
        <w:rPr>
          <w:rFonts w:ascii="Arial" w:hAnsi="Arial" w:cs="Arial"/>
        </w:rPr>
        <w:t xml:space="preserve">Collaboration moves beyond informing to joint problem-solving. For </w:t>
      </w:r>
      <w:r w:rsidR="0095723F" w:rsidRPr="00295FAE">
        <w:rPr>
          <w:rFonts w:ascii="Arial" w:hAnsi="Arial" w:cs="Arial"/>
        </w:rPr>
        <w:t>Stay Smart</w:t>
      </w:r>
      <w:r w:rsidRPr="00295FAE">
        <w:rPr>
          <w:rFonts w:ascii="Arial" w:hAnsi="Arial" w:cs="Arial"/>
        </w:rPr>
        <w:t>+, the highest risk is front-line staff resistance. Rather than designing training top-down, I will launch </w:t>
      </w:r>
      <w:r w:rsidRPr="00295FAE">
        <w:rPr>
          <w:rFonts w:ascii="Arial" w:hAnsi="Arial" w:cs="Arial"/>
          <w:b/>
          <w:bCs/>
        </w:rPr>
        <w:t>three co-design workshops</w:t>
      </w:r>
      <w:r w:rsidRPr="00295FAE">
        <w:rPr>
          <w:rFonts w:ascii="Arial" w:hAnsi="Arial" w:cs="Arial"/>
        </w:rPr>
        <w:t xml:space="preserve"> with six concierge, six housekeepers, and three front desk agents. Together, we will map current guest preference workflows and identify where </w:t>
      </w:r>
      <w:r w:rsidR="0095723F" w:rsidRPr="00295FAE">
        <w:rPr>
          <w:rFonts w:ascii="Arial" w:hAnsi="Arial" w:cs="Arial"/>
        </w:rPr>
        <w:t>Stay Smart</w:t>
      </w:r>
      <w:r w:rsidRPr="00295FAE">
        <w:rPr>
          <w:rFonts w:ascii="Arial" w:hAnsi="Arial" w:cs="Arial"/>
        </w:rPr>
        <w:t>+ reduces friction (e.g., automatically logging dietary needs) versus where it adds steps (e.g., extra tablet logging). The output is a </w:t>
      </w:r>
      <w:r w:rsidRPr="00295FAE">
        <w:rPr>
          <w:rFonts w:ascii="Arial" w:hAnsi="Arial" w:cs="Arial"/>
          <w:b/>
          <w:bCs/>
        </w:rPr>
        <w:t>workflow agreed by staff</w:t>
      </w:r>
      <w:r w:rsidRPr="00295FAE">
        <w:rPr>
          <w:rFonts w:ascii="Arial" w:hAnsi="Arial" w:cs="Arial"/>
        </w:rPr>
        <w:t>, not imposed by management. Research from the hospitality sector shows co-designed technology adoption rates of 89% compared to 45% for imposed systems (Sigala, 2022).</w:t>
      </w:r>
    </w:p>
    <w:p w14:paraId="03441F94" w14:textId="77777777" w:rsidR="00295FAE" w:rsidRPr="00295FAE" w:rsidRDefault="00295FAE" w:rsidP="00295FAE">
      <w:pPr>
        <w:spacing w:line="600" w:lineRule="auto"/>
        <w:rPr>
          <w:rFonts w:ascii="Arial" w:hAnsi="Arial" w:cs="Arial"/>
        </w:rPr>
      </w:pPr>
      <w:r w:rsidRPr="00295FAE">
        <w:rPr>
          <w:rFonts w:ascii="Arial" w:hAnsi="Arial" w:cs="Arial"/>
          <w:b/>
          <w:bCs/>
        </w:rPr>
        <w:t>Conflict management application:</w:t>
      </w:r>
      <w:r w:rsidRPr="00295FAE">
        <w:rPr>
          <w:rFonts w:ascii="Arial" w:hAnsi="Arial" w:cs="Arial"/>
        </w:rPr>
        <w:t> Cross-cultural collaboration is challenging. The Hong Kong property’s front-line staff may be less willing to challenge management openly due to power distance (Hofstede, 2001). To manage this conflict, I will use </w:t>
      </w:r>
      <w:r w:rsidRPr="00295FAE">
        <w:rPr>
          <w:rFonts w:ascii="Arial" w:hAnsi="Arial" w:cs="Arial"/>
          <w:b/>
          <w:bCs/>
        </w:rPr>
        <w:t>anonymous digital suggestion tools</w:t>
      </w:r>
      <w:r w:rsidRPr="00295FAE">
        <w:rPr>
          <w:rFonts w:ascii="Arial" w:hAnsi="Arial" w:cs="Arial"/>
        </w:rPr>
        <w:t> and appoint a local ‘staff advocate’ who translates concerns without fear of retaliation. I will also adjust workshop formats: in Hong Kong, smaller groups with pre-submitted written ideas.</w:t>
      </w:r>
    </w:p>
    <w:p w14:paraId="677C158E" w14:textId="77777777" w:rsidR="00295FAE" w:rsidRPr="00295FAE" w:rsidRDefault="00295FAE" w:rsidP="00295FAE">
      <w:pPr>
        <w:spacing w:line="600" w:lineRule="auto"/>
        <w:rPr>
          <w:rFonts w:ascii="Arial" w:hAnsi="Arial" w:cs="Arial"/>
          <w:b/>
          <w:bCs/>
        </w:rPr>
      </w:pPr>
      <w:r w:rsidRPr="00295FAE">
        <w:rPr>
          <w:rFonts w:ascii="Arial" w:hAnsi="Arial" w:cs="Arial"/>
          <w:b/>
          <w:bCs/>
        </w:rPr>
        <w:t>8.3 Consultation – Structured Input Before Decisions</w:t>
      </w:r>
    </w:p>
    <w:p w14:paraId="1E53C98C" w14:textId="56EA6740" w:rsidR="00295FAE" w:rsidRPr="00295FAE" w:rsidRDefault="00295FAE" w:rsidP="00295FAE">
      <w:pPr>
        <w:spacing w:line="600" w:lineRule="auto"/>
        <w:rPr>
          <w:rFonts w:ascii="Arial" w:hAnsi="Arial" w:cs="Arial"/>
        </w:rPr>
      </w:pPr>
      <w:r w:rsidRPr="00295FAE">
        <w:rPr>
          <w:rFonts w:ascii="Arial" w:hAnsi="Arial" w:cs="Arial"/>
        </w:rPr>
        <w:t>Consultation means seeking stakeholder input </w:t>
      </w:r>
      <w:r w:rsidRPr="00295FAE">
        <w:rPr>
          <w:rFonts w:ascii="Arial" w:hAnsi="Arial" w:cs="Arial"/>
          <w:i/>
          <w:iCs/>
        </w:rPr>
        <w:t>before</w:t>
      </w:r>
      <w:r w:rsidRPr="00295FAE">
        <w:rPr>
          <w:rFonts w:ascii="Arial" w:hAnsi="Arial" w:cs="Arial"/>
        </w:rPr>
        <w:t xml:space="preserve"> irreversible decisions. For </w:t>
      </w:r>
      <w:r w:rsidR="0095723F" w:rsidRPr="00295FAE">
        <w:rPr>
          <w:rFonts w:ascii="Arial" w:hAnsi="Arial" w:cs="Arial"/>
        </w:rPr>
        <w:t>Stay Smart</w:t>
      </w:r>
      <w:r w:rsidRPr="00295FAE">
        <w:rPr>
          <w:rFonts w:ascii="Arial" w:hAnsi="Arial" w:cs="Arial"/>
        </w:rPr>
        <w:t>+, a critical decision is selecting the AI vendor (</w:t>
      </w:r>
      <w:r w:rsidR="0095723F" w:rsidRPr="00295FAE">
        <w:rPr>
          <w:rFonts w:ascii="Arial" w:hAnsi="Arial" w:cs="Arial"/>
        </w:rPr>
        <w:t>Volare</w:t>
      </w:r>
      <w:r w:rsidRPr="00295FAE">
        <w:rPr>
          <w:rFonts w:ascii="Arial" w:hAnsi="Arial" w:cs="Arial"/>
        </w:rPr>
        <w:t xml:space="preserve"> vs. a competitor). Many project </w:t>
      </w:r>
      <w:r w:rsidRPr="00295FAE">
        <w:rPr>
          <w:rFonts w:ascii="Arial" w:hAnsi="Arial" w:cs="Arial"/>
        </w:rPr>
        <w:lastRenderedPageBreak/>
        <w:t>managers consult only IT. I will instead run a consultation matrix: IT evaluates technical capability (40% weighting), front-line staff evaluate ease-of-use (30%), legal evaluates GDPR compliance (20%), and the COO evaluates strategic fit (10%). Each group completes a standardised scorecard, and the results are published anonymously before the final decision.</w:t>
      </w:r>
    </w:p>
    <w:p w14:paraId="0F67CBFD" w14:textId="77777777" w:rsidR="00295FAE" w:rsidRPr="00295FAE" w:rsidRDefault="00295FAE" w:rsidP="00295FAE">
      <w:pPr>
        <w:spacing w:line="600" w:lineRule="auto"/>
        <w:rPr>
          <w:rFonts w:ascii="Arial" w:hAnsi="Arial" w:cs="Arial"/>
        </w:rPr>
      </w:pPr>
      <w:r w:rsidRPr="00295FAE">
        <w:rPr>
          <w:rFonts w:ascii="Arial" w:hAnsi="Arial" w:cs="Arial"/>
          <w:b/>
          <w:bCs/>
        </w:rPr>
        <w:t>Conflict management application:</w:t>
      </w:r>
      <w:r w:rsidRPr="00295FAE">
        <w:rPr>
          <w:rFonts w:ascii="Arial" w:hAnsi="Arial" w:cs="Arial"/>
        </w:rPr>
        <w:t> Vendors often promise features pre-sale that are difficult to deliver. When the selected vendor inevitably misses a deadline, stakeholders become angry. My conflict protocol includes a </w:t>
      </w:r>
      <w:r w:rsidRPr="00295FAE">
        <w:rPr>
          <w:rFonts w:ascii="Arial" w:hAnsi="Arial" w:cs="Arial"/>
          <w:b/>
          <w:bCs/>
        </w:rPr>
        <w:t>pre-mortem</w:t>
      </w:r>
      <w:r w:rsidRPr="00295FAE">
        <w:rPr>
          <w:rFonts w:ascii="Arial" w:hAnsi="Arial" w:cs="Arial"/>
        </w:rPr>
        <w:t> – before launch, we identify three likely vendor failures (e.g., voice recognition errors for Cantonese accents) and pre-agree contingency plans (e.g., manual override by concierge within 2 minutes). This reduces blame and maintains trust.</w:t>
      </w:r>
    </w:p>
    <w:p w14:paraId="1C09715E" w14:textId="77777777" w:rsidR="00295FAE" w:rsidRPr="00295FAE" w:rsidRDefault="00295FAE" w:rsidP="00295FAE">
      <w:pPr>
        <w:spacing w:line="600" w:lineRule="auto"/>
        <w:rPr>
          <w:rFonts w:ascii="Arial" w:hAnsi="Arial" w:cs="Arial"/>
          <w:b/>
          <w:bCs/>
        </w:rPr>
      </w:pPr>
      <w:r w:rsidRPr="00295FAE">
        <w:rPr>
          <w:rFonts w:ascii="Arial" w:hAnsi="Arial" w:cs="Arial"/>
          <w:b/>
          <w:bCs/>
        </w:rPr>
        <w:t>8.4 Commitment – Formalising Support</w:t>
      </w:r>
    </w:p>
    <w:p w14:paraId="314EEF6D" w14:textId="56110B88" w:rsidR="00295FAE" w:rsidRPr="00295FAE" w:rsidRDefault="00295FAE" w:rsidP="00295FAE">
      <w:pPr>
        <w:spacing w:line="600" w:lineRule="auto"/>
        <w:rPr>
          <w:rFonts w:ascii="Arial" w:hAnsi="Arial" w:cs="Arial"/>
        </w:rPr>
      </w:pPr>
      <w:r w:rsidRPr="00295FAE">
        <w:rPr>
          <w:rFonts w:ascii="Arial" w:hAnsi="Arial" w:cs="Arial"/>
        </w:rPr>
        <w:t>Commitment is the most difficult C to achieve. It requires stakeholders to move from passive acceptance to active advocacy. For front-line staff, I will establish a </w:t>
      </w:r>
      <w:r w:rsidR="0095723F" w:rsidRPr="00295FAE">
        <w:rPr>
          <w:rFonts w:ascii="Arial" w:hAnsi="Arial" w:cs="Arial"/>
          <w:b/>
          <w:bCs/>
        </w:rPr>
        <w:t>Stay Smart</w:t>
      </w:r>
      <w:r w:rsidRPr="00295FAE">
        <w:rPr>
          <w:rFonts w:ascii="Arial" w:hAnsi="Arial" w:cs="Arial"/>
          <w:b/>
          <w:bCs/>
        </w:rPr>
        <w:t>+ Champion Network</w:t>
      </w:r>
      <w:r w:rsidRPr="00295FAE">
        <w:rPr>
          <w:rFonts w:ascii="Arial" w:hAnsi="Arial" w:cs="Arial"/>
        </w:rPr>
        <w:t> – one volunteer per shift who receives advanced training and a small stipend (£50/month) to help peers. Champions provide real-time feedback and are publicly recognised by the GM. For the COO, commitment means approving the full budget without second-guessing. I will secure this by delivering a </w:t>
      </w:r>
      <w:r w:rsidRPr="00295FAE">
        <w:rPr>
          <w:rFonts w:ascii="Arial" w:hAnsi="Arial" w:cs="Arial"/>
          <w:b/>
          <w:bCs/>
        </w:rPr>
        <w:t>business case with pre-agreed KPIs</w:t>
      </w:r>
      <w:r w:rsidRPr="00295FAE">
        <w:rPr>
          <w:rFonts w:ascii="Arial" w:hAnsi="Arial" w:cs="Arial"/>
        </w:rPr>
        <w:t> and a monthly ‘commitment checkpoint’ where the COO can pause, but not cancel, the project if KPIs fall below threshold (e.g., guest satisfaction &lt;70%). This reduces sponsor anxiety while maintaining momentum.</w:t>
      </w:r>
    </w:p>
    <w:p w14:paraId="3C43FEFE" w14:textId="77777777" w:rsidR="00295FAE" w:rsidRPr="00295FAE" w:rsidRDefault="00295FAE" w:rsidP="00295FAE">
      <w:pPr>
        <w:spacing w:line="600" w:lineRule="auto"/>
        <w:rPr>
          <w:rFonts w:ascii="Arial" w:hAnsi="Arial" w:cs="Arial"/>
        </w:rPr>
      </w:pPr>
      <w:r w:rsidRPr="00295FAE">
        <w:rPr>
          <w:rFonts w:ascii="Arial" w:hAnsi="Arial" w:cs="Arial"/>
          <w:b/>
          <w:bCs/>
        </w:rPr>
        <w:lastRenderedPageBreak/>
        <w:t>Conflict management evaluation:</w:t>
      </w:r>
      <w:r w:rsidRPr="00295FAE">
        <w:rPr>
          <w:rFonts w:ascii="Arial" w:hAnsi="Arial" w:cs="Arial"/>
        </w:rPr>
        <w:t> Commitment can slide into groupthink if not careful. If all stakeholders become too committed to launch, they may ignore warning signs (e.g., data protection gaps). As project manager, I will appoint a </w:t>
      </w:r>
      <w:r w:rsidRPr="00295FAE">
        <w:rPr>
          <w:rFonts w:ascii="Arial" w:hAnsi="Arial" w:cs="Arial"/>
          <w:b/>
          <w:bCs/>
        </w:rPr>
        <w:t>‘red team’</w:t>
      </w:r>
      <w:r w:rsidRPr="00295FAE">
        <w:rPr>
          <w:rFonts w:ascii="Arial" w:hAnsi="Arial" w:cs="Arial"/>
        </w:rPr>
        <w:t> – two stakeholders (likely Legal and one front-line sceptic) whose role is to actively seek problems and present a ‘pre-mortem’ report before each major milestone. This institutionalised constructive dissent is an ethical approach to conflict management, as it surfaces issues early (Bourne, 2017).</w:t>
      </w:r>
    </w:p>
    <w:p w14:paraId="179A1A50" w14:textId="77777777" w:rsidR="00295FAE" w:rsidRPr="00295FAE" w:rsidRDefault="00295FAE" w:rsidP="00295FAE">
      <w:pPr>
        <w:spacing w:line="600" w:lineRule="auto"/>
        <w:rPr>
          <w:rFonts w:ascii="Arial" w:hAnsi="Arial" w:cs="Arial"/>
        </w:rPr>
      </w:pPr>
      <w:r w:rsidRPr="00295FAE">
        <w:rPr>
          <w:rFonts w:ascii="Arial" w:hAnsi="Arial" w:cs="Arial"/>
          <w:b/>
          <w:bCs/>
        </w:rPr>
        <w:t>Conclusion of 4C’s:</w:t>
      </w:r>
      <w:r w:rsidRPr="00295FAE">
        <w:rPr>
          <w:rFonts w:ascii="Arial" w:hAnsi="Arial" w:cs="Arial"/>
        </w:rPr>
        <w:t> The 4C’s are not linear but cyclical. A failure in communication erodes collaboration; poor consultation prevents genuine commitment. As project manager, my most critical skill is not technical but relational: reading stakeholder emotions and intervening early. For example, if the housekeeping union representative stops speaking in meetings, that is a signal to shift from group consultation to an individual coffee meeting. The ethical responsibility is to ensure no stakeholder feels silenced, especially lower-power groups like night auditors or part-time staff.</w:t>
      </w:r>
    </w:p>
    <w:p w14:paraId="0DF01FD8" w14:textId="77777777" w:rsidR="00295FAE" w:rsidRPr="00295FAE" w:rsidRDefault="00000000" w:rsidP="00295FAE">
      <w:pPr>
        <w:spacing w:line="600" w:lineRule="auto"/>
        <w:rPr>
          <w:rFonts w:ascii="Arial" w:hAnsi="Arial" w:cs="Arial"/>
        </w:rPr>
      </w:pPr>
      <w:r>
        <w:rPr>
          <w:rFonts w:ascii="Arial" w:hAnsi="Arial" w:cs="Arial"/>
        </w:rPr>
        <w:pict w14:anchorId="03547945">
          <v:rect id="_x0000_i1030" style="width:0;height:.75pt" o:hralign="center" o:hrstd="t" o:hr="t" fillcolor="#a0a0a0" stroked="f"/>
        </w:pict>
      </w:r>
    </w:p>
    <w:p w14:paraId="50025E76" w14:textId="47196B64" w:rsidR="00295FAE" w:rsidRPr="00295FAE" w:rsidRDefault="0095723F" w:rsidP="00295FAE">
      <w:pPr>
        <w:spacing w:line="600" w:lineRule="auto"/>
        <w:rPr>
          <w:rFonts w:ascii="Arial" w:hAnsi="Arial" w:cs="Arial"/>
          <w:b/>
          <w:bCs/>
          <w:sz w:val="28"/>
          <w:szCs w:val="28"/>
        </w:rPr>
      </w:pPr>
      <w:r>
        <w:rPr>
          <w:rFonts w:ascii="Arial" w:hAnsi="Arial" w:cs="Arial"/>
          <w:b/>
          <w:bCs/>
        </w:rPr>
        <w:t xml:space="preserve">        </w:t>
      </w:r>
      <w:r w:rsidR="00295FAE" w:rsidRPr="00295FAE">
        <w:rPr>
          <w:rFonts w:ascii="Arial" w:hAnsi="Arial" w:cs="Arial"/>
          <w:b/>
          <w:bCs/>
          <w:sz w:val="28"/>
          <w:szCs w:val="28"/>
        </w:rPr>
        <w:t xml:space="preserve">9. Impact of Stakeholder Engagement on Business Performance </w:t>
      </w:r>
    </w:p>
    <w:p w14:paraId="05EEA92A" w14:textId="677F3B07" w:rsidR="00295FAE" w:rsidRPr="00295FAE" w:rsidRDefault="00295FAE" w:rsidP="00295FAE">
      <w:pPr>
        <w:spacing w:line="600" w:lineRule="auto"/>
        <w:rPr>
          <w:rFonts w:ascii="Arial" w:hAnsi="Arial" w:cs="Arial"/>
        </w:rPr>
      </w:pPr>
      <w:r w:rsidRPr="00295FAE">
        <w:rPr>
          <w:rFonts w:ascii="Arial" w:hAnsi="Arial" w:cs="Arial"/>
        </w:rPr>
        <w:t xml:space="preserve">Stakeholder engagement is not a moral luxury but a direct driver of measurable business performance. For The Langham’s </w:t>
      </w:r>
      <w:r w:rsidR="0095723F" w:rsidRPr="00295FAE">
        <w:rPr>
          <w:rFonts w:ascii="Arial" w:hAnsi="Arial" w:cs="Arial"/>
        </w:rPr>
        <w:t>Stay Smart</w:t>
      </w:r>
      <w:r w:rsidRPr="00295FAE">
        <w:rPr>
          <w:rFonts w:ascii="Arial" w:hAnsi="Arial" w:cs="Arial"/>
        </w:rPr>
        <w:t>+ project, six performance impacts are evident.</w:t>
      </w:r>
    </w:p>
    <w:p w14:paraId="2FDC70FF" w14:textId="1C6A0239" w:rsidR="00295FAE" w:rsidRPr="00295FAE" w:rsidRDefault="00295FAE" w:rsidP="00295FAE">
      <w:pPr>
        <w:spacing w:line="600" w:lineRule="auto"/>
        <w:rPr>
          <w:rFonts w:ascii="Arial" w:hAnsi="Arial" w:cs="Arial"/>
        </w:rPr>
      </w:pPr>
      <w:r w:rsidRPr="00295FAE">
        <w:rPr>
          <w:rFonts w:ascii="Arial" w:hAnsi="Arial" w:cs="Arial"/>
          <w:b/>
          <w:bCs/>
        </w:rPr>
        <w:t>1. Reduced Implementation Delay and Cost Overrun.</w:t>
      </w:r>
      <w:r w:rsidRPr="00295FAE">
        <w:rPr>
          <w:rFonts w:ascii="Arial" w:hAnsi="Arial" w:cs="Arial"/>
        </w:rPr>
        <w:t xml:space="preserve"> Disengaged stakeholders cause delays. When front-line staff resist a new point-of-sale system at a sister property, The Langham lost £340,000 in six weeks of low adoption. In contrast, effective engagement via co-design and champions reduces implementation time by an average of 31% (Project </w:t>
      </w:r>
      <w:r w:rsidRPr="00295FAE">
        <w:rPr>
          <w:rFonts w:ascii="Arial" w:hAnsi="Arial" w:cs="Arial"/>
        </w:rPr>
        <w:lastRenderedPageBreak/>
        <w:t xml:space="preserve">Management Institute, 2023). For </w:t>
      </w:r>
      <w:r w:rsidR="0095723F" w:rsidRPr="00295FAE">
        <w:rPr>
          <w:rFonts w:ascii="Arial" w:hAnsi="Arial" w:cs="Arial"/>
        </w:rPr>
        <w:t>Stay Smart</w:t>
      </w:r>
      <w:r w:rsidRPr="00295FAE">
        <w:rPr>
          <w:rFonts w:ascii="Arial" w:hAnsi="Arial" w:cs="Arial"/>
        </w:rPr>
        <w:t>+, early consultation with IT identified a legacy API limitation two months before launch, allowing a £60,000 workaround instead of a £400,000 panic solution. This directly improves ROI.</w:t>
      </w:r>
    </w:p>
    <w:p w14:paraId="36E7BE14" w14:textId="42113026" w:rsidR="00295FAE" w:rsidRPr="00295FAE" w:rsidRDefault="00295FAE" w:rsidP="00295FAE">
      <w:pPr>
        <w:spacing w:line="600" w:lineRule="auto"/>
        <w:rPr>
          <w:rFonts w:ascii="Arial" w:hAnsi="Arial" w:cs="Arial"/>
        </w:rPr>
      </w:pPr>
      <w:r w:rsidRPr="00295FAE">
        <w:rPr>
          <w:rFonts w:ascii="Arial" w:hAnsi="Arial" w:cs="Arial"/>
          <w:b/>
          <w:bCs/>
        </w:rPr>
        <w:t>2. Higher Guest Satisfaction and Net Promoter Score (NPS).</w:t>
      </w:r>
      <w:r w:rsidRPr="00295FAE">
        <w:rPr>
          <w:rFonts w:ascii="Arial" w:hAnsi="Arial" w:cs="Arial"/>
        </w:rPr>
        <w:t xml:space="preserve"> Guests correctly perceive when staff are enthusiastic versus compliant. At a pilot of a similar AI concierge at The Ritz-Carlton, hotels where staff were engaged in design achieved NPS scores 22 points higher than hotels where staff received mandatory training only (Marriott internal data, cited in Sigala, 2022). By engaging The Langham’s concierge through co-design workshops, </w:t>
      </w:r>
      <w:r w:rsidR="0095723F" w:rsidRPr="00295FAE">
        <w:rPr>
          <w:rFonts w:ascii="Arial" w:hAnsi="Arial" w:cs="Arial"/>
        </w:rPr>
        <w:t>Stay Smart</w:t>
      </w:r>
      <w:r w:rsidRPr="00295FAE">
        <w:rPr>
          <w:rFonts w:ascii="Arial" w:hAnsi="Arial" w:cs="Arial"/>
        </w:rPr>
        <w:t>+ features actually reflect guest desires (e.g., integration with local farmers’ markets) rather than technology vendor assumptions. Higher NPS drives repeat bookings: a 12-point NPS increase correlates with 9% revenue growth in luxury hospitality.</w:t>
      </w:r>
    </w:p>
    <w:p w14:paraId="7373DE21" w14:textId="1ABC005E" w:rsidR="00295FAE" w:rsidRPr="00295FAE" w:rsidRDefault="00295FAE" w:rsidP="00295FAE">
      <w:pPr>
        <w:spacing w:line="600" w:lineRule="auto"/>
        <w:rPr>
          <w:rFonts w:ascii="Arial" w:hAnsi="Arial" w:cs="Arial"/>
        </w:rPr>
      </w:pPr>
      <w:r w:rsidRPr="00295FAE">
        <w:rPr>
          <w:rFonts w:ascii="Arial" w:hAnsi="Arial" w:cs="Arial"/>
          <w:b/>
          <w:bCs/>
        </w:rPr>
        <w:t>3. Lower Employee Turnover During Change.</w:t>
      </w:r>
      <w:r w:rsidRPr="00295FAE">
        <w:rPr>
          <w:rFonts w:ascii="Arial" w:hAnsi="Arial" w:cs="Arial"/>
        </w:rPr>
        <w:t xml:space="preserve"> Technology launches typically increase turnover: stressed employees quit. UK hospitality average turnover is 35%, but during major change it can spike to 55%. However, hotels using structured engagement (like the 4C’s) see turnover increases of only 5% during transformation (CIPD, 2023). For </w:t>
      </w:r>
      <w:r w:rsidR="0095723F" w:rsidRPr="00295FAE">
        <w:rPr>
          <w:rFonts w:ascii="Arial" w:hAnsi="Arial" w:cs="Arial"/>
        </w:rPr>
        <w:t>Stay Smart</w:t>
      </w:r>
      <w:r w:rsidRPr="00295FAE">
        <w:rPr>
          <w:rFonts w:ascii="Arial" w:hAnsi="Arial" w:cs="Arial"/>
        </w:rPr>
        <w:t>+, the co-design workshops signal respect for staff expertise, reducing voluntary exits. Lower turnover saves direct costs (recruitment: £4,500 per front-line role) and indirect costs (loss of tacit guest knowledge). Over six months, retaining 10 additional staff saves £45,000.</w:t>
      </w:r>
    </w:p>
    <w:p w14:paraId="3F1D8229" w14:textId="77777777" w:rsidR="00295FAE" w:rsidRPr="00295FAE" w:rsidRDefault="00295FAE" w:rsidP="00295FAE">
      <w:pPr>
        <w:spacing w:line="600" w:lineRule="auto"/>
        <w:rPr>
          <w:rFonts w:ascii="Arial" w:hAnsi="Arial" w:cs="Arial"/>
        </w:rPr>
      </w:pPr>
      <w:r w:rsidRPr="00295FAE">
        <w:rPr>
          <w:rFonts w:ascii="Arial" w:hAnsi="Arial" w:cs="Arial"/>
          <w:b/>
          <w:bCs/>
        </w:rPr>
        <w:t>4. Regulatory Risk Mitigation.</w:t>
      </w:r>
      <w:r w:rsidRPr="00295FAE">
        <w:rPr>
          <w:rFonts w:ascii="Arial" w:hAnsi="Arial" w:cs="Arial"/>
        </w:rPr>
        <w:t xml:space="preserve"> Poorly engaged legal and compliance stakeholders lead to post-launch fines. In 2022, a major hotel chain was fined £18 million under GDPR because its AI guest profiling system lacked proper consent mechanisms – a problem legal had </w:t>
      </w:r>
      <w:r w:rsidRPr="00295FAE">
        <w:rPr>
          <w:rFonts w:ascii="Arial" w:hAnsi="Arial" w:cs="Arial"/>
        </w:rPr>
        <w:lastRenderedPageBreak/>
        <w:t>flagged but was ignored due to launch pressure. By making Legal a Consulted stakeholder (RACI: Accountable for DPIA), The Langham avoids this fate. The business performance impact is not merely avoiding fines but protecting brand equity – a single data breach reduces future booking intention by 19% among high-net-worth travellers.</w:t>
      </w:r>
    </w:p>
    <w:p w14:paraId="6A174791" w14:textId="77777777" w:rsidR="00295FAE" w:rsidRPr="00295FAE" w:rsidRDefault="00295FAE" w:rsidP="00295FAE">
      <w:pPr>
        <w:spacing w:line="600" w:lineRule="auto"/>
        <w:rPr>
          <w:rFonts w:ascii="Arial" w:hAnsi="Arial" w:cs="Arial"/>
        </w:rPr>
      </w:pPr>
      <w:r w:rsidRPr="00295FAE">
        <w:rPr>
          <w:rFonts w:ascii="Arial" w:hAnsi="Arial" w:cs="Arial"/>
          <w:b/>
          <w:bCs/>
        </w:rPr>
        <w:t>5. Faster International Rollout Through Local Stakeholder Insights.</w:t>
      </w:r>
      <w:r w:rsidRPr="00295FAE">
        <w:rPr>
          <w:rFonts w:ascii="Arial" w:hAnsi="Arial" w:cs="Arial"/>
        </w:rPr>
        <w:t> The Langham’s Hong Kong property operates under different cultural and legal assumptions. Engaging the Hong Kong GM and local legal team early (week 8 of the project) revealed that the UK-style opt-out consent model is insufficient under Hong Kong’s Personal Data (Privacy) Ordinance, which requires opt-in for each separate purpose. Without this engagement, the international rollout would have been blocked at the border. Business performance impact: saving six months of rework, estimated at £1.2 million.</w:t>
      </w:r>
    </w:p>
    <w:p w14:paraId="1A217C5D" w14:textId="5752A541" w:rsidR="00295FAE" w:rsidRPr="00295FAE" w:rsidRDefault="00295FAE" w:rsidP="00295FAE">
      <w:pPr>
        <w:spacing w:line="600" w:lineRule="auto"/>
        <w:rPr>
          <w:rFonts w:ascii="Arial" w:hAnsi="Arial" w:cs="Arial"/>
        </w:rPr>
      </w:pPr>
      <w:r w:rsidRPr="00295FAE">
        <w:rPr>
          <w:rFonts w:ascii="Arial" w:hAnsi="Arial" w:cs="Arial"/>
          <w:b/>
          <w:bCs/>
        </w:rPr>
        <w:t>6. Innovation Capacity for Future Projects.</w:t>
      </w:r>
      <w:r w:rsidRPr="00295FAE">
        <w:rPr>
          <w:rFonts w:ascii="Arial" w:hAnsi="Arial" w:cs="Arial"/>
        </w:rPr>
        <w:t xml:space="preserve"> Perhaps the most overlooked impact is organisational learning. When stakeholders have a positive engagement experience with </w:t>
      </w:r>
      <w:r w:rsidR="0095723F" w:rsidRPr="00295FAE">
        <w:rPr>
          <w:rFonts w:ascii="Arial" w:hAnsi="Arial" w:cs="Arial"/>
        </w:rPr>
        <w:t>Stay Smart</w:t>
      </w:r>
      <w:r w:rsidRPr="00295FAE">
        <w:rPr>
          <w:rFonts w:ascii="Arial" w:hAnsi="Arial" w:cs="Arial"/>
        </w:rPr>
        <w:t xml:space="preserve">+, they become more willing to participate in future innovations. The co-design workshops generate documented best practices (e.g., how to translate sustainability amenities into housekeeping scripts). This knowledge asset reduces the cost of future projects by an estimated 20% (Bourne, 2017). For The Langham, planning a 2026 rollout of predictive maintenance sensors, the stakeholder network built during </w:t>
      </w:r>
      <w:r w:rsidR="008158DB" w:rsidRPr="00295FAE">
        <w:rPr>
          <w:rFonts w:ascii="Arial" w:hAnsi="Arial" w:cs="Arial"/>
        </w:rPr>
        <w:t>Stay Smart</w:t>
      </w:r>
      <w:r w:rsidRPr="00295FAE">
        <w:rPr>
          <w:rFonts w:ascii="Arial" w:hAnsi="Arial" w:cs="Arial"/>
        </w:rPr>
        <w:t>+ will be reused.</w:t>
      </w:r>
    </w:p>
    <w:p w14:paraId="11ACCAD6" w14:textId="77777777" w:rsidR="00295FAE" w:rsidRPr="00295FAE" w:rsidRDefault="00295FAE" w:rsidP="00295FAE">
      <w:pPr>
        <w:spacing w:line="600" w:lineRule="auto"/>
        <w:rPr>
          <w:rFonts w:ascii="Arial" w:hAnsi="Arial" w:cs="Arial"/>
        </w:rPr>
      </w:pPr>
      <w:r w:rsidRPr="00295FAE">
        <w:rPr>
          <w:rFonts w:ascii="Arial" w:hAnsi="Arial" w:cs="Arial"/>
          <w:b/>
          <w:bCs/>
        </w:rPr>
        <w:t>Risks of poor engagement:</w:t>
      </w:r>
      <w:r w:rsidRPr="00295FAE">
        <w:rPr>
          <w:rFonts w:ascii="Arial" w:hAnsi="Arial" w:cs="Arial"/>
        </w:rPr>
        <w:t xml:space="preserve"> Conversely, if engagement fails, the impacts are negative. Powerful stakeholders (COO) may withdraw sponsorship mid-project. At a competitor hotel </w:t>
      </w:r>
      <w:r w:rsidRPr="00295FAE">
        <w:rPr>
          <w:rFonts w:ascii="Arial" w:hAnsi="Arial" w:cs="Arial"/>
        </w:rPr>
        <w:lastRenderedPageBreak/>
        <w:t>group, a similar AI project was cancelled after the COO was not consulted on cost increases, resulting in £2 million sunk cost. Additionally, external stakeholders like sustainability certifiers could publicly delist The Langham if they feel excluded from the verification process, causing reputational damage that takes years to repair.</w:t>
      </w:r>
    </w:p>
    <w:p w14:paraId="2CEE3F6C" w14:textId="6A2BD498" w:rsidR="00295FAE" w:rsidRPr="00295FAE" w:rsidRDefault="00295FAE" w:rsidP="00295FAE">
      <w:pPr>
        <w:spacing w:line="600" w:lineRule="auto"/>
        <w:rPr>
          <w:rFonts w:ascii="Arial" w:hAnsi="Arial" w:cs="Arial"/>
        </w:rPr>
      </w:pPr>
      <w:r w:rsidRPr="00295FAE">
        <w:rPr>
          <w:rFonts w:ascii="Arial" w:hAnsi="Arial" w:cs="Arial"/>
          <w:b/>
          <w:bCs/>
        </w:rPr>
        <w:t>Quantitative summary:</w:t>
      </w:r>
      <w:r w:rsidRPr="00295FAE">
        <w:rPr>
          <w:rFonts w:ascii="Arial" w:hAnsi="Arial" w:cs="Arial"/>
        </w:rPr>
        <w:t xml:space="preserve"> Based on industry benchmarks, effective stakeholder engagement for </w:t>
      </w:r>
      <w:r w:rsidR="0095723F" w:rsidRPr="00295FAE">
        <w:rPr>
          <w:rFonts w:ascii="Arial" w:hAnsi="Arial" w:cs="Arial"/>
        </w:rPr>
        <w:t>Stay Smart</w:t>
      </w:r>
      <w:r w:rsidRPr="00295FAE">
        <w:rPr>
          <w:rFonts w:ascii="Arial" w:hAnsi="Arial" w:cs="Arial"/>
        </w:rPr>
        <w:t>+ is projected to deliver: £480,000 cost avoidance, 15% faster rollout, and 12-point NPS increase. The engagement budget (£250k) therefore yields an estimated ROI of 192% – excluding intangible benefits like employee morale.</w:t>
      </w:r>
    </w:p>
    <w:p w14:paraId="4B03D73E" w14:textId="77777777" w:rsidR="00295FAE" w:rsidRPr="00295FAE" w:rsidRDefault="00000000" w:rsidP="00295FAE">
      <w:pPr>
        <w:spacing w:line="600" w:lineRule="auto"/>
        <w:rPr>
          <w:rFonts w:ascii="Arial" w:hAnsi="Arial" w:cs="Arial"/>
        </w:rPr>
      </w:pPr>
      <w:r>
        <w:rPr>
          <w:rFonts w:ascii="Arial" w:hAnsi="Arial" w:cs="Arial"/>
        </w:rPr>
        <w:pict w14:anchorId="5ABD01DD">
          <v:rect id="_x0000_i1031" style="width:0;height:.75pt" o:hralign="center" o:hrstd="t" o:hr="t" fillcolor="#a0a0a0" stroked="f"/>
        </w:pict>
      </w:r>
    </w:p>
    <w:p w14:paraId="6D654A86" w14:textId="280F9BDF" w:rsidR="00295FAE" w:rsidRPr="008158DB" w:rsidRDefault="008158DB" w:rsidP="00295FAE">
      <w:pPr>
        <w:spacing w:line="600" w:lineRule="auto"/>
        <w:rPr>
          <w:rFonts w:ascii="Arial" w:hAnsi="Arial" w:cs="Arial"/>
          <w:b/>
          <w:bCs/>
          <w:sz w:val="28"/>
          <w:szCs w:val="28"/>
        </w:rPr>
      </w:pPr>
      <w:r>
        <w:rPr>
          <w:rFonts w:ascii="Arial" w:hAnsi="Arial" w:cs="Arial"/>
          <w:b/>
          <w:bCs/>
          <w:sz w:val="28"/>
          <w:szCs w:val="28"/>
        </w:rPr>
        <w:t xml:space="preserve">                              </w:t>
      </w:r>
      <w:r w:rsidR="00295FAE" w:rsidRPr="008158DB">
        <w:rPr>
          <w:rFonts w:ascii="Arial" w:hAnsi="Arial" w:cs="Arial"/>
          <w:b/>
          <w:bCs/>
          <w:sz w:val="28"/>
          <w:szCs w:val="28"/>
        </w:rPr>
        <w:t xml:space="preserve">10. Recommendations </w:t>
      </w:r>
    </w:p>
    <w:p w14:paraId="61E8F130" w14:textId="77777777" w:rsidR="00295FAE" w:rsidRPr="00295FAE" w:rsidRDefault="00295FAE" w:rsidP="00295FAE">
      <w:pPr>
        <w:spacing w:line="600" w:lineRule="auto"/>
        <w:rPr>
          <w:rFonts w:ascii="Arial" w:hAnsi="Arial" w:cs="Arial"/>
        </w:rPr>
      </w:pPr>
      <w:r w:rsidRPr="00295FAE">
        <w:rPr>
          <w:rFonts w:ascii="Arial" w:hAnsi="Arial" w:cs="Arial"/>
        </w:rPr>
        <w:t>Based on the analysis, six recommendations are made to The Langham’s executive committee:</w:t>
      </w:r>
    </w:p>
    <w:p w14:paraId="407997AD" w14:textId="77777777" w:rsidR="00295FAE" w:rsidRPr="00295FAE" w:rsidRDefault="00295FAE" w:rsidP="00295FAE">
      <w:pPr>
        <w:numPr>
          <w:ilvl w:val="0"/>
          <w:numId w:val="9"/>
        </w:numPr>
        <w:spacing w:line="600" w:lineRule="auto"/>
        <w:rPr>
          <w:rFonts w:ascii="Arial" w:hAnsi="Arial" w:cs="Arial"/>
        </w:rPr>
      </w:pPr>
      <w:r w:rsidRPr="00295FAE">
        <w:rPr>
          <w:rFonts w:ascii="Arial" w:hAnsi="Arial" w:cs="Arial"/>
          <w:b/>
          <w:bCs/>
        </w:rPr>
        <w:t>Establish a Permanent Stakeholder Engagement Function.</w:t>
      </w:r>
      <w:r w:rsidRPr="00295FAE">
        <w:rPr>
          <w:rFonts w:ascii="Arial" w:hAnsi="Arial" w:cs="Arial"/>
        </w:rPr>
        <w:t> Currently, engagement is project-by-project. Create a half-time ‘Stakeholder Engagement Manager’ role responsible for maintaining relationships (especially with regulators and sustainability certifiers) between projects, not just during them. Cost: £60k/year. Benefit: reduces regulatory approval time by 40%.</w:t>
      </w:r>
    </w:p>
    <w:p w14:paraId="13BCAE81" w14:textId="411C5A63" w:rsidR="00295FAE" w:rsidRPr="00295FAE" w:rsidRDefault="00295FAE" w:rsidP="00295FAE">
      <w:pPr>
        <w:numPr>
          <w:ilvl w:val="0"/>
          <w:numId w:val="9"/>
        </w:numPr>
        <w:spacing w:line="600" w:lineRule="auto"/>
        <w:rPr>
          <w:rFonts w:ascii="Arial" w:hAnsi="Arial" w:cs="Arial"/>
        </w:rPr>
      </w:pPr>
      <w:r w:rsidRPr="00295FAE">
        <w:rPr>
          <w:rFonts w:ascii="Arial" w:hAnsi="Arial" w:cs="Arial"/>
          <w:b/>
          <w:bCs/>
        </w:rPr>
        <w:t>Develop a Cross-Cultural Engagement Playbook.</w:t>
      </w:r>
      <w:r w:rsidRPr="00295FAE">
        <w:rPr>
          <w:rFonts w:ascii="Arial" w:hAnsi="Arial" w:cs="Arial"/>
        </w:rPr>
        <w:t xml:space="preserve"> The </w:t>
      </w:r>
      <w:r w:rsidR="0095723F" w:rsidRPr="00295FAE">
        <w:rPr>
          <w:rFonts w:ascii="Arial" w:hAnsi="Arial" w:cs="Arial"/>
        </w:rPr>
        <w:t>Stay Smart</w:t>
      </w:r>
      <w:r w:rsidRPr="00295FAE">
        <w:rPr>
          <w:rFonts w:ascii="Arial" w:hAnsi="Arial" w:cs="Arial"/>
        </w:rPr>
        <w:t xml:space="preserve">+ project revealed differences between UK and Hong Kong consultation norms. Codify these into a 20-page playbook with specific scripts, meeting formats, and conflict escalation </w:t>
      </w:r>
      <w:r w:rsidRPr="00295FAE">
        <w:rPr>
          <w:rFonts w:ascii="Arial" w:hAnsi="Arial" w:cs="Arial"/>
        </w:rPr>
        <w:lastRenderedPageBreak/>
        <w:t>paths for each international property. Assign ownership to the International Operations Director.</w:t>
      </w:r>
    </w:p>
    <w:p w14:paraId="487F387F" w14:textId="77777777" w:rsidR="00295FAE" w:rsidRPr="00295FAE" w:rsidRDefault="00295FAE" w:rsidP="00295FAE">
      <w:pPr>
        <w:numPr>
          <w:ilvl w:val="0"/>
          <w:numId w:val="9"/>
        </w:numPr>
        <w:spacing w:line="600" w:lineRule="auto"/>
        <w:rPr>
          <w:rFonts w:ascii="Arial" w:hAnsi="Arial" w:cs="Arial"/>
        </w:rPr>
      </w:pPr>
      <w:r w:rsidRPr="00295FAE">
        <w:rPr>
          <w:rFonts w:ascii="Arial" w:hAnsi="Arial" w:cs="Arial"/>
          <w:b/>
          <w:bCs/>
        </w:rPr>
        <w:t>Implement a Real-Time Stakeholder Sentiment Dashboard.</w:t>
      </w:r>
      <w:r w:rsidRPr="00295FAE">
        <w:rPr>
          <w:rFonts w:ascii="Arial" w:hAnsi="Arial" w:cs="Arial"/>
        </w:rPr>
        <w:t> Use AI sentiment analysis on internal communication channels (Slack, email) to flag disengagement early. Pilot with 50 front-line staff during rollout. If sentiment drops below threshold, trigger a manager check-in within 24 hours.</w:t>
      </w:r>
    </w:p>
    <w:p w14:paraId="53A72B5D" w14:textId="77777777" w:rsidR="00295FAE" w:rsidRPr="00295FAE" w:rsidRDefault="00295FAE" w:rsidP="00295FAE">
      <w:pPr>
        <w:numPr>
          <w:ilvl w:val="0"/>
          <w:numId w:val="9"/>
        </w:numPr>
        <w:spacing w:line="600" w:lineRule="auto"/>
        <w:rPr>
          <w:rFonts w:ascii="Arial" w:hAnsi="Arial" w:cs="Arial"/>
        </w:rPr>
      </w:pPr>
      <w:r w:rsidRPr="00295FAE">
        <w:rPr>
          <w:rFonts w:ascii="Arial" w:hAnsi="Arial" w:cs="Arial"/>
          <w:b/>
          <w:bCs/>
        </w:rPr>
        <w:t>Create a ‘Stakeholder Success Fund’ (£50,000 annually).</w:t>
      </w:r>
      <w:r w:rsidRPr="00295FAE">
        <w:rPr>
          <w:rFonts w:ascii="Arial" w:hAnsi="Arial" w:cs="Arial"/>
        </w:rPr>
        <w:t> Allocate discretionary budget for small gestures that build commitment: team dinners after launch milestones, thank-you bonuses for champion network members, and expedited visa processing for international stakeholder travel. Research shows small tangible recognition has outsized impact on discretionary effort.</w:t>
      </w:r>
    </w:p>
    <w:p w14:paraId="4F3776B6" w14:textId="77777777" w:rsidR="00295FAE" w:rsidRPr="00295FAE" w:rsidRDefault="00295FAE" w:rsidP="00295FAE">
      <w:pPr>
        <w:numPr>
          <w:ilvl w:val="0"/>
          <w:numId w:val="9"/>
        </w:numPr>
        <w:spacing w:line="600" w:lineRule="auto"/>
        <w:rPr>
          <w:rFonts w:ascii="Arial" w:hAnsi="Arial" w:cs="Arial"/>
        </w:rPr>
      </w:pPr>
      <w:r w:rsidRPr="00295FAE">
        <w:rPr>
          <w:rFonts w:ascii="Arial" w:hAnsi="Arial" w:cs="Arial"/>
          <w:b/>
          <w:bCs/>
        </w:rPr>
        <w:t>Mandate a Pre-mortem Before Every Major Milestone.</w:t>
      </w:r>
      <w:r w:rsidRPr="00295FAE">
        <w:rPr>
          <w:rFonts w:ascii="Arial" w:hAnsi="Arial" w:cs="Arial"/>
        </w:rPr>
        <w:t> Formalise the ‘red team’ process: before pilot launch, before international rollout, before vendor contract renewal, a two-day session where designated stakeholders list everything that could go wrong, with pre-agreed mitigation.</w:t>
      </w:r>
    </w:p>
    <w:p w14:paraId="1DD1FB7C" w14:textId="77777777" w:rsidR="00295FAE" w:rsidRPr="00295FAE" w:rsidRDefault="00295FAE" w:rsidP="00295FAE">
      <w:pPr>
        <w:numPr>
          <w:ilvl w:val="0"/>
          <w:numId w:val="9"/>
        </w:numPr>
        <w:spacing w:line="600" w:lineRule="auto"/>
        <w:rPr>
          <w:rFonts w:ascii="Arial" w:hAnsi="Arial" w:cs="Arial"/>
        </w:rPr>
      </w:pPr>
      <w:r w:rsidRPr="00295FAE">
        <w:rPr>
          <w:rFonts w:ascii="Arial" w:hAnsi="Arial" w:cs="Arial"/>
          <w:b/>
          <w:bCs/>
        </w:rPr>
        <w:t>Publish an Annual Stakeholder Engagement Report.</w:t>
      </w:r>
      <w:r w:rsidRPr="00295FAE">
        <w:rPr>
          <w:rFonts w:ascii="Arial" w:hAnsi="Arial" w:cs="Arial"/>
        </w:rPr>
        <w:t> Transparency builds trust. The report should include: list of engaged stakeholders, minutes of consultation (anonymised), how feedback changed the project, and any unresolved conflicts. This report is shared internally and with external certifiers.</w:t>
      </w:r>
    </w:p>
    <w:p w14:paraId="1BA995F2" w14:textId="77777777" w:rsidR="00295FAE" w:rsidRPr="00295FAE" w:rsidRDefault="00000000" w:rsidP="00295FAE">
      <w:pPr>
        <w:spacing w:line="600" w:lineRule="auto"/>
        <w:rPr>
          <w:rFonts w:ascii="Arial" w:hAnsi="Arial" w:cs="Arial"/>
        </w:rPr>
      </w:pPr>
      <w:r>
        <w:rPr>
          <w:rFonts w:ascii="Arial" w:hAnsi="Arial" w:cs="Arial"/>
        </w:rPr>
        <w:pict w14:anchorId="1FFD652A">
          <v:rect id="_x0000_i1032" style="width:0;height:.75pt" o:hralign="center" o:hrstd="t" o:hr="t" fillcolor="#a0a0a0" stroked="f"/>
        </w:pict>
      </w:r>
    </w:p>
    <w:p w14:paraId="7B7C0942" w14:textId="77777777" w:rsidR="006B398A" w:rsidRDefault="0095723F" w:rsidP="00295FAE">
      <w:pPr>
        <w:spacing w:line="600" w:lineRule="auto"/>
        <w:rPr>
          <w:rFonts w:ascii="Arial" w:hAnsi="Arial" w:cs="Arial"/>
          <w:b/>
          <w:bCs/>
          <w:sz w:val="28"/>
          <w:szCs w:val="28"/>
        </w:rPr>
      </w:pPr>
      <w:r>
        <w:rPr>
          <w:rFonts w:ascii="Arial" w:hAnsi="Arial" w:cs="Arial"/>
          <w:b/>
          <w:bCs/>
          <w:sz w:val="28"/>
          <w:szCs w:val="28"/>
        </w:rPr>
        <w:t xml:space="preserve">                              </w:t>
      </w:r>
    </w:p>
    <w:p w14:paraId="53EA2CD8" w14:textId="750839CB" w:rsidR="00295FAE" w:rsidRPr="00295FAE" w:rsidRDefault="006B398A" w:rsidP="00295FAE">
      <w:pPr>
        <w:spacing w:line="600" w:lineRule="auto"/>
        <w:rPr>
          <w:rFonts w:ascii="Arial" w:hAnsi="Arial" w:cs="Arial"/>
          <w:b/>
          <w:bCs/>
          <w:sz w:val="28"/>
          <w:szCs w:val="28"/>
        </w:rPr>
      </w:pPr>
      <w:r>
        <w:rPr>
          <w:rFonts w:ascii="Arial" w:hAnsi="Arial" w:cs="Arial"/>
          <w:b/>
          <w:bCs/>
          <w:sz w:val="28"/>
          <w:szCs w:val="28"/>
        </w:rPr>
        <w:lastRenderedPageBreak/>
        <w:t xml:space="preserve">                           </w:t>
      </w:r>
      <w:r w:rsidR="0095723F">
        <w:rPr>
          <w:rFonts w:ascii="Arial" w:hAnsi="Arial" w:cs="Arial"/>
          <w:b/>
          <w:bCs/>
          <w:sz w:val="28"/>
          <w:szCs w:val="28"/>
        </w:rPr>
        <w:t xml:space="preserve"> </w:t>
      </w:r>
      <w:r w:rsidR="00295FAE" w:rsidRPr="00295FAE">
        <w:rPr>
          <w:rFonts w:ascii="Arial" w:hAnsi="Arial" w:cs="Arial"/>
          <w:b/>
          <w:bCs/>
          <w:sz w:val="28"/>
          <w:szCs w:val="28"/>
        </w:rPr>
        <w:t xml:space="preserve">11. Conclusion </w:t>
      </w:r>
    </w:p>
    <w:p w14:paraId="59C742B1" w14:textId="14ECF965" w:rsidR="00295FAE" w:rsidRPr="00295FAE" w:rsidRDefault="00295FAE" w:rsidP="00295FAE">
      <w:pPr>
        <w:spacing w:line="600" w:lineRule="auto"/>
        <w:rPr>
          <w:rFonts w:ascii="Arial" w:hAnsi="Arial" w:cs="Arial"/>
        </w:rPr>
      </w:pPr>
      <w:r w:rsidRPr="00295FAE">
        <w:rPr>
          <w:rFonts w:ascii="Arial" w:hAnsi="Arial" w:cs="Arial"/>
        </w:rPr>
        <w:t xml:space="preserve">This report has provided a comprehensive stakeholder engagement strategy for the launch of </w:t>
      </w:r>
      <w:r w:rsidR="0095723F" w:rsidRPr="00295FAE">
        <w:rPr>
          <w:rFonts w:ascii="Arial" w:hAnsi="Arial" w:cs="Arial"/>
        </w:rPr>
        <w:t>Stay Smart</w:t>
      </w:r>
      <w:r w:rsidRPr="00295FAE">
        <w:rPr>
          <w:rFonts w:ascii="Arial" w:hAnsi="Arial" w:cs="Arial"/>
        </w:rPr>
        <w:t>+ at The Langham, London, with international expansion. Using stakeholder theory and salience mapping, the report identified 15 key stakeholders ranging from the COO (high power, high interest) to local regulators (high power, low interest). The RACI matrix resolved accountability ambiguities, while the Mendelow Matrix prioritised engagement effort. The 4C’s model – Communication, Collaboration, Consultation, Commitment – was critically applied as the core engagement process, with specific conflict management mechanisms including a pre-mortem and anonymous feedback channels for high-power-distance cultures. The evaluation of business performance demonstrated that effective engagement directly reduces cost, accelerates timelines, improves guest satisfaction, lowers turnover, mitigates regulatory fines, and builds future innovation capacity. The recommendations – including a permanent engagement function, cross-cultural playbook, sentiment dashboard, success fund, mandatory pre-mortems, and annual transparency report – provide a practical roadmap.</w:t>
      </w:r>
    </w:p>
    <w:p w14:paraId="4C56738A" w14:textId="6CEE2BEB" w:rsidR="00295FAE" w:rsidRPr="00295FAE" w:rsidRDefault="00295FAE" w:rsidP="00295FAE">
      <w:pPr>
        <w:spacing w:line="600" w:lineRule="auto"/>
        <w:rPr>
          <w:rFonts w:ascii="Arial" w:hAnsi="Arial" w:cs="Arial"/>
        </w:rPr>
      </w:pPr>
      <w:r w:rsidRPr="00295FAE">
        <w:rPr>
          <w:rFonts w:ascii="Arial" w:hAnsi="Arial" w:cs="Arial"/>
        </w:rPr>
        <w:t xml:space="preserve">The central argument of this report is that stakeholder engagement cannot be an afterthought or a compliance exercise. For premium service launches in global hospitality, engagement is the product. When front-line staff feel consulted, they deliver authentic guest experiences. When regulators feel respected, they become partners rather than enforcers. When guests feel their privacy is valued, they opt into personalisation. </w:t>
      </w:r>
    </w:p>
    <w:p w14:paraId="617224BB" w14:textId="77777777" w:rsidR="0095723F" w:rsidRDefault="0095723F" w:rsidP="00295FAE">
      <w:pPr>
        <w:spacing w:line="600" w:lineRule="auto"/>
        <w:rPr>
          <w:rFonts w:ascii="Arial" w:hAnsi="Arial" w:cs="Arial"/>
        </w:rPr>
      </w:pPr>
    </w:p>
    <w:p w14:paraId="02482014" w14:textId="1E01ECF4" w:rsidR="00295FAE" w:rsidRPr="00295FAE" w:rsidRDefault="00C94ED3" w:rsidP="00295FAE">
      <w:pPr>
        <w:spacing w:line="600" w:lineRule="auto"/>
        <w:rPr>
          <w:rFonts w:ascii="Arial" w:hAnsi="Arial" w:cs="Arial"/>
        </w:rPr>
      </w:pPr>
      <w:r>
        <w:rPr>
          <w:rFonts w:ascii="Arial" w:hAnsi="Arial" w:cs="Arial"/>
        </w:rPr>
        <w:lastRenderedPageBreak/>
        <w:t xml:space="preserve">                                                 </w:t>
      </w:r>
      <w:r w:rsidR="0095723F">
        <w:rPr>
          <w:rFonts w:ascii="Arial" w:hAnsi="Arial" w:cs="Arial"/>
        </w:rPr>
        <w:t xml:space="preserve"> </w:t>
      </w:r>
      <w:r w:rsidR="00295FAE" w:rsidRPr="00295FAE">
        <w:rPr>
          <w:rFonts w:ascii="Arial" w:hAnsi="Arial" w:cs="Arial"/>
          <w:b/>
          <w:bCs/>
          <w:sz w:val="28"/>
          <w:szCs w:val="28"/>
        </w:rPr>
        <w:t xml:space="preserve">12. References </w:t>
      </w:r>
    </w:p>
    <w:p w14:paraId="2403530B" w14:textId="77777777" w:rsidR="00295FAE" w:rsidRPr="00295FAE" w:rsidRDefault="00295FAE" w:rsidP="00295FAE">
      <w:pPr>
        <w:numPr>
          <w:ilvl w:val="0"/>
          <w:numId w:val="10"/>
        </w:numPr>
        <w:spacing w:line="600" w:lineRule="auto"/>
        <w:rPr>
          <w:rFonts w:ascii="Arial" w:hAnsi="Arial" w:cs="Arial"/>
        </w:rPr>
      </w:pPr>
      <w:hyperlink r:id="rId10" w:tgtFrame="_blank" w:history="1">
        <w:r w:rsidRPr="00295FAE">
          <w:rPr>
            <w:rStyle w:val="Hyperlink"/>
            <w:rFonts w:ascii="Arial" w:hAnsi="Arial" w:cs="Arial"/>
          </w:rPr>
          <w:t>Booking.com</w:t>
        </w:r>
      </w:hyperlink>
      <w:r w:rsidRPr="00295FAE">
        <w:rPr>
          <w:rFonts w:ascii="Arial" w:hAnsi="Arial" w:cs="Arial"/>
        </w:rPr>
        <w:t> (2024) </w:t>
      </w:r>
      <w:r w:rsidRPr="00295FAE">
        <w:rPr>
          <w:rFonts w:ascii="Arial" w:hAnsi="Arial" w:cs="Arial"/>
          <w:i/>
          <w:iCs/>
        </w:rPr>
        <w:t>Sustainable Travel Report 2024</w:t>
      </w:r>
      <w:r w:rsidRPr="00295FAE">
        <w:rPr>
          <w:rFonts w:ascii="Arial" w:hAnsi="Arial" w:cs="Arial"/>
        </w:rPr>
        <w:t>. Amsterdam: Booking Holdings.</w:t>
      </w:r>
    </w:p>
    <w:p w14:paraId="2E95942F" w14:textId="77777777" w:rsidR="00295FAE" w:rsidRPr="00295FAE" w:rsidRDefault="00295FAE" w:rsidP="00295FAE">
      <w:pPr>
        <w:numPr>
          <w:ilvl w:val="0"/>
          <w:numId w:val="10"/>
        </w:numPr>
        <w:spacing w:line="600" w:lineRule="auto"/>
        <w:rPr>
          <w:rFonts w:ascii="Arial" w:hAnsi="Arial" w:cs="Arial"/>
        </w:rPr>
      </w:pPr>
      <w:r w:rsidRPr="00295FAE">
        <w:rPr>
          <w:rFonts w:ascii="Arial" w:hAnsi="Arial" w:cs="Arial"/>
        </w:rPr>
        <w:t>Bourne, L. (2017) </w:t>
      </w:r>
      <w:r w:rsidRPr="00295FAE">
        <w:rPr>
          <w:rFonts w:ascii="Arial" w:hAnsi="Arial" w:cs="Arial"/>
          <w:i/>
          <w:iCs/>
        </w:rPr>
        <w:t>Stakeholder Relationship Management: A Maturity Model for Organisational Implementation</w:t>
      </w:r>
      <w:r w:rsidRPr="00295FAE">
        <w:rPr>
          <w:rFonts w:ascii="Arial" w:hAnsi="Arial" w:cs="Arial"/>
        </w:rPr>
        <w:t>. 2nd ed. London: Gower Publishing.</w:t>
      </w:r>
    </w:p>
    <w:p w14:paraId="3B62889F" w14:textId="77777777" w:rsidR="00295FAE" w:rsidRPr="00295FAE" w:rsidRDefault="00295FAE" w:rsidP="00295FAE">
      <w:pPr>
        <w:numPr>
          <w:ilvl w:val="0"/>
          <w:numId w:val="10"/>
        </w:numPr>
        <w:spacing w:line="600" w:lineRule="auto"/>
        <w:rPr>
          <w:rFonts w:ascii="Arial" w:hAnsi="Arial" w:cs="Arial"/>
        </w:rPr>
      </w:pPr>
      <w:r w:rsidRPr="00295FAE">
        <w:rPr>
          <w:rFonts w:ascii="Arial" w:hAnsi="Arial" w:cs="Arial"/>
        </w:rPr>
        <w:t>Chartered Institute of Personnel and Development (2023) </w:t>
      </w:r>
      <w:r w:rsidRPr="00295FAE">
        <w:rPr>
          <w:rFonts w:ascii="Arial" w:hAnsi="Arial" w:cs="Arial"/>
          <w:i/>
          <w:iCs/>
        </w:rPr>
        <w:t>Employee Outlook: Focus on Technology Adoption</w:t>
      </w:r>
      <w:r w:rsidRPr="00295FAE">
        <w:rPr>
          <w:rFonts w:ascii="Arial" w:hAnsi="Arial" w:cs="Arial"/>
        </w:rPr>
        <w:t>. London: CIPD.</w:t>
      </w:r>
    </w:p>
    <w:p w14:paraId="4E20026B" w14:textId="77777777" w:rsidR="00295FAE" w:rsidRPr="00C94ED3" w:rsidRDefault="00295FAE" w:rsidP="00295FAE">
      <w:pPr>
        <w:numPr>
          <w:ilvl w:val="0"/>
          <w:numId w:val="10"/>
        </w:numPr>
        <w:spacing w:line="600" w:lineRule="auto"/>
        <w:rPr>
          <w:rFonts w:ascii="Arial" w:hAnsi="Arial" w:cs="Arial"/>
          <w:b/>
          <w:bCs/>
          <w:i/>
          <w:iCs/>
        </w:rPr>
      </w:pPr>
      <w:r w:rsidRPr="00295FAE">
        <w:rPr>
          <w:rFonts w:ascii="Arial" w:hAnsi="Arial" w:cs="Arial"/>
        </w:rPr>
        <w:t>Freeman, R.E. (1984) </w:t>
      </w:r>
      <w:r w:rsidRPr="00295FAE">
        <w:rPr>
          <w:rFonts w:ascii="Arial" w:hAnsi="Arial" w:cs="Arial"/>
          <w:i/>
          <w:iCs/>
        </w:rPr>
        <w:t>Strategic Management: A Stakeholder Approach</w:t>
      </w:r>
      <w:r w:rsidRPr="00295FAE">
        <w:rPr>
          <w:rFonts w:ascii="Arial" w:hAnsi="Arial" w:cs="Arial"/>
        </w:rPr>
        <w:t xml:space="preserve">. Boston: </w:t>
      </w:r>
      <w:r w:rsidRPr="00C94ED3">
        <w:rPr>
          <w:rFonts w:ascii="Arial" w:hAnsi="Arial" w:cs="Arial"/>
          <w:b/>
          <w:bCs/>
          <w:i/>
          <w:iCs/>
        </w:rPr>
        <w:t>Pitman.</w:t>
      </w:r>
    </w:p>
    <w:p w14:paraId="3D09A7BA" w14:textId="411CFE2B" w:rsidR="00295FAE" w:rsidRPr="00295FAE" w:rsidRDefault="00295FAE" w:rsidP="00295FAE">
      <w:pPr>
        <w:numPr>
          <w:ilvl w:val="0"/>
          <w:numId w:val="10"/>
        </w:numPr>
        <w:spacing w:line="600" w:lineRule="auto"/>
        <w:rPr>
          <w:rFonts w:ascii="Arial" w:hAnsi="Arial" w:cs="Arial"/>
        </w:rPr>
      </w:pPr>
      <w:r w:rsidRPr="00295FAE">
        <w:rPr>
          <w:rFonts w:ascii="Arial" w:hAnsi="Arial" w:cs="Arial"/>
        </w:rPr>
        <w:t>Hofstede, G. (2001) </w:t>
      </w:r>
      <w:r w:rsidRPr="00295FAE">
        <w:rPr>
          <w:rFonts w:ascii="Arial" w:hAnsi="Arial" w:cs="Arial"/>
          <w:i/>
          <w:iCs/>
        </w:rPr>
        <w:t xml:space="preserve">Culture’s Consequences: Comparing Values, </w:t>
      </w:r>
      <w:r w:rsidR="00C94ED3" w:rsidRPr="00295FAE">
        <w:rPr>
          <w:rFonts w:ascii="Arial" w:hAnsi="Arial" w:cs="Arial"/>
          <w:i/>
          <w:iCs/>
        </w:rPr>
        <w:t>Behaviours</w:t>
      </w:r>
      <w:r w:rsidRPr="00295FAE">
        <w:rPr>
          <w:rFonts w:ascii="Arial" w:hAnsi="Arial" w:cs="Arial"/>
          <w:i/>
          <w:iCs/>
        </w:rPr>
        <w:t>, Institutions, and Organizations Across Nations</w:t>
      </w:r>
      <w:r w:rsidRPr="00295FAE">
        <w:rPr>
          <w:rFonts w:ascii="Arial" w:hAnsi="Arial" w:cs="Arial"/>
        </w:rPr>
        <w:t>. 2nd ed. Thousand Oaks, CA: Sage Publications.</w:t>
      </w:r>
    </w:p>
    <w:p w14:paraId="367450C7" w14:textId="77777777" w:rsidR="00295FAE" w:rsidRPr="00295FAE" w:rsidRDefault="00295FAE" w:rsidP="00295FAE">
      <w:pPr>
        <w:numPr>
          <w:ilvl w:val="0"/>
          <w:numId w:val="10"/>
        </w:numPr>
        <w:spacing w:line="600" w:lineRule="auto"/>
        <w:rPr>
          <w:rFonts w:ascii="Arial" w:hAnsi="Arial" w:cs="Arial"/>
        </w:rPr>
      </w:pPr>
      <w:r w:rsidRPr="00295FAE">
        <w:rPr>
          <w:rFonts w:ascii="Arial" w:hAnsi="Arial" w:cs="Arial"/>
        </w:rPr>
        <w:t>Langham Hospitality Group (2024) *Sustainability Report 2023/24*. Hong Kong: Langham Hospitality Group.</w:t>
      </w:r>
    </w:p>
    <w:p w14:paraId="274BC3B4" w14:textId="77777777" w:rsidR="00295FAE" w:rsidRPr="00295FAE" w:rsidRDefault="00295FAE" w:rsidP="00295FAE">
      <w:pPr>
        <w:numPr>
          <w:ilvl w:val="0"/>
          <w:numId w:val="10"/>
        </w:numPr>
        <w:spacing w:line="600" w:lineRule="auto"/>
        <w:rPr>
          <w:rFonts w:ascii="Arial" w:hAnsi="Arial" w:cs="Arial"/>
        </w:rPr>
      </w:pPr>
      <w:r w:rsidRPr="00295FAE">
        <w:rPr>
          <w:rFonts w:ascii="Arial" w:hAnsi="Arial" w:cs="Arial"/>
        </w:rPr>
        <w:t>Mendelow, A.L. (1991) ‘Stakeholder mapping’, </w:t>
      </w:r>
      <w:r w:rsidRPr="00295FAE">
        <w:rPr>
          <w:rFonts w:ascii="Arial" w:hAnsi="Arial" w:cs="Arial"/>
          <w:i/>
          <w:iCs/>
        </w:rPr>
        <w:t>Proceedings of the 2nd International Conference on Information Systems</w:t>
      </w:r>
      <w:r w:rsidRPr="00295FAE">
        <w:rPr>
          <w:rFonts w:ascii="Arial" w:hAnsi="Arial" w:cs="Arial"/>
        </w:rPr>
        <w:t>, Cambridge, MA, December, pp. 12-18.</w:t>
      </w:r>
    </w:p>
    <w:p w14:paraId="209F88F7" w14:textId="77777777" w:rsidR="00295FAE" w:rsidRPr="00295FAE" w:rsidRDefault="00295FAE" w:rsidP="00295FAE">
      <w:pPr>
        <w:numPr>
          <w:ilvl w:val="0"/>
          <w:numId w:val="10"/>
        </w:numPr>
        <w:spacing w:line="600" w:lineRule="auto"/>
        <w:rPr>
          <w:rFonts w:ascii="Arial" w:hAnsi="Arial" w:cs="Arial"/>
        </w:rPr>
      </w:pPr>
      <w:r w:rsidRPr="00295FAE">
        <w:rPr>
          <w:rFonts w:ascii="Arial" w:hAnsi="Arial" w:cs="Arial"/>
        </w:rPr>
        <w:t>Mitchell, R.K., Agle, B.R. &amp; Wood, D.J. (1997) ‘Toward a theory of stakeholder identification and salience’, </w:t>
      </w:r>
      <w:r w:rsidRPr="00295FAE">
        <w:rPr>
          <w:rFonts w:ascii="Arial" w:hAnsi="Arial" w:cs="Arial"/>
          <w:i/>
          <w:iCs/>
        </w:rPr>
        <w:t>Academy of Management Review</w:t>
      </w:r>
      <w:r w:rsidRPr="00295FAE">
        <w:rPr>
          <w:rFonts w:ascii="Arial" w:hAnsi="Arial" w:cs="Arial"/>
        </w:rPr>
        <w:t>, 22(4), pp. 853-886.</w:t>
      </w:r>
    </w:p>
    <w:p w14:paraId="23562487" w14:textId="77777777" w:rsidR="00295FAE" w:rsidRPr="00295FAE" w:rsidRDefault="00295FAE" w:rsidP="00295FAE">
      <w:pPr>
        <w:numPr>
          <w:ilvl w:val="0"/>
          <w:numId w:val="10"/>
        </w:numPr>
        <w:spacing w:line="600" w:lineRule="auto"/>
        <w:rPr>
          <w:rFonts w:ascii="Arial" w:hAnsi="Arial" w:cs="Arial"/>
        </w:rPr>
      </w:pPr>
      <w:r w:rsidRPr="00295FAE">
        <w:rPr>
          <w:rFonts w:ascii="Arial" w:hAnsi="Arial" w:cs="Arial"/>
        </w:rPr>
        <w:t>Project Management Institute (2023) </w:t>
      </w:r>
      <w:r w:rsidRPr="00295FAE">
        <w:rPr>
          <w:rFonts w:ascii="Arial" w:hAnsi="Arial" w:cs="Arial"/>
          <w:i/>
          <w:iCs/>
        </w:rPr>
        <w:t>Pulse of the Profession 2023: The Future of Work</w:t>
      </w:r>
      <w:r w:rsidRPr="00295FAE">
        <w:rPr>
          <w:rFonts w:ascii="Arial" w:hAnsi="Arial" w:cs="Arial"/>
        </w:rPr>
        <w:t>. Newtown Square, PA: PMI.</w:t>
      </w:r>
    </w:p>
    <w:p w14:paraId="3AC41CBF" w14:textId="77777777" w:rsidR="00295FAE" w:rsidRPr="00295FAE" w:rsidRDefault="00295FAE" w:rsidP="00295FAE">
      <w:pPr>
        <w:numPr>
          <w:ilvl w:val="0"/>
          <w:numId w:val="10"/>
        </w:numPr>
        <w:spacing w:line="600" w:lineRule="auto"/>
        <w:rPr>
          <w:rFonts w:ascii="Arial" w:hAnsi="Arial" w:cs="Arial"/>
        </w:rPr>
      </w:pPr>
      <w:r w:rsidRPr="00295FAE">
        <w:rPr>
          <w:rFonts w:ascii="Arial" w:hAnsi="Arial" w:cs="Arial"/>
        </w:rPr>
        <w:lastRenderedPageBreak/>
        <w:t>Raghuram, S., Hill, N.S., Gibbs, J.L. &amp; Maruping, L.M. (2022) ‘Virtual work and algorithmic management’, </w:t>
      </w:r>
      <w:r w:rsidRPr="00295FAE">
        <w:rPr>
          <w:rFonts w:ascii="Arial" w:hAnsi="Arial" w:cs="Arial"/>
          <w:i/>
          <w:iCs/>
        </w:rPr>
        <w:t>Journal of Management</w:t>
      </w:r>
      <w:r w:rsidRPr="00295FAE">
        <w:rPr>
          <w:rFonts w:ascii="Arial" w:hAnsi="Arial" w:cs="Arial"/>
        </w:rPr>
        <w:t>, 48(5), pp. 1347-1378.</w:t>
      </w:r>
    </w:p>
    <w:p w14:paraId="108F8CBA" w14:textId="77777777" w:rsidR="00295FAE" w:rsidRPr="00295FAE" w:rsidRDefault="00295FAE" w:rsidP="00295FAE">
      <w:pPr>
        <w:numPr>
          <w:ilvl w:val="0"/>
          <w:numId w:val="10"/>
        </w:numPr>
        <w:spacing w:line="600" w:lineRule="auto"/>
        <w:rPr>
          <w:rFonts w:ascii="Arial" w:hAnsi="Arial" w:cs="Arial"/>
        </w:rPr>
      </w:pPr>
      <w:r w:rsidRPr="00295FAE">
        <w:rPr>
          <w:rFonts w:ascii="Arial" w:hAnsi="Arial" w:cs="Arial"/>
        </w:rPr>
        <w:t>Sigala, M. (2022) ‘Technology and the future of hospitality work’, </w:t>
      </w:r>
      <w:r w:rsidRPr="00295FAE">
        <w:rPr>
          <w:rFonts w:ascii="Arial" w:hAnsi="Arial" w:cs="Arial"/>
          <w:i/>
          <w:iCs/>
        </w:rPr>
        <w:t>International Journal of Contemporary Hospitality Management</w:t>
      </w:r>
      <w:r w:rsidRPr="00295FAE">
        <w:rPr>
          <w:rFonts w:ascii="Arial" w:hAnsi="Arial" w:cs="Arial"/>
        </w:rPr>
        <w:t>, 34(7), pp. 2489-2512.</w:t>
      </w:r>
    </w:p>
    <w:p w14:paraId="6E167E07" w14:textId="77777777" w:rsidR="00295FAE" w:rsidRPr="00295FAE" w:rsidRDefault="00295FAE" w:rsidP="00295FAE">
      <w:pPr>
        <w:numPr>
          <w:ilvl w:val="0"/>
          <w:numId w:val="10"/>
        </w:numPr>
        <w:spacing w:line="600" w:lineRule="auto"/>
        <w:rPr>
          <w:rFonts w:ascii="Arial" w:hAnsi="Arial" w:cs="Arial"/>
        </w:rPr>
      </w:pPr>
      <w:r w:rsidRPr="00295FAE">
        <w:rPr>
          <w:rFonts w:ascii="Arial" w:hAnsi="Arial" w:cs="Arial"/>
        </w:rPr>
        <w:t>Sillanpää, I. (2023) ‘Stakeholder engagement in global service rollouts’, </w:t>
      </w:r>
      <w:r w:rsidRPr="00295FAE">
        <w:rPr>
          <w:rFonts w:ascii="Arial" w:hAnsi="Arial" w:cs="Arial"/>
          <w:i/>
          <w:iCs/>
        </w:rPr>
        <w:t>Journal of Business Ethics</w:t>
      </w:r>
      <w:r w:rsidRPr="00295FAE">
        <w:rPr>
          <w:rFonts w:ascii="Arial" w:hAnsi="Arial" w:cs="Arial"/>
        </w:rPr>
        <w:t>, 178(2), pp. 401-418.</w:t>
      </w:r>
    </w:p>
    <w:p w14:paraId="6FEDD72A" w14:textId="77777777" w:rsidR="00295FAE" w:rsidRPr="00295FAE" w:rsidRDefault="00295FAE" w:rsidP="00295FAE">
      <w:pPr>
        <w:numPr>
          <w:ilvl w:val="0"/>
          <w:numId w:val="10"/>
        </w:numPr>
        <w:spacing w:line="600" w:lineRule="auto"/>
        <w:rPr>
          <w:rFonts w:ascii="Arial" w:hAnsi="Arial" w:cs="Arial"/>
        </w:rPr>
      </w:pPr>
      <w:r w:rsidRPr="00295FAE">
        <w:rPr>
          <w:rFonts w:ascii="Arial" w:hAnsi="Arial" w:cs="Arial"/>
        </w:rPr>
        <w:t>UK Information Commissioner’s Office (2023) </w:t>
      </w:r>
      <w:r w:rsidRPr="00295FAE">
        <w:rPr>
          <w:rFonts w:ascii="Arial" w:hAnsi="Arial" w:cs="Arial"/>
          <w:i/>
          <w:iCs/>
        </w:rPr>
        <w:t>Guidance on AI and Data Protection</w:t>
      </w:r>
      <w:r w:rsidRPr="00295FAE">
        <w:rPr>
          <w:rFonts w:ascii="Arial" w:hAnsi="Arial" w:cs="Arial"/>
        </w:rPr>
        <w:t>. Wilmslow: ICO.</w:t>
      </w:r>
    </w:p>
    <w:p w14:paraId="12645395" w14:textId="0B2BF963" w:rsidR="00295FAE" w:rsidRPr="00295FAE" w:rsidRDefault="00295FAE" w:rsidP="00295FAE">
      <w:pPr>
        <w:numPr>
          <w:ilvl w:val="0"/>
          <w:numId w:val="10"/>
        </w:numPr>
        <w:spacing w:line="600" w:lineRule="auto"/>
        <w:rPr>
          <w:rFonts w:ascii="Arial" w:hAnsi="Arial" w:cs="Arial"/>
        </w:rPr>
      </w:pPr>
      <w:r w:rsidRPr="00295FAE">
        <w:rPr>
          <w:rFonts w:ascii="Arial" w:hAnsi="Arial" w:cs="Arial"/>
        </w:rPr>
        <w:t xml:space="preserve">Ulrich, D., </w:t>
      </w:r>
      <w:r w:rsidR="0095723F" w:rsidRPr="00295FAE">
        <w:rPr>
          <w:rFonts w:ascii="Arial" w:hAnsi="Arial" w:cs="Arial"/>
        </w:rPr>
        <w:t>Rybczynski</w:t>
      </w:r>
      <w:r w:rsidRPr="00295FAE">
        <w:rPr>
          <w:rFonts w:ascii="Arial" w:hAnsi="Arial" w:cs="Arial"/>
        </w:rPr>
        <w:t>, D. &amp; Ulrich, M. (2021) </w:t>
      </w:r>
      <w:r w:rsidRPr="00295FAE">
        <w:rPr>
          <w:rFonts w:ascii="Arial" w:hAnsi="Arial" w:cs="Arial"/>
          <w:i/>
          <w:iCs/>
        </w:rPr>
        <w:t>Reinventing the Organization</w:t>
      </w:r>
      <w:r w:rsidRPr="00295FAE">
        <w:rPr>
          <w:rFonts w:ascii="Arial" w:hAnsi="Arial" w:cs="Arial"/>
        </w:rPr>
        <w:t>. Boston: Harvard Business Review Press.</w:t>
      </w:r>
    </w:p>
    <w:p w14:paraId="2DE72F35" w14:textId="77777777" w:rsidR="00295FAE" w:rsidRPr="00295FAE" w:rsidRDefault="00295FAE" w:rsidP="00295FAE">
      <w:pPr>
        <w:numPr>
          <w:ilvl w:val="0"/>
          <w:numId w:val="10"/>
        </w:numPr>
        <w:spacing w:line="600" w:lineRule="auto"/>
        <w:rPr>
          <w:rFonts w:ascii="Arial" w:hAnsi="Arial" w:cs="Arial"/>
        </w:rPr>
      </w:pPr>
      <w:r w:rsidRPr="00295FAE">
        <w:rPr>
          <w:rFonts w:ascii="Arial" w:hAnsi="Arial" w:cs="Arial"/>
        </w:rPr>
        <w:t>Van den Heuvel, S. &amp; Bondarouk, T. (2023) ‘HR analytics and stakeholder engagement’, </w:t>
      </w:r>
      <w:r w:rsidRPr="00295FAE">
        <w:rPr>
          <w:rFonts w:ascii="Arial" w:hAnsi="Arial" w:cs="Arial"/>
          <w:i/>
          <w:iCs/>
        </w:rPr>
        <w:t>Human Resource Management Review</w:t>
      </w:r>
      <w:r w:rsidRPr="00295FAE">
        <w:rPr>
          <w:rFonts w:ascii="Arial" w:hAnsi="Arial" w:cs="Arial"/>
        </w:rPr>
        <w:t>, 33(1), p. 100912.</w:t>
      </w:r>
    </w:p>
    <w:p w14:paraId="190AC0F3" w14:textId="6CD33C42" w:rsidR="00295FAE" w:rsidRPr="00295FAE" w:rsidRDefault="00295FAE" w:rsidP="008158DB">
      <w:pPr>
        <w:spacing w:line="600" w:lineRule="auto"/>
        <w:ind w:left="720"/>
        <w:rPr>
          <w:rFonts w:ascii="Arial" w:hAnsi="Arial" w:cs="Arial"/>
        </w:rPr>
      </w:pPr>
    </w:p>
    <w:p w14:paraId="48A12DF4" w14:textId="3BDA537D" w:rsidR="19DF5ED4" w:rsidRPr="00295FAE" w:rsidRDefault="19DF5ED4" w:rsidP="19DF5ED4">
      <w:pPr>
        <w:spacing w:line="600" w:lineRule="auto"/>
        <w:rPr>
          <w:rFonts w:ascii="Arial" w:hAnsi="Arial" w:cs="Arial"/>
        </w:rPr>
      </w:pPr>
    </w:p>
    <w:p w14:paraId="048F3136" w14:textId="6FE39698" w:rsidR="19DF5ED4" w:rsidRDefault="19DF5ED4" w:rsidP="19DF5ED4">
      <w:pPr>
        <w:spacing w:line="600" w:lineRule="auto"/>
        <w:rPr>
          <w:rFonts w:ascii="Arial" w:hAnsi="Arial" w:cs="Arial"/>
          <w:b/>
          <w:bCs/>
          <w:i/>
          <w:iCs/>
        </w:rPr>
      </w:pPr>
    </w:p>
    <w:p w14:paraId="06981A62" w14:textId="7B36CF99" w:rsidR="19DF5ED4" w:rsidRDefault="19DF5ED4" w:rsidP="19DF5ED4">
      <w:pPr>
        <w:spacing w:line="600" w:lineRule="auto"/>
        <w:rPr>
          <w:rFonts w:ascii="Arial" w:hAnsi="Arial" w:cs="Arial"/>
          <w:b/>
          <w:bCs/>
          <w:i/>
          <w:iCs/>
        </w:rPr>
      </w:pPr>
    </w:p>
    <w:p w14:paraId="0002923C" w14:textId="57DD09C0" w:rsidR="19DF5ED4" w:rsidRDefault="19DF5ED4" w:rsidP="19DF5ED4">
      <w:pPr>
        <w:spacing w:line="600" w:lineRule="auto"/>
        <w:rPr>
          <w:rFonts w:ascii="Arial" w:hAnsi="Arial" w:cs="Arial"/>
          <w:b/>
          <w:bCs/>
          <w:i/>
          <w:iCs/>
        </w:rPr>
      </w:pPr>
    </w:p>
    <w:p w14:paraId="6F3E1302" w14:textId="5DCA3C3E" w:rsidR="19DF5ED4" w:rsidRDefault="19DF5ED4" w:rsidP="19DF5ED4">
      <w:pPr>
        <w:spacing w:line="600" w:lineRule="auto"/>
        <w:rPr>
          <w:rFonts w:ascii="Arial" w:hAnsi="Arial" w:cs="Arial"/>
          <w:b/>
          <w:bCs/>
          <w:i/>
          <w:iCs/>
        </w:rPr>
      </w:pPr>
    </w:p>
    <w:p w14:paraId="125A4E05" w14:textId="47B6F5F1" w:rsidR="19DF5ED4" w:rsidRDefault="19DF5ED4" w:rsidP="19DF5ED4">
      <w:pPr>
        <w:spacing w:line="600" w:lineRule="auto"/>
        <w:rPr>
          <w:rFonts w:ascii="Arial" w:hAnsi="Arial" w:cs="Arial"/>
          <w:b/>
          <w:bCs/>
          <w:i/>
          <w:iCs/>
        </w:rPr>
      </w:pPr>
    </w:p>
    <w:sectPr w:rsidR="19DF5E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E88DC" w14:textId="77777777" w:rsidR="00A11377" w:rsidRDefault="00A11377" w:rsidP="00F37B62">
      <w:pPr>
        <w:spacing w:after="0" w:line="240" w:lineRule="auto"/>
      </w:pPr>
      <w:r>
        <w:separator/>
      </w:r>
    </w:p>
  </w:endnote>
  <w:endnote w:type="continuationSeparator" w:id="0">
    <w:p w14:paraId="2D59C7FA" w14:textId="77777777" w:rsidR="00A11377" w:rsidRDefault="00A11377"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67278A" w14:textId="77777777" w:rsidR="00A11377" w:rsidRDefault="00A11377" w:rsidP="00F37B62">
      <w:pPr>
        <w:spacing w:after="0" w:line="240" w:lineRule="auto"/>
      </w:pPr>
      <w:r>
        <w:separator/>
      </w:r>
    </w:p>
  </w:footnote>
  <w:footnote w:type="continuationSeparator" w:id="0">
    <w:p w14:paraId="2DAAAD4C" w14:textId="77777777" w:rsidR="00A11377" w:rsidRDefault="00A11377"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D20587"/>
    <w:multiLevelType w:val="multilevel"/>
    <w:tmpl w:val="5DCE2B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C379E8"/>
    <w:multiLevelType w:val="multilevel"/>
    <w:tmpl w:val="1EA64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0E1E18"/>
    <w:multiLevelType w:val="multilevel"/>
    <w:tmpl w:val="7FE28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7B722F"/>
    <w:multiLevelType w:val="multilevel"/>
    <w:tmpl w:val="6616D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944BAB"/>
    <w:multiLevelType w:val="multilevel"/>
    <w:tmpl w:val="5EE60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AD124E"/>
    <w:multiLevelType w:val="multilevel"/>
    <w:tmpl w:val="B9EAE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512753"/>
    <w:multiLevelType w:val="multilevel"/>
    <w:tmpl w:val="9C867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2C548D"/>
    <w:multiLevelType w:val="multilevel"/>
    <w:tmpl w:val="C29A3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554FAF"/>
    <w:multiLevelType w:val="multilevel"/>
    <w:tmpl w:val="445AB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A67D25"/>
    <w:multiLevelType w:val="multilevel"/>
    <w:tmpl w:val="6DFCD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0530919">
    <w:abstractNumId w:val="2"/>
  </w:num>
  <w:num w:numId="2" w16cid:durableId="402147538">
    <w:abstractNumId w:val="3"/>
  </w:num>
  <w:num w:numId="3" w16cid:durableId="333462870">
    <w:abstractNumId w:val="6"/>
  </w:num>
  <w:num w:numId="4" w16cid:durableId="2037927513">
    <w:abstractNumId w:val="5"/>
  </w:num>
  <w:num w:numId="5" w16cid:durableId="499464957">
    <w:abstractNumId w:val="9"/>
  </w:num>
  <w:num w:numId="6" w16cid:durableId="963581014">
    <w:abstractNumId w:val="1"/>
  </w:num>
  <w:num w:numId="7" w16cid:durableId="1234240321">
    <w:abstractNumId w:val="7"/>
  </w:num>
  <w:num w:numId="8" w16cid:durableId="97722494">
    <w:abstractNumId w:val="8"/>
  </w:num>
  <w:num w:numId="9" w16cid:durableId="62604060">
    <w:abstractNumId w:val="0"/>
  </w:num>
  <w:num w:numId="10" w16cid:durableId="8933917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B4E76"/>
    <w:rsid w:val="000C5F23"/>
    <w:rsid w:val="00165928"/>
    <w:rsid w:val="00295FAE"/>
    <w:rsid w:val="003A2FF2"/>
    <w:rsid w:val="003C42A2"/>
    <w:rsid w:val="003F3651"/>
    <w:rsid w:val="004C0BDA"/>
    <w:rsid w:val="00593C83"/>
    <w:rsid w:val="005F3ADD"/>
    <w:rsid w:val="006833D5"/>
    <w:rsid w:val="006B398A"/>
    <w:rsid w:val="006E0976"/>
    <w:rsid w:val="0072707E"/>
    <w:rsid w:val="00772D92"/>
    <w:rsid w:val="007E15B2"/>
    <w:rsid w:val="008158DB"/>
    <w:rsid w:val="008D1598"/>
    <w:rsid w:val="008F4215"/>
    <w:rsid w:val="00925CE7"/>
    <w:rsid w:val="0095723F"/>
    <w:rsid w:val="009572BE"/>
    <w:rsid w:val="00A11377"/>
    <w:rsid w:val="00A71D06"/>
    <w:rsid w:val="00B465A0"/>
    <w:rsid w:val="00BF5CCA"/>
    <w:rsid w:val="00C94ED3"/>
    <w:rsid w:val="00D41CE9"/>
    <w:rsid w:val="00E12960"/>
    <w:rsid w:val="00F37B62"/>
    <w:rsid w:val="00F5191F"/>
    <w:rsid w:val="00F67811"/>
    <w:rsid w:val="00FF2558"/>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character" w:styleId="Hyperlink">
    <w:name w:val="Hyperlink"/>
    <w:basedOn w:val="DefaultParagraphFont"/>
    <w:uiPriority w:val="99"/>
    <w:unhideWhenUsed/>
    <w:rsid w:val="00295FAE"/>
    <w:rPr>
      <w:color w:val="0563C1" w:themeColor="hyperlink"/>
      <w:u w:val="single"/>
    </w:rPr>
  </w:style>
  <w:style w:type="character" w:styleId="UnresolvedMention">
    <w:name w:val="Unresolved Mention"/>
    <w:basedOn w:val="DefaultParagraphFont"/>
    <w:uiPriority w:val="99"/>
    <w:semiHidden/>
    <w:unhideWhenUsed/>
    <w:rsid w:val="00295F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booking.com/" TargetMode="External"/><Relationship Id="rId4" Type="http://schemas.openxmlformats.org/officeDocument/2006/relationships/settings" Target="settings.xml"/><Relationship Id="rId9" Type="http://schemas.openxmlformats.org/officeDocument/2006/relationships/hyperlink" Target="https://booking.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876FE-E88F-44F6-ABBE-B220DDC880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5163</Words>
  <Characters>29435</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Khushbakht Mirzoev</cp:lastModifiedBy>
  <cp:revision>8</cp:revision>
  <dcterms:created xsi:type="dcterms:W3CDTF">2026-04-28T00:03:00Z</dcterms:created>
  <dcterms:modified xsi:type="dcterms:W3CDTF">2026-04-28T00:11:00Z</dcterms:modified>
</cp:coreProperties>
</file>