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CAEE260" w:rsidP="595E4B5F" w:rsidRDefault="5CAEE260" w14:paraId="2D2BDB72" w14:textId="73CAF5D1">
      <w:pPr>
        <w:jc w:val="center"/>
        <w:rPr>
          <w:b w:val="1"/>
          <w:bCs w:val="1"/>
        </w:rPr>
      </w:pPr>
      <w:r w:rsidRPr="595E4B5F" w:rsidR="5CAEE260">
        <w:rPr>
          <w:b w:val="1"/>
          <w:bCs w:val="1"/>
        </w:rPr>
        <w:t>Children’s rights and decision making</w:t>
      </w:r>
    </w:p>
    <w:p w:rsidR="595E4B5F" w:rsidP="595E4B5F" w:rsidRDefault="595E4B5F" w14:paraId="10976FC3" w14:textId="7BBDCBCF">
      <w:pPr>
        <w:rPr>
          <w:u w:val="single"/>
        </w:rPr>
      </w:pPr>
    </w:p>
    <w:p w:rsidR="5CAEE260" w:rsidP="595E4B5F" w:rsidRDefault="5CAEE260" w14:paraId="7AD9E317" w14:textId="41F116EB">
      <w:pPr>
        <w:rPr>
          <w:u w:val="single"/>
        </w:rPr>
      </w:pPr>
      <w:r w:rsidRPr="595E4B5F" w:rsidR="5CAEE260">
        <w:rPr>
          <w:u w:val="single"/>
        </w:rPr>
        <w:t>B1- Explaining the legal problem of Parental Responsibility</w:t>
      </w:r>
    </w:p>
    <w:p xmlns:wp14="http://schemas.microsoft.com/office/word/2010/wordml" wp14:paraId="5E5787A5" wp14:textId="1DE62E68">
      <w:r w:rsidR="3501A4FB">
        <w:rPr/>
        <w:t>What is Parental Responsibility? Parental Responsibility</w:t>
      </w:r>
      <w:r w:rsidR="38B9A555">
        <w:rPr/>
        <w:t xml:space="preserve"> (PR)</w:t>
      </w:r>
      <w:r w:rsidR="3501A4FB">
        <w:rPr/>
        <w:t xml:space="preserve"> </w:t>
      </w:r>
      <w:r w:rsidR="1359D6F2">
        <w:rPr/>
        <w:t xml:space="preserve">is the legal concept </w:t>
      </w:r>
      <w:r w:rsidR="374F78E2">
        <w:rPr/>
        <w:t xml:space="preserve">that refers to the authority and responsibilities of parents </w:t>
      </w:r>
      <w:r w:rsidR="236FF272">
        <w:rPr/>
        <w:t xml:space="preserve">or any other legal guardian of </w:t>
      </w:r>
      <w:r w:rsidR="4FB3AE6A">
        <w:rPr/>
        <w:t>a</w:t>
      </w:r>
      <w:r w:rsidR="236FF272">
        <w:rPr/>
        <w:t xml:space="preserve"> child that</w:t>
      </w:r>
      <w:r w:rsidR="00C0C858">
        <w:rPr/>
        <w:t xml:space="preserve"> helps </w:t>
      </w:r>
      <w:r w:rsidR="236FF272">
        <w:rPr/>
        <w:t>to</w:t>
      </w:r>
      <w:r w:rsidR="519F2B7A">
        <w:rPr/>
        <w:t xml:space="preserve"> understand</w:t>
      </w:r>
      <w:r w:rsidR="236FF272">
        <w:rPr/>
        <w:t xml:space="preserve"> </w:t>
      </w:r>
      <w:r w:rsidR="2DBD3B1E">
        <w:rPr/>
        <w:t xml:space="preserve">the rights that children have whilst they are under </w:t>
      </w:r>
      <w:r w:rsidR="3254D00F">
        <w:rPr/>
        <w:t xml:space="preserve">PR. </w:t>
      </w:r>
      <w:r w:rsidR="51A68BB4">
        <w:rPr/>
        <w:t xml:space="preserve">Laws that are mostly associated with PR come from the Children Act 1989. </w:t>
      </w:r>
      <w:r w:rsidR="09BCA7C9">
        <w:rPr/>
        <w:t xml:space="preserve">The role of a parent naturally is that as the child grows in age, PR will change and reduce as the child is more understanding and mature. In the case of </w:t>
      </w:r>
      <w:r w:rsidR="5F78CF02">
        <w:rPr/>
        <w:t>Hewer</w:t>
      </w:r>
      <w:r w:rsidR="5F78CF02">
        <w:rPr/>
        <w:t xml:space="preserve"> v Bryant [1970]</w:t>
      </w:r>
      <w:r w:rsidR="05A151AB">
        <w:rPr/>
        <w:t>, Lord Denning expresses the quote “start with a right of control and ends with little more than advice”.</w:t>
      </w:r>
      <w:r w:rsidR="3D3CF050">
        <w:rPr/>
        <w:t xml:space="preserve"> This would then suggest that PR is a flexible </w:t>
      </w:r>
      <w:r w:rsidR="49E2A72D">
        <w:rPr/>
        <w:t xml:space="preserve">concept and helps to focus on the child through emphasising the responsibilities of the parents rather than their rights. </w:t>
      </w:r>
      <w:r w:rsidR="7D948AF6">
        <w:rPr/>
        <w:t xml:space="preserve">PR is extremely relevant to a child’s everyday life as the </w:t>
      </w:r>
      <w:r w:rsidR="09E4ECE3">
        <w:rPr/>
        <w:t>decisions</w:t>
      </w:r>
      <w:r w:rsidR="7D948AF6">
        <w:rPr/>
        <w:t xml:space="preserve"> being made for them come down the </w:t>
      </w:r>
      <w:r w:rsidR="34CD1F46">
        <w:rPr/>
        <w:t>simplest</w:t>
      </w:r>
      <w:r w:rsidR="7D948AF6">
        <w:rPr/>
        <w:t xml:space="preserve"> things. </w:t>
      </w:r>
      <w:r w:rsidR="0C194FFE">
        <w:rPr/>
        <w:t xml:space="preserve">These </w:t>
      </w:r>
      <w:r w:rsidR="1D73848D">
        <w:rPr/>
        <w:t>decisions</w:t>
      </w:r>
      <w:r w:rsidR="0C194FFE">
        <w:rPr/>
        <w:t xml:space="preserve"> can include </w:t>
      </w:r>
      <w:r w:rsidR="2ABAF418">
        <w:rPr/>
        <w:t xml:space="preserve">the first and surname of the child, what school the child attended and even the discipline that the child will endure. </w:t>
      </w:r>
      <w:r w:rsidR="1B484420">
        <w:rPr/>
        <w:t xml:space="preserve">Within England and Wales, the laws surrounding PR is based on the relationship status between the parents of the child and not their sexuality. </w:t>
      </w:r>
      <w:r w:rsidR="376B5C93">
        <w:rPr/>
        <w:t xml:space="preserve">The reasoning for that statement is due to what is said in the Child Act 1989, it is always the mother who has PR, </w:t>
      </w:r>
      <w:r w:rsidR="03641555">
        <w:rPr/>
        <w:t>the father has PR if he is married to the mother at the time of the child’s birth, and unmarried fathers can obtain PR in different ways which include the birth certi</w:t>
      </w:r>
      <w:r w:rsidR="53112A97">
        <w:rPr/>
        <w:t xml:space="preserve">ficate or court order. There is no mention of either parent sexual preference </w:t>
      </w:r>
      <w:r w:rsidR="78DC2C5E">
        <w:rPr/>
        <w:t xml:space="preserve">in the Children's Act 1989 </w:t>
      </w:r>
      <w:r w:rsidR="7A4204DC">
        <w:rPr/>
        <w:t>or</w:t>
      </w:r>
      <w:r w:rsidR="78DC2C5E">
        <w:rPr/>
        <w:t xml:space="preserve"> </w:t>
      </w:r>
      <w:r w:rsidR="78DC2C5E">
        <w:rPr/>
        <w:t>how it would play a role.</w:t>
      </w:r>
      <w:r w:rsidR="43AB93DA">
        <w:rPr/>
        <w:t xml:space="preserve"> Some of the many</w:t>
      </w:r>
      <w:r w:rsidR="271351E4">
        <w:rPr/>
        <w:t xml:space="preserve"> persons who can obtain PR are; birth mothers under s.2 of the Children's Act 1989, </w:t>
      </w:r>
      <w:r w:rsidR="246D892E">
        <w:rPr/>
        <w:t xml:space="preserve">Married men under s.2 of the Children’s Act 1989 and </w:t>
      </w:r>
      <w:r w:rsidR="61931A8A">
        <w:rPr/>
        <w:t xml:space="preserve">s.1 of the Family Law Reform Act 1987, Stepparents under s.4A(1) Children’s Act 1989 </w:t>
      </w:r>
      <w:r w:rsidR="125787BC">
        <w:rPr/>
        <w:t>and Adoptive parents under s.67(1) of the Adoption of Children Act 2002</w:t>
      </w:r>
      <w:r w:rsidR="1687356D">
        <w:rPr/>
        <w:t xml:space="preserve">. </w:t>
      </w:r>
    </w:p>
    <w:p w:rsidR="595E4B5F" w:rsidRDefault="595E4B5F" w14:paraId="3BBE919C" w14:textId="7B5AE8FA"/>
    <w:p w:rsidR="6280A63D" w:rsidP="595E4B5F" w:rsidRDefault="6280A63D" w14:paraId="7942815F" w14:textId="12825697">
      <w:pPr>
        <w:pStyle w:val="Normal"/>
        <w:rPr>
          <w:rFonts w:ascii="Aptos" w:hAnsi="Aptos" w:eastAsia="Aptos" w:cs="Aptos" w:asciiTheme="minorAscii" w:hAnsiTheme="minorAscii" w:eastAsiaTheme="minorAscii" w:cstheme="minorAscii"/>
          <w:noProof w:val="0"/>
          <w:color w:val="auto"/>
          <w:sz w:val="24"/>
          <w:szCs w:val="24"/>
          <w:u w:val="single"/>
          <w:lang w:val="en-GB"/>
        </w:rPr>
      </w:pPr>
      <w:r w:rsidRPr="595E4B5F" w:rsidR="6280A63D">
        <w:rPr>
          <w:u w:val="single"/>
        </w:rPr>
        <w:t xml:space="preserve">B2- Explain why Parental Responsibility can prove to be challenging for people to </w:t>
      </w:r>
      <w:r w:rsidRPr="595E4B5F" w:rsidR="46FEB652">
        <w:rPr>
          <w:u w:val="single"/>
        </w:rPr>
        <w:t>resolve, what</w:t>
      </w:r>
      <w:r w:rsidRPr="595E4B5F" w:rsidR="4799B16A">
        <w:rPr>
          <w:rFonts w:ascii="Aptos" w:hAnsi="Aptos" w:eastAsia="Aptos" w:cs="Aptos" w:asciiTheme="minorAscii" w:hAnsiTheme="minorAscii" w:eastAsiaTheme="minorAscii" w:cstheme="minorAscii"/>
          <w:noProof w:val="0"/>
          <w:color w:val="auto"/>
          <w:sz w:val="24"/>
          <w:szCs w:val="24"/>
          <w:u w:val="single"/>
          <w:lang w:val="en-GB"/>
        </w:rPr>
        <w:t xml:space="preserve"> are the key issues that they might </w:t>
      </w:r>
      <w:r w:rsidRPr="595E4B5F" w:rsidR="4799B16A">
        <w:rPr>
          <w:rFonts w:ascii="Aptos" w:hAnsi="Aptos" w:eastAsia="Aptos" w:cs="Aptos" w:asciiTheme="minorAscii" w:hAnsiTheme="minorAscii" w:eastAsiaTheme="minorAscii" w:cstheme="minorAscii"/>
          <w:noProof w:val="0"/>
          <w:color w:val="auto"/>
          <w:sz w:val="24"/>
          <w:szCs w:val="24"/>
          <w:u w:val="single"/>
          <w:lang w:val="en-GB"/>
        </w:rPr>
        <w:t>encounter</w:t>
      </w:r>
      <w:r w:rsidRPr="595E4B5F" w:rsidR="4799B16A">
        <w:rPr>
          <w:rFonts w:ascii="Aptos" w:hAnsi="Aptos" w:eastAsia="Aptos" w:cs="Aptos" w:asciiTheme="minorAscii" w:hAnsiTheme="minorAscii" w:eastAsiaTheme="minorAscii" w:cstheme="minorAscii"/>
          <w:noProof w:val="0"/>
          <w:color w:val="auto"/>
          <w:sz w:val="24"/>
          <w:szCs w:val="24"/>
          <w:u w:val="single"/>
          <w:lang w:val="en-GB"/>
        </w:rPr>
        <w:t xml:space="preserve">? Is the legal system particularly effective in </w:t>
      </w:r>
      <w:r w:rsidRPr="595E4B5F" w:rsidR="4799B16A">
        <w:rPr>
          <w:rFonts w:ascii="Aptos" w:hAnsi="Aptos" w:eastAsia="Aptos" w:cs="Aptos" w:asciiTheme="minorAscii" w:hAnsiTheme="minorAscii" w:eastAsiaTheme="minorAscii" w:cstheme="minorAscii"/>
          <w:noProof w:val="0"/>
          <w:color w:val="auto"/>
          <w:sz w:val="24"/>
          <w:szCs w:val="24"/>
          <w:u w:val="single"/>
          <w:lang w:val="en-GB"/>
        </w:rPr>
        <w:t>assisting</w:t>
      </w:r>
      <w:r w:rsidRPr="595E4B5F" w:rsidR="4799B16A">
        <w:rPr>
          <w:rFonts w:ascii="Aptos" w:hAnsi="Aptos" w:eastAsia="Aptos" w:cs="Aptos" w:asciiTheme="minorAscii" w:hAnsiTheme="minorAscii" w:eastAsiaTheme="minorAscii" w:cstheme="minorAscii"/>
          <w:noProof w:val="0"/>
          <w:color w:val="auto"/>
          <w:sz w:val="24"/>
          <w:szCs w:val="24"/>
          <w:u w:val="single"/>
          <w:lang w:val="en-GB"/>
        </w:rPr>
        <w:t xml:space="preserve"> members of the public to solve these types of legal problem?</w:t>
      </w:r>
    </w:p>
    <w:p w:rsidR="6614C04F" w:rsidP="595E4B5F" w:rsidRDefault="6614C04F" w14:paraId="1751471B" w14:textId="2FAB3550">
      <w:pPr>
        <w:pStyle w:val="Normal"/>
      </w:pPr>
      <w:r w:rsidR="6614C04F">
        <w:rPr/>
        <w:t xml:space="preserve">Parental Responsibility can be challenging in many ways, one being that it could potentially cause a </w:t>
      </w:r>
      <w:r w:rsidR="3DAA2BA3">
        <w:rPr/>
        <w:t>strain</w:t>
      </w:r>
      <w:r w:rsidR="6614C04F">
        <w:rPr/>
        <w:t xml:space="preserve"> o</w:t>
      </w:r>
      <w:r w:rsidR="145E2DAB">
        <w:rPr/>
        <w:t>n</w:t>
      </w:r>
      <w:r w:rsidR="6614C04F">
        <w:rPr/>
        <w:t xml:space="preserve"> the parental partners relationship. </w:t>
      </w:r>
      <w:r w:rsidR="3218083C">
        <w:rPr/>
        <w:t>Casaleiro</w:t>
      </w:r>
      <w:r w:rsidR="3218083C">
        <w:rPr/>
        <w:t>, Branco and Sotero (2023</w:t>
      </w:r>
      <w:r w:rsidR="77D66DDB">
        <w:rPr/>
        <w:t xml:space="preserve">) have </w:t>
      </w:r>
      <w:r w:rsidR="77D66DDB">
        <w:rPr/>
        <w:t>stated</w:t>
      </w:r>
      <w:r w:rsidR="77D66DDB">
        <w:rPr/>
        <w:t xml:space="preserve"> that joint parental responsibility </w:t>
      </w:r>
      <w:r w:rsidR="4A3859F9">
        <w:rPr/>
        <w:t>will continue in most cases even after separation or divorce and family courts are called upon to make difficult choices over children’s health</w:t>
      </w:r>
      <w:r w:rsidR="1B183018">
        <w:rPr/>
        <w:t>.</w:t>
      </w:r>
      <w:r w:rsidR="2665A724">
        <w:rPr/>
        <w:t xml:space="preserve"> </w:t>
      </w:r>
      <w:r w:rsidR="0C62709A">
        <w:rPr/>
        <w:t xml:space="preserve">An issue that may arise from this could be an exploratory to the family court. </w:t>
      </w:r>
      <w:r w:rsidR="0057697C">
        <w:rPr/>
        <w:t xml:space="preserve">This could be due to the parental responsibilities not being able to come to an agreement on certain things therefore having to go through the legal process </w:t>
      </w:r>
      <w:r w:rsidR="26409CAF">
        <w:rPr/>
        <w:t>for an</w:t>
      </w:r>
      <w:r w:rsidR="4CA7EF8D">
        <w:rPr/>
        <w:t xml:space="preserve"> </w:t>
      </w:r>
      <w:r w:rsidR="4CA7EF8D">
        <w:rPr/>
        <w:t xml:space="preserve">agreement which neither party may be happy with but will have to settle on the decision due to it being in the best interests of the child. </w:t>
      </w:r>
      <w:r w:rsidR="46EF300F">
        <w:rPr/>
        <w:t xml:space="preserve">The legal system does assist the members of the public when it comes </w:t>
      </w:r>
      <w:r w:rsidR="37C7E88C">
        <w:rPr/>
        <w:t xml:space="preserve">helping to solve the issues that come </w:t>
      </w:r>
      <w:r w:rsidR="0745FAC7">
        <w:rPr/>
        <w:t>with Parental Responsibilities as it has guidelines in place under the Children A</w:t>
      </w:r>
      <w:r w:rsidR="7886473A">
        <w:rPr/>
        <w:t>ct 1989 however, the inconsi</w:t>
      </w:r>
      <w:r w:rsidR="267FE9D4">
        <w:rPr/>
        <w:t>stencies</w:t>
      </w:r>
      <w:r w:rsidR="7886473A">
        <w:rPr/>
        <w:t xml:space="preserve"> comes from the overload that courts m</w:t>
      </w:r>
      <w:r w:rsidR="7886473A">
        <w:rPr/>
        <w:t xml:space="preserve">ay </w:t>
      </w:r>
      <w:r w:rsidR="2CCA1663">
        <w:rPr/>
        <w:t>receive</w:t>
      </w:r>
      <w:r w:rsidR="7886473A">
        <w:rPr/>
        <w:t xml:space="preserve"> from the parental </w:t>
      </w:r>
      <w:r w:rsidR="4830933E">
        <w:rPr/>
        <w:t>responsibilities</w:t>
      </w:r>
      <w:r w:rsidR="7886473A">
        <w:rPr/>
        <w:t xml:space="preserve"> not being able to come to an agreement on a decision that they</w:t>
      </w:r>
      <w:r w:rsidR="137A4A07">
        <w:rPr/>
        <w:t xml:space="preserve"> want put in place. </w:t>
      </w:r>
    </w:p>
    <w:p w:rsidR="595E4B5F" w:rsidP="595E4B5F" w:rsidRDefault="595E4B5F" w14:paraId="4119C216" w14:textId="7FAF8436">
      <w:pPr>
        <w:pStyle w:val="Normal"/>
      </w:pPr>
    </w:p>
    <w:p w:rsidR="4BB10F2E" w:rsidP="595E4B5F" w:rsidRDefault="4BB10F2E" w14:paraId="787F5B7F" w14:textId="2BDEF310">
      <w:pPr>
        <w:pStyle w:val="Normal"/>
        <w:rPr>
          <w:u w:val="single"/>
        </w:rPr>
      </w:pPr>
      <w:r w:rsidRPr="595E4B5F" w:rsidR="4BB10F2E">
        <w:rPr>
          <w:u w:val="single"/>
        </w:rPr>
        <w:t>B3- Analyse your approach in communicating this information</w:t>
      </w:r>
    </w:p>
    <w:p w:rsidR="4400EBA3" w:rsidP="595E4B5F" w:rsidRDefault="4400EBA3" w14:paraId="1D769F8F" w14:textId="4E1557A5">
      <w:pPr>
        <w:pStyle w:val="Normal"/>
        <w:rPr>
          <w:u w:val="none"/>
        </w:rPr>
      </w:pPr>
      <w:r w:rsidR="4400EBA3">
        <w:rPr>
          <w:u w:val="none"/>
        </w:rPr>
        <w:t xml:space="preserve">The resource that has been designed </w:t>
      </w:r>
      <w:r w:rsidR="47F44210">
        <w:rPr>
          <w:u w:val="none"/>
        </w:rPr>
        <w:t xml:space="preserve">to communicate Parental Responsibility has been designed in a way that can be read from a non-legal point of view. </w:t>
      </w:r>
      <w:r w:rsidR="6EB898B8">
        <w:rPr>
          <w:u w:val="none"/>
        </w:rPr>
        <w:t xml:space="preserve">The information that has been </w:t>
      </w:r>
      <w:r w:rsidR="6EB898B8">
        <w:rPr>
          <w:u w:val="none"/>
        </w:rPr>
        <w:t>allocated</w:t>
      </w:r>
      <w:r w:rsidR="6EB898B8">
        <w:rPr>
          <w:u w:val="none"/>
        </w:rPr>
        <w:t xml:space="preserve"> onto the resource has been displayed in a way that will not overload or overwhelm the reader with information tha</w:t>
      </w:r>
      <w:r w:rsidR="3229B302">
        <w:rPr>
          <w:u w:val="none"/>
        </w:rPr>
        <w:t>t they may not understand. This makes it an easy read for someone who may need advice on Parental Responsibility but is unable to understand it from a legal point of view</w:t>
      </w:r>
      <w:r w:rsidR="43BD3129">
        <w:rPr>
          <w:u w:val="none"/>
        </w:rPr>
        <w:t xml:space="preserve">. </w:t>
      </w:r>
      <w:r w:rsidR="3E8D186B">
        <w:rPr>
          <w:u w:val="none"/>
        </w:rPr>
        <w:t xml:space="preserve">A challenge within the resource was not being able to communicate the advice from a legal point of view as the information could be </w:t>
      </w:r>
      <w:r w:rsidR="15BA56E9">
        <w:rPr>
          <w:u w:val="none"/>
        </w:rPr>
        <w:t>seen as maybe being straightforward when in hindsight, going through the legal system might not be so easy to tackle</w:t>
      </w:r>
      <w:r w:rsidR="4D4DE18B">
        <w:rPr>
          <w:u w:val="none"/>
        </w:rPr>
        <w:t xml:space="preserve"> so it may be slightly misleading. </w:t>
      </w:r>
      <w:r w:rsidR="184DB7C5">
        <w:rPr>
          <w:u w:val="none"/>
        </w:rPr>
        <w:t>For next time, the resource layout could be set out in a way that could direct the reader to certain websites with free legal advice that is easy to</w:t>
      </w:r>
      <w:r w:rsidR="0CE91DBB">
        <w:rPr>
          <w:u w:val="none"/>
        </w:rPr>
        <w:t xml:space="preserve"> read and</w:t>
      </w:r>
      <w:r w:rsidR="184DB7C5">
        <w:rPr>
          <w:u w:val="none"/>
        </w:rPr>
        <w:t xml:space="preserve"> understand</w:t>
      </w:r>
      <w:r w:rsidR="6607D1FB">
        <w:rPr>
          <w:u w:val="none"/>
        </w:rPr>
        <w:t xml:space="preserve">. Also, </w:t>
      </w:r>
      <w:r w:rsidR="6607D1FB">
        <w:rPr>
          <w:u w:val="none"/>
        </w:rPr>
        <w:t>maybe some</w:t>
      </w:r>
      <w:r w:rsidR="6607D1FB">
        <w:rPr>
          <w:u w:val="none"/>
        </w:rPr>
        <w:t xml:space="preserve"> of the challenges that could arise </w:t>
      </w:r>
      <w:r w:rsidR="02576D08">
        <w:rPr>
          <w:u w:val="none"/>
        </w:rPr>
        <w:t xml:space="preserve">from parental responsibilities, so people are aware that it is not as straight forward as the </w:t>
      </w:r>
      <w:r w:rsidR="02576D08">
        <w:rPr>
          <w:u w:val="none"/>
        </w:rPr>
        <w:t>previous</w:t>
      </w:r>
      <w:r w:rsidR="02576D08">
        <w:rPr>
          <w:u w:val="none"/>
        </w:rPr>
        <w:t xml:space="preserve"> resource has made it seem. </w:t>
      </w:r>
    </w:p>
    <w:p w:rsidR="595E4B5F" w:rsidP="595E4B5F" w:rsidRDefault="595E4B5F" w14:paraId="365491B9" w14:textId="3FE24E5C">
      <w:pPr>
        <w:pStyle w:val="Normal"/>
      </w:pPr>
    </w:p>
    <w:p w:rsidR="09BCA7C9" w:rsidRDefault="09BCA7C9" w14:paraId="2D83602E" w14:textId="2C9C8CA4">
      <w:r w:rsidR="09BCA7C9">
        <w:rPr/>
        <w:t>Reference List;</w:t>
      </w:r>
    </w:p>
    <w:p w:rsidR="27BCE334" w:rsidP="595E4B5F" w:rsidRDefault="27BCE334" w14:paraId="5B044EAD" w14:textId="15E8EA72">
      <w:pPr>
        <w:pStyle w:val="ListParagraph"/>
        <w:numPr>
          <w:ilvl w:val="0"/>
          <w:numId w:val="2"/>
        </w:numPr>
        <w:rPr>
          <w:sz w:val="24"/>
          <w:szCs w:val="24"/>
        </w:rPr>
      </w:pPr>
      <w:r w:rsidRPr="595E4B5F" w:rsidR="27BCE334">
        <w:rPr>
          <w:sz w:val="24"/>
          <w:szCs w:val="24"/>
        </w:rPr>
        <w:t>Adoption of Children Act 2002</w:t>
      </w:r>
    </w:p>
    <w:p w:rsidR="27BCE334" w:rsidP="595E4B5F" w:rsidRDefault="27BCE334" w14:paraId="23479997" w14:textId="78876535">
      <w:pPr>
        <w:pStyle w:val="ListParagraph"/>
        <w:numPr>
          <w:ilvl w:val="0"/>
          <w:numId w:val="2"/>
        </w:numPr>
        <w:rPr>
          <w:i w:val="0"/>
          <w:iCs w:val="0"/>
          <w:sz w:val="24"/>
          <w:szCs w:val="24"/>
        </w:rPr>
      </w:pPr>
      <w:r w:rsidRPr="595E4B5F" w:rsidR="27BCE334">
        <w:rPr>
          <w:sz w:val="24"/>
          <w:szCs w:val="24"/>
        </w:rPr>
        <w:t>Casaleiro P, Branco P, Sotero L (2023) ‘</w:t>
      </w:r>
      <w:r w:rsidRPr="595E4B5F" w:rsidR="27BCE334">
        <w:rPr>
          <w:i w:val="1"/>
          <w:iCs w:val="1"/>
          <w:sz w:val="24"/>
          <w:szCs w:val="24"/>
        </w:rPr>
        <w:t xml:space="preserve">Parental Responsibilities and Health Issues: An Exploratory Study of Legal Disputes’ </w:t>
      </w:r>
      <w:r w:rsidRPr="595E4B5F" w:rsidR="27BCE334">
        <w:rPr>
          <w:i w:val="0"/>
          <w:iCs w:val="0"/>
          <w:sz w:val="24"/>
          <w:szCs w:val="24"/>
        </w:rPr>
        <w:t xml:space="preserve">5 (1) 178-191. DOI </w:t>
      </w:r>
      <w:hyperlink r:id="R738693a8711b4b0b">
        <w:r w:rsidRPr="595E4B5F" w:rsidR="27BCE334">
          <w:rPr>
            <w:rStyle w:val="Hyperlink"/>
            <w:i w:val="0"/>
            <w:iCs w:val="0"/>
            <w:sz w:val="24"/>
            <w:szCs w:val="24"/>
          </w:rPr>
          <w:t>https://doi.org/10.5204/lthj.2681</w:t>
        </w:r>
      </w:hyperlink>
    </w:p>
    <w:p w:rsidR="27BCE334" w:rsidP="595E4B5F" w:rsidRDefault="27BCE334" w14:paraId="0DDACA6C" w14:textId="41FC0EB8">
      <w:pPr>
        <w:pStyle w:val="ListParagraph"/>
        <w:numPr>
          <w:ilvl w:val="0"/>
          <w:numId w:val="2"/>
        </w:numPr>
        <w:rPr>
          <w:sz w:val="24"/>
          <w:szCs w:val="24"/>
        </w:rPr>
      </w:pPr>
      <w:r w:rsidRPr="595E4B5F" w:rsidR="27BCE334">
        <w:rPr>
          <w:sz w:val="24"/>
          <w:szCs w:val="24"/>
        </w:rPr>
        <w:t>Children Act 1989</w:t>
      </w:r>
    </w:p>
    <w:p w:rsidR="27BCE334" w:rsidP="595E4B5F" w:rsidRDefault="27BCE334" w14:paraId="41B29EA9" w14:textId="4FBB4C24">
      <w:pPr>
        <w:pStyle w:val="ListParagraph"/>
        <w:numPr>
          <w:ilvl w:val="0"/>
          <w:numId w:val="2"/>
        </w:numPr>
        <w:rPr>
          <w:sz w:val="24"/>
          <w:szCs w:val="24"/>
        </w:rPr>
      </w:pPr>
      <w:r w:rsidRPr="595E4B5F" w:rsidR="27BCE334">
        <w:rPr>
          <w:sz w:val="24"/>
          <w:szCs w:val="24"/>
        </w:rPr>
        <w:t>Family Law Reform Act 1987</w:t>
      </w:r>
    </w:p>
    <w:p w:rsidR="27BCE334" w:rsidP="595E4B5F" w:rsidRDefault="27BCE334" w14:paraId="19153E65" w14:textId="73C3B8DA">
      <w:pPr>
        <w:pStyle w:val="ListParagraph"/>
        <w:numPr>
          <w:ilvl w:val="0"/>
          <w:numId w:val="2"/>
        </w:numPr>
        <w:rPr>
          <w:sz w:val="24"/>
          <w:szCs w:val="24"/>
        </w:rPr>
      </w:pPr>
      <w:r w:rsidRPr="595E4B5F" w:rsidR="27BCE334">
        <w:rPr>
          <w:sz w:val="24"/>
          <w:szCs w:val="24"/>
        </w:rPr>
        <w:t>Hewer v Bryant [1970] 1 QB 357</w:t>
      </w:r>
    </w:p>
    <w:p w:rsidR="595E4B5F" w:rsidP="595E4B5F" w:rsidRDefault="595E4B5F" w14:paraId="51892A9F" w14:textId="092E559E">
      <w:pPr>
        <w:pStyle w:val="Normal"/>
        <w:ind w:left="0"/>
        <w:rPr>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YoTYT0vAY2yML" int2:id="4XPpuBmo">
      <int2:state int2:type="spell" int2:value="Rejected"/>
    </int2:textHash>
    <int2:textHash int2:hashCode="4U1cMnAkiXh0u+" int2:id="3mLLSt15">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a966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fb3b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CF2DD5"/>
    <w:rsid w:val="00398138"/>
    <w:rsid w:val="0057697C"/>
    <w:rsid w:val="00C0C858"/>
    <w:rsid w:val="01FCE6EA"/>
    <w:rsid w:val="02576D08"/>
    <w:rsid w:val="03641555"/>
    <w:rsid w:val="03E9A0AF"/>
    <w:rsid w:val="05249A8D"/>
    <w:rsid w:val="05A151AB"/>
    <w:rsid w:val="066C6827"/>
    <w:rsid w:val="06F7EB7D"/>
    <w:rsid w:val="0745FAC7"/>
    <w:rsid w:val="07474C27"/>
    <w:rsid w:val="079A68D0"/>
    <w:rsid w:val="0802A5E4"/>
    <w:rsid w:val="09BCA7C9"/>
    <w:rsid w:val="09E4ECE3"/>
    <w:rsid w:val="0B42972A"/>
    <w:rsid w:val="0C194FFE"/>
    <w:rsid w:val="0C62709A"/>
    <w:rsid w:val="0CE91DBB"/>
    <w:rsid w:val="0E43EC7F"/>
    <w:rsid w:val="0EFF1934"/>
    <w:rsid w:val="125787BC"/>
    <w:rsid w:val="12581D3E"/>
    <w:rsid w:val="1359D6F2"/>
    <w:rsid w:val="137A4A07"/>
    <w:rsid w:val="1444CFEC"/>
    <w:rsid w:val="145E2DAB"/>
    <w:rsid w:val="14A58EB7"/>
    <w:rsid w:val="15A946F2"/>
    <w:rsid w:val="15BA56E9"/>
    <w:rsid w:val="1600897E"/>
    <w:rsid w:val="1687356D"/>
    <w:rsid w:val="17194720"/>
    <w:rsid w:val="17AE9961"/>
    <w:rsid w:val="184DB7C5"/>
    <w:rsid w:val="1967A1A0"/>
    <w:rsid w:val="1A574937"/>
    <w:rsid w:val="1A830A5C"/>
    <w:rsid w:val="1A867A8C"/>
    <w:rsid w:val="1B183018"/>
    <w:rsid w:val="1B484420"/>
    <w:rsid w:val="1C6289F3"/>
    <w:rsid w:val="1D73848D"/>
    <w:rsid w:val="202173D1"/>
    <w:rsid w:val="20CEEC13"/>
    <w:rsid w:val="236FF272"/>
    <w:rsid w:val="23D2C625"/>
    <w:rsid w:val="246D892E"/>
    <w:rsid w:val="254AE8F9"/>
    <w:rsid w:val="25ED415C"/>
    <w:rsid w:val="26409CAF"/>
    <w:rsid w:val="2665A724"/>
    <w:rsid w:val="267FE9D4"/>
    <w:rsid w:val="26A5A835"/>
    <w:rsid w:val="26F3DD71"/>
    <w:rsid w:val="271351E4"/>
    <w:rsid w:val="27BCE334"/>
    <w:rsid w:val="2ABAF418"/>
    <w:rsid w:val="2CCA1663"/>
    <w:rsid w:val="2DBD3B1E"/>
    <w:rsid w:val="2F0FD482"/>
    <w:rsid w:val="2F5C1649"/>
    <w:rsid w:val="3218083C"/>
    <w:rsid w:val="3229B302"/>
    <w:rsid w:val="3254D00F"/>
    <w:rsid w:val="33064105"/>
    <w:rsid w:val="333C3BD4"/>
    <w:rsid w:val="33C0D9BD"/>
    <w:rsid w:val="34CD1F46"/>
    <w:rsid w:val="34FD4FB3"/>
    <w:rsid w:val="3501A4FB"/>
    <w:rsid w:val="3549EDEB"/>
    <w:rsid w:val="36250F87"/>
    <w:rsid w:val="36E91C70"/>
    <w:rsid w:val="36ED3281"/>
    <w:rsid w:val="374F78E2"/>
    <w:rsid w:val="376B5C93"/>
    <w:rsid w:val="37C7E88C"/>
    <w:rsid w:val="38B9A555"/>
    <w:rsid w:val="39E5D5CE"/>
    <w:rsid w:val="3A66FE72"/>
    <w:rsid w:val="3B5C433C"/>
    <w:rsid w:val="3D0E9B0E"/>
    <w:rsid w:val="3D3CF050"/>
    <w:rsid w:val="3DAA2BA3"/>
    <w:rsid w:val="3E49E856"/>
    <w:rsid w:val="3E8D186B"/>
    <w:rsid w:val="3EE5BB14"/>
    <w:rsid w:val="407D3719"/>
    <w:rsid w:val="41A790B6"/>
    <w:rsid w:val="43AB93DA"/>
    <w:rsid w:val="43BD3129"/>
    <w:rsid w:val="4400EBA3"/>
    <w:rsid w:val="442BB701"/>
    <w:rsid w:val="44C7AEA7"/>
    <w:rsid w:val="45A1F7A5"/>
    <w:rsid w:val="46EDDF32"/>
    <w:rsid w:val="46EF300F"/>
    <w:rsid w:val="46FEB652"/>
    <w:rsid w:val="478B9FD5"/>
    <w:rsid w:val="4799B16A"/>
    <w:rsid w:val="47F44210"/>
    <w:rsid w:val="4830933E"/>
    <w:rsid w:val="492A3FAF"/>
    <w:rsid w:val="49E2A72D"/>
    <w:rsid w:val="4A3859F9"/>
    <w:rsid w:val="4AA9988A"/>
    <w:rsid w:val="4AB50000"/>
    <w:rsid w:val="4BB10F2E"/>
    <w:rsid w:val="4C488C4A"/>
    <w:rsid w:val="4C9AB666"/>
    <w:rsid w:val="4CA7EF8D"/>
    <w:rsid w:val="4D4DE18B"/>
    <w:rsid w:val="4E44C22A"/>
    <w:rsid w:val="4FB3AE6A"/>
    <w:rsid w:val="512D4AB6"/>
    <w:rsid w:val="519F2B7A"/>
    <w:rsid w:val="51A14047"/>
    <w:rsid w:val="51A68BB4"/>
    <w:rsid w:val="51E24DA6"/>
    <w:rsid w:val="51E73CA3"/>
    <w:rsid w:val="51E91975"/>
    <w:rsid w:val="522FDB93"/>
    <w:rsid w:val="52B7ADA4"/>
    <w:rsid w:val="53112A97"/>
    <w:rsid w:val="53BC672A"/>
    <w:rsid w:val="5511495D"/>
    <w:rsid w:val="55D8E88A"/>
    <w:rsid w:val="56621C2C"/>
    <w:rsid w:val="56ADC8DB"/>
    <w:rsid w:val="582A0DA5"/>
    <w:rsid w:val="59390E5F"/>
    <w:rsid w:val="595E4B5F"/>
    <w:rsid w:val="59F232BE"/>
    <w:rsid w:val="5B49E9F0"/>
    <w:rsid w:val="5B8AACDB"/>
    <w:rsid w:val="5CAEE260"/>
    <w:rsid w:val="5CD0C57B"/>
    <w:rsid w:val="5CF9765D"/>
    <w:rsid w:val="5F78CF02"/>
    <w:rsid w:val="6015B6ED"/>
    <w:rsid w:val="6089F514"/>
    <w:rsid w:val="61873604"/>
    <w:rsid w:val="61931A8A"/>
    <w:rsid w:val="619E3B57"/>
    <w:rsid w:val="61B786EF"/>
    <w:rsid w:val="6242EBE6"/>
    <w:rsid w:val="6280A63D"/>
    <w:rsid w:val="6289BED0"/>
    <w:rsid w:val="634DA0B6"/>
    <w:rsid w:val="64C1A352"/>
    <w:rsid w:val="64E58501"/>
    <w:rsid w:val="6607D1FB"/>
    <w:rsid w:val="6614C04F"/>
    <w:rsid w:val="66F90947"/>
    <w:rsid w:val="6948BB0C"/>
    <w:rsid w:val="69F1332D"/>
    <w:rsid w:val="6A594B4D"/>
    <w:rsid w:val="6A8EDE28"/>
    <w:rsid w:val="6BA1EF91"/>
    <w:rsid w:val="6C2B0341"/>
    <w:rsid w:val="6C8BA72B"/>
    <w:rsid w:val="6C9ADDC4"/>
    <w:rsid w:val="6D64B6B3"/>
    <w:rsid w:val="6DC82BE3"/>
    <w:rsid w:val="6EB898B8"/>
    <w:rsid w:val="6F185BAB"/>
    <w:rsid w:val="70559AF8"/>
    <w:rsid w:val="710999D1"/>
    <w:rsid w:val="713607D0"/>
    <w:rsid w:val="718E3B0D"/>
    <w:rsid w:val="75448557"/>
    <w:rsid w:val="76CF2DD5"/>
    <w:rsid w:val="77D66DDB"/>
    <w:rsid w:val="7886473A"/>
    <w:rsid w:val="78DC2C5E"/>
    <w:rsid w:val="7A4204DC"/>
    <w:rsid w:val="7A48722E"/>
    <w:rsid w:val="7AE80BDA"/>
    <w:rsid w:val="7CEF3432"/>
    <w:rsid w:val="7D948AF6"/>
    <w:rsid w:val="7DF9E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F2DD5"/>
  <w15:chartTrackingRefBased/>
  <w15:docId w15:val="{1E2B7C80-5BFA-41DD-B9D8-11370B1A9C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95E4B5F"/>
    <w:pPr>
      <w:spacing/>
      <w:ind w:left="720"/>
      <w:contextualSpacing/>
    </w:pPr>
  </w:style>
  <w:style w:type="character" w:styleId="Hyperlink">
    <w:uiPriority w:val="99"/>
    <w:name w:val="Hyperlink"/>
    <w:basedOn w:val="DefaultParagraphFont"/>
    <w:unhideWhenUsed/>
    <w:rsid w:val="595E4B5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5204/lthj.2681" TargetMode="External" Id="R738693a8711b4b0b" /><Relationship Type="http://schemas.microsoft.com/office/2020/10/relationships/intelligence" Target="/word/intelligence2.xml" Id="R2ff7c9bea95149c4" /><Relationship Type="http://schemas.openxmlformats.org/officeDocument/2006/relationships/numbering" Target="/word/numbering.xml" Id="R71942e6069bd4f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Lilly Mainwaring (2416930)</dc:creator>
  <keywords/>
  <dc:description/>
  <lastModifiedBy>Lilly Mainwaring (2416930)</lastModifiedBy>
  <revision>2</revision>
  <dcterms:created xsi:type="dcterms:W3CDTF">2025-11-24T18:36:37.4669997Z</dcterms:created>
  <dcterms:modified xsi:type="dcterms:W3CDTF">2025-11-24T22:39:24.4208641Z</dcterms:modified>
</coreProperties>
</file>