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7"/>
      </w:tblGrid>
      <w:tr w:rsidR="00F927A1" w:rsidRPr="005D3F07" w14:paraId="68CAA39D" w14:textId="77777777" w:rsidTr="00B21632">
        <w:trPr>
          <w:trHeight w:val="4228"/>
        </w:trPr>
        <w:tc>
          <w:tcPr>
            <w:tcW w:w="10907" w:type="dxa"/>
          </w:tcPr>
          <w:p w14:paraId="02F8EE88" w14:textId="2250A9C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21632">
              <w:rPr>
                <w:rFonts w:ascii="Times New Roman" w:hAnsi="Times New Roman" w:cs="Times New Roman"/>
                <w:b/>
                <w:color w:val="auto"/>
                <w:sz w:val="48"/>
              </w:rPr>
              <w:t xml:space="preserve">Aaron Steven Fowler-Parkes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A2B886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21632">
              <w:rPr>
                <w:rFonts w:ascii="Times New Roman" w:hAnsi="Times New Roman" w:cs="Times New Roman"/>
                <w:b/>
                <w:color w:val="auto"/>
                <w:sz w:val="48"/>
              </w:rPr>
              <w:t xml:space="preserve"> aaron.fowler-parkes@powys.gov.uk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BDD323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21632">
              <w:rPr>
                <w:rFonts w:ascii="Times New Roman" w:hAnsi="Times New Roman" w:cs="Times New Roman"/>
                <w:b/>
                <w:color w:val="auto"/>
                <w:sz w:val="48"/>
              </w:rPr>
              <w:t xml:space="preserve"> 2421191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97FEAF4"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w:t>
            </w:r>
            <w:r w:rsidR="00B21632">
              <w:rPr>
                <w:rFonts w:ascii="Times New Roman" w:hAnsi="Times New Roman" w:cs="Times New Roman"/>
                <w:b/>
                <w:color w:val="auto"/>
                <w:sz w:val="48"/>
              </w:rPr>
              <w:t>4</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592EDED4" w14:textId="77777777" w:rsidR="009B67EB" w:rsidRPr="009B67EB" w:rsidRDefault="009B67EB" w:rsidP="009B67EB">
            <w:pPr>
              <w:spacing w:line="360" w:lineRule="auto"/>
              <w:jc w:val="both"/>
              <w:rPr>
                <w:sz w:val="24"/>
                <w:szCs w:val="24"/>
              </w:rPr>
            </w:pPr>
            <w:r w:rsidRPr="009B67EB">
              <w:rPr>
                <w:sz w:val="24"/>
                <w:szCs w:val="24"/>
              </w:rPr>
              <w:t>The principal legislation underpinning social care practice in Wales is the Social Services and Well-being (Wales) Act 2014 (SSWBA, 2014). In safeguarding terms, Section 126 provides the statutory definition of an “adult at risk,” identifying three criteria: an individual who is experiencing, or is at risk of, abuse or neglect; who has needs for care and support, regardless of whether these are met by the local authority; and who, as a result of these needs, is unable to protect themselves from actual or potential harm. Section 126(2) also places a duty on local authorities to make enquiries where there is “reasonable cause to suspect” that an adult may be at risk, determining whether action is required and what measures are necessary to safeguard the individual. This legislative framework shapes professional decision</w:t>
            </w:r>
            <w:r w:rsidRPr="009B67EB">
              <w:rPr>
                <w:sz w:val="24"/>
                <w:szCs w:val="24"/>
              </w:rPr>
              <w:noBreakHyphen/>
              <w:t>making, multi</w:t>
            </w:r>
            <w:r w:rsidRPr="009B67EB">
              <w:rPr>
                <w:sz w:val="24"/>
                <w:szCs w:val="24"/>
              </w:rPr>
              <w:noBreakHyphen/>
              <w:t>agency responsibilities, and thresholds for intervention across Wales.</w:t>
            </w:r>
          </w:p>
          <w:p w14:paraId="76274095" w14:textId="77777777" w:rsidR="009B67EB" w:rsidRPr="009B67EB" w:rsidRDefault="009B67EB" w:rsidP="009B67EB">
            <w:pPr>
              <w:spacing w:line="360" w:lineRule="auto"/>
              <w:jc w:val="both"/>
              <w:rPr>
                <w:sz w:val="24"/>
                <w:szCs w:val="24"/>
              </w:rPr>
            </w:pPr>
            <w:r w:rsidRPr="009B67EB">
              <w:rPr>
                <w:sz w:val="24"/>
                <w:szCs w:val="24"/>
              </w:rPr>
              <w:t>To support practitioners in applying their statutory duties, the Wales Safeguarding Procedures (Social Care Wales, 2026) provide consistent, national guidance on identifying, reporting, and responding to safeguarding concerns. These procedures apply to all sectors—public, private, and third—and clarify the expectations for practitioners working with both adults and children. Alongside this, the Welsh Government’s statutory guidance, Working Together to Safeguard People, further outlines the responsibilities of agencies. Volume 6, “Handling Individual Cases to Protect Adults at Risk” (Welsh Government, 2018), is particularly relevant, establishing clear processes for managing individual safeguarding concerns. Both documents reinforce the core principle that safeguarding is a shared responsibility across all agencies.</w:t>
            </w:r>
          </w:p>
          <w:p w14:paraId="5AE57E9A" w14:textId="77777777" w:rsidR="009B67EB" w:rsidRPr="009B67EB" w:rsidRDefault="009B67EB" w:rsidP="009B67EB">
            <w:pPr>
              <w:spacing w:line="360" w:lineRule="auto"/>
              <w:jc w:val="both"/>
              <w:rPr>
                <w:sz w:val="24"/>
                <w:szCs w:val="24"/>
              </w:rPr>
            </w:pPr>
            <w:r w:rsidRPr="009B67EB">
              <w:rPr>
                <w:sz w:val="24"/>
                <w:szCs w:val="24"/>
              </w:rPr>
              <w:lastRenderedPageBreak/>
              <w:t>In line with Working Together to Safeguard People, the local authority I work for operates a single point of contact for reporting concerns about adults at risk. Referrals—both internal and external—are made using the Multi-Agency Referral Form (MARF), developed by the regional safeguarding board. These boards were established under the SSWBA 2014 to coordinate, monitor, and improve inter-agency safeguarding practice across Wales.</w:t>
            </w:r>
          </w:p>
          <w:p w14:paraId="3136B822" w14:textId="77777777" w:rsidR="009B67EB" w:rsidRPr="009B67EB" w:rsidRDefault="009B67EB" w:rsidP="009B67EB">
            <w:pPr>
              <w:spacing w:line="360" w:lineRule="auto"/>
              <w:jc w:val="both"/>
              <w:rPr>
                <w:sz w:val="24"/>
                <w:szCs w:val="24"/>
              </w:rPr>
            </w:pPr>
            <w:r w:rsidRPr="009B67EB">
              <w:rPr>
                <w:sz w:val="24"/>
                <w:szCs w:val="24"/>
              </w:rPr>
              <w:t>Within adult safeguarding, various forms of abuse may be identified, including physical, sexual, emotional or psychological harm, financial exploitation, neglect (including self-neglect), domestic abuse, and risks associated with radicalisation. Certain factors can increase vulnerability to abuse, such as poverty, social isolation, disability, mental ill health, substance misuse, and reliance on others for care. Adults with communication difficulties or limited social support may also face heightened risks.</w:t>
            </w:r>
          </w:p>
          <w:p w14:paraId="1B42B031" w14:textId="77777777" w:rsidR="009B67EB" w:rsidRPr="009B67EB" w:rsidRDefault="009B67EB" w:rsidP="009B67EB">
            <w:pPr>
              <w:spacing w:line="360" w:lineRule="auto"/>
              <w:jc w:val="both"/>
              <w:rPr>
                <w:sz w:val="24"/>
                <w:szCs w:val="24"/>
              </w:rPr>
            </w:pPr>
            <w:r w:rsidRPr="009B67EB">
              <w:rPr>
                <w:sz w:val="24"/>
                <w:szCs w:val="24"/>
              </w:rPr>
              <w:t>Indicators of abuse can manifest through behavioural, physical, or situational changes. These may include becoming withdrawn, tearful, anxious, or unusually angry; appearing unkempt, wearing inappropriate or ill-fitting clothing, or displaying poor hygiene; or presenting with unexplained injuries such as bruises or cuts. Sudden changes in financial circumstances may suggest financial abuse, while unadministered medication can indicate neglect. The presence of unexplained sexually transmitted infections may raise concerns about sexual harm. These signs highlight the importance of professional curiosity and a holistic understanding of risk.</w:t>
            </w:r>
          </w:p>
          <w:p w14:paraId="686E1859" w14:textId="77777777" w:rsidR="009B67EB" w:rsidRPr="009B67EB" w:rsidRDefault="009B67EB" w:rsidP="009B67EB">
            <w:pPr>
              <w:spacing w:line="360" w:lineRule="auto"/>
              <w:jc w:val="both"/>
              <w:rPr>
                <w:sz w:val="24"/>
                <w:szCs w:val="24"/>
              </w:rPr>
            </w:pPr>
            <w:r w:rsidRPr="009B67EB">
              <w:rPr>
                <w:sz w:val="24"/>
                <w:szCs w:val="24"/>
              </w:rPr>
              <w:t>However, there is no definitive list of indicators. Abuse may occur in any setting or relationship, and signs can be subtle or hidden. Many adults feel fearful about disclosing abuse or may not recognise that they are being harmed. Practitioners must therefore remain vigilant, respectful, and attentive to potential safeguarding concerns, guided by legislation, policy, and person-centred practice.</w:t>
            </w:r>
          </w:p>
          <w:p w14:paraId="4A95F4DB" w14:textId="77777777" w:rsidR="00FC0334" w:rsidRDefault="00FC0334" w:rsidP="00CE52F7">
            <w:pPr>
              <w:spacing w:line="360" w:lineRule="auto"/>
              <w:jc w:val="both"/>
              <w:rPr>
                <w:sz w:val="24"/>
                <w:szCs w:val="24"/>
              </w:rPr>
            </w:pPr>
          </w:p>
          <w:p w14:paraId="66E22AD3" w14:textId="77777777" w:rsidR="006E534E" w:rsidRDefault="006E534E" w:rsidP="00FF7EBB">
            <w:pPr>
              <w:jc w:val="both"/>
              <w:rPr>
                <w:b/>
                <w:bCs/>
                <w:color w:val="000000" w:themeColor="text1"/>
                <w:sz w:val="24"/>
                <w:szCs w:val="24"/>
              </w:rPr>
            </w:pPr>
          </w:p>
          <w:p w14:paraId="14883BA0" w14:textId="62275689" w:rsidR="00FC0334" w:rsidRPr="006E534E" w:rsidRDefault="006E534E" w:rsidP="00FF7EBB">
            <w:pPr>
              <w:jc w:val="both"/>
              <w:rPr>
                <w:b/>
                <w:bCs/>
                <w:color w:val="000000" w:themeColor="text1"/>
                <w:sz w:val="24"/>
                <w:szCs w:val="24"/>
              </w:rPr>
            </w:pPr>
            <w:r w:rsidRPr="006E534E">
              <w:rPr>
                <w:b/>
                <w:bCs/>
                <w:color w:val="000000" w:themeColor="text1"/>
                <w:sz w:val="24"/>
                <w:szCs w:val="24"/>
              </w:rPr>
              <w:t>Word Count – 5</w:t>
            </w:r>
            <w:r w:rsidR="009B67EB">
              <w:rPr>
                <w:b/>
                <w:bCs/>
                <w:color w:val="000000" w:themeColor="text1"/>
                <w:sz w:val="24"/>
                <w:szCs w:val="24"/>
              </w:rPr>
              <w:t>18</w:t>
            </w: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1D2FCF4D" w14:textId="5D34A168" w:rsidR="000862D7" w:rsidRPr="00C66EB6" w:rsidRDefault="000862D7" w:rsidP="00CE52F7">
            <w:pPr>
              <w:spacing w:line="360" w:lineRule="auto"/>
              <w:jc w:val="both"/>
              <w:rPr>
                <w:sz w:val="24"/>
                <w:szCs w:val="24"/>
              </w:rPr>
            </w:pPr>
            <w:r w:rsidRPr="000862D7">
              <w:rPr>
                <w:sz w:val="24"/>
                <w:szCs w:val="24"/>
              </w:rPr>
              <w:t>A major difference between safeguarding adults and children lies in the legislation that establishes the duty to investigate concerns. For adults, the duty to investigate where there is “reasonable cause to suspect” that a person is at risk is set out in Section 126(2) of the Social Services and Well</w:t>
            </w:r>
            <w:r w:rsidRPr="000862D7">
              <w:rPr>
                <w:sz w:val="24"/>
                <w:szCs w:val="24"/>
              </w:rPr>
              <w:noBreakHyphen/>
              <w:t>being (Wales) Act 2014 (SSWBA). In contrast, for children, the equivalent duty falls under Section 47 of the Children Act 1989</w:t>
            </w:r>
            <w:r w:rsidR="00F856D9" w:rsidRPr="00C66EB6">
              <w:rPr>
                <w:sz w:val="24"/>
                <w:szCs w:val="24"/>
              </w:rPr>
              <w:t xml:space="preserve"> (</w:t>
            </w:r>
            <w:r w:rsidR="00E75A84" w:rsidRPr="00C66EB6">
              <w:rPr>
                <w:sz w:val="24"/>
                <w:szCs w:val="24"/>
              </w:rPr>
              <w:t>legislation.gov.uk, 2026b)</w:t>
            </w:r>
            <w:r w:rsidRPr="000862D7">
              <w:rPr>
                <w:sz w:val="24"/>
                <w:szCs w:val="24"/>
              </w:rPr>
              <w:t xml:space="preserve"> which requires local authorities to undertake enquiries where there is reasonable cause to suspect that a child is suffering, or is likely to suffer, significant harm.</w:t>
            </w:r>
          </w:p>
          <w:p w14:paraId="764FE863" w14:textId="77777777" w:rsidR="006A71C0" w:rsidRPr="006A71C0" w:rsidRDefault="006A71C0" w:rsidP="00CE52F7">
            <w:pPr>
              <w:spacing w:line="360" w:lineRule="auto"/>
              <w:jc w:val="both"/>
              <w:rPr>
                <w:sz w:val="24"/>
                <w:szCs w:val="24"/>
              </w:rPr>
            </w:pPr>
            <w:r w:rsidRPr="006A71C0">
              <w:rPr>
                <w:sz w:val="24"/>
                <w:szCs w:val="24"/>
              </w:rPr>
              <w:t>Although safeguarding concerns for both children and adults are submitted via a single point of access (in line with the SSWBA), in my local authority the decision</w:t>
            </w:r>
            <w:r w:rsidRPr="006A71C0">
              <w:rPr>
                <w:sz w:val="24"/>
                <w:szCs w:val="24"/>
              </w:rPr>
              <w:noBreakHyphen/>
              <w:t>making and case responsibility for child safeguarding remains within the children’s services team, whereas adult safeguarding concerns are managed by a designated adult safeguarding team, separate from the adult care and support teams.</w:t>
            </w:r>
          </w:p>
          <w:p w14:paraId="51F9B2E4" w14:textId="77777777" w:rsidR="00A032D3" w:rsidRPr="00A032D3" w:rsidRDefault="00A032D3" w:rsidP="00CE52F7">
            <w:pPr>
              <w:spacing w:line="360" w:lineRule="auto"/>
              <w:jc w:val="both"/>
              <w:rPr>
                <w:sz w:val="24"/>
                <w:szCs w:val="24"/>
              </w:rPr>
            </w:pPr>
            <w:r w:rsidRPr="00A032D3">
              <w:rPr>
                <w:sz w:val="24"/>
                <w:szCs w:val="24"/>
              </w:rPr>
              <w:t>A further distinction relates to the statutory requirements placed on social workers when a child’s name is placed on the Child Protection Register. Social workers must visit the child every 10 working days, ensure the child is seen at home at least every four weeks, see the child alone whenever possible and at least every six weeks, and visit the child’s bedroom at least once between conferences. In addition, multi</w:t>
            </w:r>
            <w:r w:rsidRPr="00A032D3">
              <w:rPr>
                <w:sz w:val="24"/>
                <w:szCs w:val="24"/>
              </w:rPr>
              <w:noBreakHyphen/>
              <w:t>agency core group meetings must take place—initially within 10 days of the Initial Child Protection Conference (ICPC), and then every four to six weeks. Reviews of the child’s registration must occur three months after the ICPC and then every six months thereafter.</w:t>
            </w:r>
          </w:p>
          <w:p w14:paraId="7350C119" w14:textId="042FF09B" w:rsidR="00A032D3" w:rsidRPr="00A032D3" w:rsidRDefault="00A032D3" w:rsidP="00CE52F7">
            <w:pPr>
              <w:spacing w:line="360" w:lineRule="auto"/>
              <w:jc w:val="both"/>
              <w:rPr>
                <w:sz w:val="24"/>
                <w:szCs w:val="24"/>
              </w:rPr>
            </w:pPr>
            <w:r w:rsidRPr="00A032D3">
              <w:rPr>
                <w:sz w:val="24"/>
                <w:szCs w:val="24"/>
              </w:rPr>
              <w:t xml:space="preserve">In contrast, when an Adult Protection Conference determines that an adult is at risk, the adult’s protection plan must be “subject to regular reviews”, and the adult should be “given the opportunity” to be seen alone—there are no rigid statutory timescales equivalent to those for children. Furthermore, while all children who are subject to a care and support protection plan are placed on a formal Child Protection Register within the local authority, no equivalent register exists for adults. </w:t>
            </w:r>
          </w:p>
          <w:p w14:paraId="72A043F4" w14:textId="32180EBA" w:rsidR="00047FCC" w:rsidRPr="00047FCC" w:rsidRDefault="00047FCC" w:rsidP="00CE52F7">
            <w:pPr>
              <w:spacing w:line="360" w:lineRule="auto"/>
              <w:jc w:val="both"/>
              <w:rPr>
                <w:sz w:val="24"/>
                <w:szCs w:val="24"/>
              </w:rPr>
            </w:pPr>
            <w:r w:rsidRPr="00047FCC">
              <w:rPr>
                <w:sz w:val="24"/>
                <w:szCs w:val="24"/>
              </w:rPr>
              <w:lastRenderedPageBreak/>
              <w:t>Another significant difference relates to mental capacity. Adults are presumed to have capacity to make their own decisions unless assessed otherwise under the Mental Capacity Act 2005 (MCA 2005)</w:t>
            </w:r>
            <w:r w:rsidR="000155AC" w:rsidRPr="00C66EB6">
              <w:rPr>
                <w:sz w:val="24"/>
                <w:szCs w:val="24"/>
              </w:rPr>
              <w:t xml:space="preserve"> </w:t>
            </w:r>
            <w:r w:rsidR="00C66EB6">
              <w:rPr>
                <w:sz w:val="24"/>
                <w:szCs w:val="24"/>
              </w:rPr>
              <w:t>(legislation.gov.uk, 2026c)</w:t>
            </w:r>
            <w:r w:rsidRPr="00047FCC">
              <w:rPr>
                <w:sz w:val="24"/>
                <w:szCs w:val="24"/>
              </w:rPr>
              <w:t xml:space="preserve">. Principle 3 of the MCA states that individuals have the right to make unwise decisions. Although the MCA also applies to young people aged 16–18, this can create dilemmas for parents, carers and professionals, who must balance respecting a young person’s autonomy with their ongoing responsibility to keep them safe from harm. </w:t>
            </w:r>
          </w:p>
          <w:p w14:paraId="5D4E2B97" w14:textId="77777777" w:rsidR="006A71C0" w:rsidRPr="000862D7" w:rsidRDefault="006A71C0" w:rsidP="000862D7">
            <w:pPr>
              <w:jc w:val="both"/>
            </w:pPr>
          </w:p>
          <w:p w14:paraId="04574998" w14:textId="77777777" w:rsidR="00C66EB6" w:rsidRDefault="00C66EB6" w:rsidP="00FC0334">
            <w:pPr>
              <w:jc w:val="both"/>
              <w:rPr>
                <w:sz w:val="24"/>
                <w:szCs w:val="24"/>
              </w:rPr>
            </w:pPr>
          </w:p>
          <w:p w14:paraId="478D2F84" w14:textId="7B429D5B" w:rsidR="00FC0334" w:rsidRPr="00C66EB6" w:rsidRDefault="00C66EB6" w:rsidP="00FC0334">
            <w:pPr>
              <w:jc w:val="both"/>
              <w:rPr>
                <w:b/>
                <w:bCs/>
                <w:sz w:val="24"/>
                <w:szCs w:val="24"/>
              </w:rPr>
            </w:pPr>
            <w:r w:rsidRPr="00C66EB6">
              <w:rPr>
                <w:b/>
                <w:bCs/>
                <w:sz w:val="24"/>
                <w:szCs w:val="24"/>
              </w:rPr>
              <w:t>Word Count - 432</w:t>
            </w: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E5CE1" w14:textId="77777777" w:rsidR="00C02B48" w:rsidRDefault="00C02B48">
      <w:r>
        <w:separator/>
      </w:r>
    </w:p>
  </w:endnote>
  <w:endnote w:type="continuationSeparator" w:id="0">
    <w:p w14:paraId="688C712C" w14:textId="77777777" w:rsidR="00C02B48" w:rsidRDefault="00C02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16D31" w14:textId="77777777" w:rsidR="00C02B48" w:rsidRDefault="00C02B48">
      <w:r>
        <w:separator/>
      </w:r>
    </w:p>
  </w:footnote>
  <w:footnote w:type="continuationSeparator" w:id="0">
    <w:p w14:paraId="2745D293" w14:textId="77777777" w:rsidR="00C02B48" w:rsidRDefault="00C02B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EF7145"/>
    <w:multiLevelType w:val="multilevel"/>
    <w:tmpl w:val="7E8A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8"/>
  </w:num>
  <w:num w:numId="15" w16cid:durableId="1016493186">
    <w:abstractNumId w:val="27"/>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1"/>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681005697">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55AC"/>
    <w:rsid w:val="00020EEC"/>
    <w:rsid w:val="0002440E"/>
    <w:rsid w:val="0002759A"/>
    <w:rsid w:val="00027B1F"/>
    <w:rsid w:val="0003088B"/>
    <w:rsid w:val="000325D9"/>
    <w:rsid w:val="000372B2"/>
    <w:rsid w:val="0004079F"/>
    <w:rsid w:val="00043543"/>
    <w:rsid w:val="00045B87"/>
    <w:rsid w:val="00045C07"/>
    <w:rsid w:val="00045C40"/>
    <w:rsid w:val="00046861"/>
    <w:rsid w:val="00047FCC"/>
    <w:rsid w:val="00054A07"/>
    <w:rsid w:val="00055D43"/>
    <w:rsid w:val="00056FAC"/>
    <w:rsid w:val="00057751"/>
    <w:rsid w:val="00062E39"/>
    <w:rsid w:val="00064063"/>
    <w:rsid w:val="0006581A"/>
    <w:rsid w:val="00074461"/>
    <w:rsid w:val="000766EC"/>
    <w:rsid w:val="00080E58"/>
    <w:rsid w:val="00083D99"/>
    <w:rsid w:val="00084DA6"/>
    <w:rsid w:val="00085699"/>
    <w:rsid w:val="000862D7"/>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232C"/>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51F"/>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49D6"/>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A7403"/>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2F8D"/>
    <w:rsid w:val="005A545C"/>
    <w:rsid w:val="005B076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3ABA"/>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71C0"/>
    <w:rsid w:val="006B4496"/>
    <w:rsid w:val="006B5E67"/>
    <w:rsid w:val="006B6612"/>
    <w:rsid w:val="006C2EB5"/>
    <w:rsid w:val="006D18A3"/>
    <w:rsid w:val="006D5970"/>
    <w:rsid w:val="006E481E"/>
    <w:rsid w:val="006E534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5B7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72D3"/>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67EB"/>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0EFC"/>
    <w:rsid w:val="009F3AEC"/>
    <w:rsid w:val="009F6801"/>
    <w:rsid w:val="00A00081"/>
    <w:rsid w:val="00A032D3"/>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4E56"/>
    <w:rsid w:val="00AE5BA6"/>
    <w:rsid w:val="00AE6231"/>
    <w:rsid w:val="00AE7077"/>
    <w:rsid w:val="00AF61C2"/>
    <w:rsid w:val="00AF6CC6"/>
    <w:rsid w:val="00B00E15"/>
    <w:rsid w:val="00B0296A"/>
    <w:rsid w:val="00B07E79"/>
    <w:rsid w:val="00B12295"/>
    <w:rsid w:val="00B137BE"/>
    <w:rsid w:val="00B15998"/>
    <w:rsid w:val="00B17FA0"/>
    <w:rsid w:val="00B20FF6"/>
    <w:rsid w:val="00B21632"/>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2B48"/>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6EB6"/>
    <w:rsid w:val="00C7108B"/>
    <w:rsid w:val="00C75883"/>
    <w:rsid w:val="00C77FA5"/>
    <w:rsid w:val="00C8089F"/>
    <w:rsid w:val="00C835FE"/>
    <w:rsid w:val="00C836CC"/>
    <w:rsid w:val="00C852D6"/>
    <w:rsid w:val="00C87A74"/>
    <w:rsid w:val="00C92C71"/>
    <w:rsid w:val="00C93F8F"/>
    <w:rsid w:val="00C9723B"/>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2F7"/>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2495"/>
    <w:rsid w:val="00DD31C5"/>
    <w:rsid w:val="00DD5020"/>
    <w:rsid w:val="00DD63BE"/>
    <w:rsid w:val="00DE4296"/>
    <w:rsid w:val="00DF2469"/>
    <w:rsid w:val="00DF7899"/>
    <w:rsid w:val="00E011D7"/>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5A84"/>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F21"/>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5D71"/>
    <w:rsid w:val="00F4043E"/>
    <w:rsid w:val="00F41795"/>
    <w:rsid w:val="00F41BBC"/>
    <w:rsid w:val="00F444F0"/>
    <w:rsid w:val="00F446FF"/>
    <w:rsid w:val="00F45521"/>
    <w:rsid w:val="00F50847"/>
    <w:rsid w:val="00F53F27"/>
    <w:rsid w:val="00F546D1"/>
    <w:rsid w:val="00F60281"/>
    <w:rsid w:val="00F66272"/>
    <w:rsid w:val="00F709C0"/>
    <w:rsid w:val="00F71F17"/>
    <w:rsid w:val="00F81FEC"/>
    <w:rsid w:val="00F856D9"/>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67</TotalTime>
  <Pages>5</Pages>
  <Words>1176</Words>
  <Characters>6706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Aaron Fowler-Parkes</cp:lastModifiedBy>
  <cp:revision>28</cp:revision>
  <cp:lastPrinted>2020-02-11T19:20:00Z</cp:lastPrinted>
  <dcterms:created xsi:type="dcterms:W3CDTF">2025-12-16T11:29:00Z</dcterms:created>
  <dcterms:modified xsi:type="dcterms:W3CDTF">2026-02-24T21:19:00Z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