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6FBD5" w14:textId="0ABA87B6" w:rsidR="00EC4869" w:rsidRPr="00FC7561" w:rsidRDefault="002B16BF">
      <w:r w:rsidRPr="00FC7561">
        <w:t xml:space="preserve">Themâu Trawsgwricwlaidd </w:t>
      </w:r>
    </w:p>
    <w:p w14:paraId="2ED7840A" w14:textId="30F504E5" w:rsidR="002B16BF" w:rsidRPr="00FC7561" w:rsidRDefault="002B16BF"/>
    <w:p w14:paraId="2EBB2903" w14:textId="19852C69" w:rsidR="00C4144E" w:rsidRPr="00FC7561" w:rsidRDefault="005F6BB0" w:rsidP="00C4144E">
      <w:pPr>
        <w:rPr>
          <w:u w:val="single"/>
        </w:rPr>
      </w:pPr>
      <w:r w:rsidRPr="00FC7561">
        <w:rPr>
          <w:u w:val="single"/>
        </w:rPr>
        <w:t>Cyflwyniad</w:t>
      </w:r>
    </w:p>
    <w:p w14:paraId="2D99555E" w14:textId="43BCE61D" w:rsidR="005F6BB0" w:rsidRPr="00FC7561" w:rsidRDefault="005F6BB0" w:rsidP="00C4144E"/>
    <w:p w14:paraId="35F5E9BB" w14:textId="2415869B" w:rsidR="00747E5F" w:rsidRPr="00FC7561" w:rsidRDefault="00747E5F" w:rsidP="00F331B5">
      <w:r w:rsidRPr="00FC7561">
        <w:t xml:space="preserve">Mae’r cwricwlwm newydd wedi cael ei greu er mwyn newid y ffordd mae gwybodaeth yn cael ei dosbarthu, diffinio a’r throsglwyddo i ddisgyblion a phobl ifanc i sicrhau bydd y dysgwyr i gyd yn gallu cymryd rhan mewn dysgu cynyddol, dwfn ac ystyrlon (Power, Taylor a Newton, 2020). Mae yna dau edefyn yn gwneud lan y cwricwlwm newydd sef y Pedwar Diben a’r Meysydd Dysgu a Phrofiad (Donaldson, 2015) ond y bwriad yw ei fod yn gweithio gyda’i gilydd gyda’r Meysydd Dysgu a Phrofiad yn cyfrannu at y Pedwar Diben, a’r Pedwar Diben yn llywio’r Meysydd Dysgu a Phrofiad (Gatley, 2020). Mae dysgu yn drawsgwricwlaidd yn cael ei diffinio fel ‘pryd mae’r sgiliau, gwybodaeth ac agwedd o ddau bwnc neu mwy yn cael ei anelu at broblem, thema neu syniad’ (Barnes, 2015). </w:t>
      </w:r>
      <w:r w:rsidR="00FF7909" w:rsidRPr="00FC7561">
        <w:t>Mae’r cwricwlwm newydd yn rhoi mwy o’r rhyddid a hyblygrwydd i athrawon gyda beth maent a sut maent yn addysgu gan fod llawer mwy o’r nodwedd dysgwyr yn arwain y dysgu. Mae hyn yn achosi pryderon gan fod rhai yn meddwl fod hyn yn rhoi anfantais i’r dysgwyr gan ei fod yn atal nhw o gael y cynnwys mwy academaidd (Power, Taylor a Newton, 2020). Trwy ddysgu yn drawsgwricwlaidd maent yn galluogi mwy nag un o’r meysydd dysgu a phrofiad cael ei chynnwys yn wersi. Mae hyn yn gallu gwneud i’r gwersi fod yn fwy hwylus i’r dysgwyr oherwydd gallen nhw dechrau cysylltu pethau gwahanol gyda ffordd o ddysgu gwahanol sydd yn helpu’r dysgu cyffredinol. Mae dysgu yn drawsgwricwlaidd yn bwysig iawn yn y cwricwlwm newydd i Gymru 2022 ac mae hi’n bwysig gwneud er mwyn sicrhau'r profiad dysgu gorau i’r dysgwyr ac i wneud yn siŵr bod pob un o’r Meysydd Dysgu a Phrofiad yn cael ei addysgu i’r safon orau.</w:t>
      </w:r>
    </w:p>
    <w:p w14:paraId="68D9A8D2" w14:textId="77777777" w:rsidR="00FF7909" w:rsidRPr="00FC7561" w:rsidRDefault="00FF7909" w:rsidP="00F331B5"/>
    <w:p w14:paraId="418F9E53" w14:textId="74600B49" w:rsidR="005F6BB0" w:rsidRPr="00FC7561" w:rsidRDefault="005F6BB0" w:rsidP="00F331B5">
      <w:pPr>
        <w:rPr>
          <w:u w:val="single"/>
        </w:rPr>
      </w:pPr>
      <w:r w:rsidRPr="00FC7561">
        <w:rPr>
          <w:u w:val="single"/>
        </w:rPr>
        <w:t>Trafodaeth feirniadol ar agwedd a ddewiswyd</w:t>
      </w:r>
      <w:r w:rsidR="003031F0" w:rsidRPr="00FC7561">
        <w:rPr>
          <w:u w:val="single"/>
        </w:rPr>
        <w:t xml:space="preserve"> (1</w:t>
      </w:r>
      <w:r w:rsidR="000218C6" w:rsidRPr="00FC7561">
        <w:rPr>
          <w:u w:val="single"/>
        </w:rPr>
        <w:t>666</w:t>
      </w:r>
      <w:r w:rsidR="003031F0" w:rsidRPr="00FC7561">
        <w:rPr>
          <w:u w:val="single"/>
        </w:rPr>
        <w:t>/2000)</w:t>
      </w:r>
    </w:p>
    <w:p w14:paraId="1F664E27" w14:textId="77777777" w:rsidR="00AA6C05" w:rsidRPr="00FC7561" w:rsidRDefault="003873C9" w:rsidP="00AA6C05">
      <w:pPr>
        <w:pStyle w:val="NormalWeb"/>
      </w:pPr>
      <w:r w:rsidRPr="00FC7561">
        <w:t xml:space="preserve">Rydyn ni gyd yn edrych ar y byd o’n nghwmpas mewn gwahanol ffordd. Mae gan bawb wahanol safbwynt ac mae dysgu yn drawsgwricwlaidd yn helpu ni i adeiladu dealltwriaeth fwy gwybodus, parhaol a throsglwyddadwy o’r byd o’n nghwmpas (Barnes, 2012). Roedd y dylanwadwyr addysgol oedd wedi arwain yr ymagweddau trawsgwricwlaidd yn cynnwys Comenius, Rousseau, Froebel a Pestalozzi. Doedd hi dim nes diwedd y bedwaredd ganrif ar bymtheg a’r ugeinfed ganrif i’r dull yma cael ei ddatblygu ymhellach gan Steiner, Dewey, Montessori a Isaacs. Mae’r llyfr gan Barnes (2012) yn dangos yn dda'r pwysigrwydd rhoi’r profiadau gwahanol i’r dysgwyr achos os mae’r dysgwyr yn mwynhau’r gweithgaredd maen nhw mwy tebygol cael y cymhelliant i ddysgu. </w:t>
      </w:r>
      <w:r w:rsidR="008B2617" w:rsidRPr="00FC7561">
        <w:t>Mae’r llyfr yn adrodd nad oedd rhaid i’r gweithgaredd fod yn anodd neu yn cymryd amser hir i wneud ond mae’r bwysig denu sylw’r dysgwyr wrth dynnu sylw at ei synhwyrau, emosiynau, ei meddyliau ymchwiliol sydd gyda phob dysgwyr ifanc a’r awydd i fod yn egnïol fel y dylai bob dysgwyr cael fod. Mae’r papur yma yn cysylltu papur Csikszentmihalyi (2002) ac mae'n sôn am y ffordd o ddysgu sydd yn bwysig achos mae’n galluogi’r dysgu orau sy’n bosib gan fod ei’n gorff a'i’n ymennydd yn gweithio ar ei orau ac rydym yn teimlo wedi cyflawni.</w:t>
      </w:r>
    </w:p>
    <w:p w14:paraId="3D04A20E" w14:textId="0EFD3323" w:rsidR="003873C9" w:rsidRPr="00FC7561" w:rsidRDefault="009F01B3" w:rsidP="00665906">
      <w:pPr>
        <w:pStyle w:val="NormalWeb"/>
        <w:rPr>
          <w:lang w:val="cy-GB"/>
        </w:rPr>
      </w:pPr>
      <w:r w:rsidRPr="00FC7561">
        <w:t xml:space="preserve">Mae’r llyfr yma yn cyflwyno’r syniad o ddysgu yn drawsgwricwlaidd yn dda ond dydy e ddim yn penodi pa gyfnod o ddysgu neu pa oedran mae’n anelu tuag at. Mae’n anodd gyda rhai pethau i gysylltu gyda chyfnod sylfaen neu’n anodd defnyddio un strategaeth fydd yn addas i’r cyfnod sylfaen a dysgwyr TGAU. </w:t>
      </w:r>
      <w:r w:rsidR="005B744B" w:rsidRPr="00FC7561">
        <w:t xml:space="preserve">Bydd yn well i’r darllenydd os maent wedi anelu at un cyfnod neu wahaniaethu’r strategaethau mewn i rannau sydd yn addas i’r wahanol gyfnodau. Dyle fod yna strategaethau gwahanol ar gael er mwyn penodi dulliau gwahanol i’r cyfnod sylfaen, cyfnod allweddol 2 a’r cyfnod uwchradd gan fod y dysgwyr yn gallu gwneud </w:t>
      </w:r>
      <w:r w:rsidR="005B744B" w:rsidRPr="00FC7561">
        <w:lastRenderedPageBreak/>
        <w:t>gwahanol bethau ar wahanol adegau ei bywydau felly maent yn gallu cymryd mwy o wybodaeth wrth iddynt heneiddio.</w:t>
      </w:r>
    </w:p>
    <w:p w14:paraId="2CCA953E" w14:textId="65C3073A" w:rsidR="00D70FDF" w:rsidRPr="00FC7561" w:rsidRDefault="007176CE" w:rsidP="007176CE">
      <w:r w:rsidRPr="00FC7561">
        <w:t xml:space="preserve">Mae Hayes (2010) yn adrodd am ‘Rose Review’ a gafodd ei gwneud yn 2009 (Rose 2009) i fynd i’r afael â phryderon bod y cwricwlwm cenedlaethol yn rhy drwm ac yn cynnwys gormod o bethau ac mae wedi arwain at athrawon yn dioddef blinder ac yn gweithio i ddyddiadau cyflawni amhosib. Mae’r papur yma yn anelu at ddysgwyr cynradd ac maent yn dweud bod y bobl sydd wedi cael addysg dda yn ddysgwyr annibynnol sydd gyda’r hyder i gyfathrebu ei dealltwriaeth a'i ymwybyddiaeth o’r amgylchedd o’n nghwmpas a sylweddoli ei fod ddim pob tro yn mynd i lwyddo ar dasg y tro cyntaf. Yn ôl y papur yma mae Blenkin a Kelly (1983) yn adrodd bod chwarae gyda’r cwricwlwm am oesau ddim yn mynd i weithio heb os mae athrawon, rhieni a phawb sydd ynghlwm ac addysg yn dechrau’r diddordeb mwyaf i roi addysg dda i’r dysgwyr. Mae’r papur yn gorffen trwy drafod bod y dysgwyr gorau sydd yn dod o addysg y rhai sydd yn deall ei hunain a’r byd a dim oyn y dysgwyr sydd wedi bwrw'r targedau academaidd. Mae hyn yn cysylltu yn dda gyda dibenion y cwricwlwm Donaldson (2015) gan gysylltu gyda’r 4 diben gwahanol gan ei fod yn rhoi’r gallu i’r dysgwyr fod yn ddysgwyr uchelgeisiol, galluog, yn ddinasyddion egwyddorol, gwybodus, yn gyfranwyr mentrus, creadigol ac yn unigolion iach, hyderus. Mae’r papur yma yn dda gan ei fod yn trafod y pethau positif a negyddol amdano ddod mewn a chwricwlwm newydd ond hefyd mae’r seiliedig ar y sector gynradd sydd yn torri lawr yr oedran i anelu’r strategaethau gwahanol at. </w:t>
      </w:r>
      <w:r w:rsidR="00AA6C05" w:rsidRPr="00FC7561">
        <w:t>B</w:t>
      </w:r>
      <w:r w:rsidRPr="00FC7561">
        <w:t>ydd yn ddiddorol i’r ysgrifennydd gwneud cymhariaeth ddofn i mewn i’r ‘Rose Review’ a’r erthygl Ddyfodol Lwyddiannus Donaldson (2015) i weld os mae’r pethau maent yn adrodd bydd yn digwydd wrth newid y cwricwlwm wedi cael effaith neu beidio ar y system addysg a’r dysgwyr.</w:t>
      </w:r>
    </w:p>
    <w:p w14:paraId="30FC81DA" w14:textId="620E5059" w:rsidR="007176CE" w:rsidRPr="00FC7561" w:rsidRDefault="007176CE" w:rsidP="00C4144E"/>
    <w:p w14:paraId="04D7F061" w14:textId="4CD1A244" w:rsidR="00AA6C05" w:rsidRPr="00FC7561" w:rsidRDefault="000A18F0" w:rsidP="00C4144E">
      <w:pPr>
        <w:rPr>
          <w:color w:val="222222"/>
        </w:rPr>
      </w:pPr>
      <w:r w:rsidRPr="00FC7561">
        <w:rPr>
          <w:color w:val="222222"/>
        </w:rPr>
        <w:t>Mae’r papur gan Whitty, Rowe a Aggleton (1994) ar ôl yr adolygiad o’r cwricwlwm cenedlaethol</w:t>
      </w:r>
      <w:r w:rsidR="00665906" w:rsidRPr="00FC7561">
        <w:rPr>
          <w:color w:val="222222"/>
        </w:rPr>
        <w:t xml:space="preserve"> ac</w:t>
      </w:r>
      <w:r w:rsidRPr="00FC7561">
        <w:rPr>
          <w:color w:val="222222"/>
        </w:rPr>
        <w:t xml:space="preserve"> mae yna adroddiadau amdano ddysgu yn drawsgwricwlaidd fod yn beth sydd ddim yn bwysig iawn mewn addysg (Dearing, 1993) ond o’r adolygiad yna roedd y llwyth gwaith yn y cwricwlwm wedi disgyn i helpu atal blinder mewn athrawon ond maent yn sôn bod dysgu yn drawsgwricwlaidd am y pynciau craidd ddim yn ddigon i sicrhau safon uchel o ddysgu'r pynciau ‘pwysig’. Mae’r Cwricwlwm newydd i Gymru (2015) wedi datblygu'r datganiadau o’r hyn sy’n bwysig i helpu cynllunio dysgu safonol yn cynnwys camau cynnydd ar gyfer pob maes dysgu a phrofiad. O’r papur Whitty, Rowe a Aggleton mae yna lawer o’r papur yn canolbwyntio ar ran iechyd a lles yr hen gwricwlwm ac mae hyn yn cael ei godi fel mater pwysig iawn. Mae’r papur yn penodi hyn gan ddweud ei fod yn bwysig dysgu dysgwyr am bethau sydd ddim yn cael ei dysgu yn y pynciau craidd er mwyn paratoi'r dysgwyr am fywyd go iawn. Mae Gleeson a Whitty (1976) wedi dadl yn llyfr amdano ddysgu cymdeithasol ac maen nhw yn dweud fod hi’n bwysig iawn fod dysgwyr yn cael ei dysgu yn fwy na sut i oroesi yn fywyd ond sut i fyw bywyd yn iawn. </w:t>
      </w:r>
    </w:p>
    <w:p w14:paraId="72D71619" w14:textId="78362E8D" w:rsidR="000A18F0" w:rsidRPr="00FC7561" w:rsidRDefault="00AA6C05" w:rsidP="00C4144E">
      <w:pPr>
        <w:rPr>
          <w:color w:val="222222"/>
        </w:rPr>
      </w:pPr>
      <w:r w:rsidRPr="00FC7561">
        <w:rPr>
          <w:color w:val="222222"/>
        </w:rPr>
        <w:t>Mae’r papur yma yn hen felly bydd hi’n ddiddorol gweld os mae’r problemau o’r cwricwlwm sydd wedi cael ei darganfod yn y papur yma dal yn bodoli nawr mae’r cwricwlwm wedi newid ac mae mwy o bwyslais ar les y dysgwyr. Mae dysgu yn drawsgwricwlaidd nawr yn cael ei annog yn fwy yn y cwricwlwm newydd gan ei fod yn agor mwy o wahanol ddulliau o ddysgu.</w:t>
      </w:r>
    </w:p>
    <w:p w14:paraId="60FAC353" w14:textId="0B044BAD" w:rsidR="00AA6C05" w:rsidRPr="00FC7561" w:rsidRDefault="00AA6C05" w:rsidP="00C4144E">
      <w:pPr>
        <w:rPr>
          <w:color w:val="222222"/>
        </w:rPr>
      </w:pPr>
    </w:p>
    <w:p w14:paraId="1122C30B" w14:textId="115654CC" w:rsidR="00765BCB" w:rsidRPr="00FC7561" w:rsidRDefault="00765BCB" w:rsidP="00C4144E">
      <w:pPr>
        <w:rPr>
          <w:color w:val="222222"/>
        </w:rPr>
      </w:pPr>
      <w:r w:rsidRPr="00FC7561">
        <w:rPr>
          <w:color w:val="222222"/>
        </w:rPr>
        <w:t xml:space="preserve">Mae cerddoriaeth yn gallu fod yn beth hyblyg iawn mewn addysg blynyddoedd cynnar. Maent yn hybu addysgu trawsgwricwlaidd effeithiol achos mae’n gallu cynorthwyo sgiliau iaith gryfach ac mae’r ffordd yma o addysgu yn apelio yn fawr i’r dygwyr sydd yn dysgu’n well trwy ddulliau clywedol (Manouchehri, 2017). Er bod addysgu trwy gerddoriaeth yn gallu arwain at sgiliau iaith a llythrennedd cryfach, trwy ymgorffori cerddoriaeth mewn </w:t>
      </w:r>
      <w:r w:rsidRPr="00FC7561">
        <w:rPr>
          <w:color w:val="222222"/>
        </w:rPr>
        <w:lastRenderedPageBreak/>
        <w:t xml:space="preserve">llawer o sefyllfaoedd yn yr ystafell ddosbarth o ddatblygu a dysgu sgiliau arall fel mathemateg, ail iaith, astudiaethau cymdeithasol a dinasyddiaeth (Kraus, 2016). Mae astudiaeth wedi cael ei gwneud sydd yn dangos fod cerddoriaeth yn cynyddu gallu’r ymennydd i brosesu sain a’r gwahaniaethau mewn sain. Mae rhai yn credu fod addysgu trwy gerddoriaeth yn gallu datblygu plastigrwydd yr ymennydd ac fel canlyniad mae hyn yn gwella sgiliau gwrando, iaith a dysgu (Vakeva, 2009). Mae’r ymchwil yma yn dda achos mae’r dangos fod hi’n bwysig i ddysgwyr o bob oedran defnyddio cerddoriaeth mewn dysgu achos mae’n gallu dangos gwahanol ffyrdd o ddysgu neu ddatblygu sgil maent efallai yn cael trafferth gyda. </w:t>
      </w:r>
      <w:r w:rsidR="003B127F" w:rsidRPr="00FC7561">
        <w:rPr>
          <w:color w:val="222222"/>
        </w:rPr>
        <w:t>Fydd yn ddiddorol weld os mae’r ymchwil yn cael ei dyblygu yn ddosbarthiadau yn fwy yn yr ysgol iau neu yn yr ysgolion uwchradd gan fod dysgwyr yn dysgu mewn ffyrdd gwahanol ac efallai bydd y dysgwyr sydd ddim yn gallu dysgu trwy ddulliau clywedol ddim yn elwa cymaint o’r ffordd addysgu yma</w:t>
      </w:r>
      <w:r w:rsidR="009843F4" w:rsidRPr="00FC7561">
        <w:rPr>
          <w:color w:val="222222"/>
        </w:rPr>
        <w:t xml:space="preserve">. </w:t>
      </w:r>
      <w:r w:rsidR="00FC4F4A" w:rsidRPr="00FC7561">
        <w:rPr>
          <w:color w:val="222222"/>
        </w:rPr>
        <w:t>Mae Manouchehri hefyd yn ymchwilio mewn i ddysgu ail iaith trwy gerddoriaeth ac mae’r rhoi esiampl o ddysgu Ffrangeg o’n mae hyn yn bwysig iawn yng Nghymru hefyd gan fod yna dros 180,000 (Gov, 2021) o ddysgwyr yn dod o deulu lle mae Saesneg yw iaith y cartref. Mae dysgwyr sydd yn dod o deuluoedd Saesneg yn gweld dysgu Cymraeg yn fwy anodd i gymharu â’r dysgwyr sydd yn dod i’r ysgol yn ddwyieithog. Mae dosbarth cerddorol yn ddosbarth sydd yn parhau i ddysgu ac yn canolbwyntio yn well (Barret et al., 2019).</w:t>
      </w:r>
    </w:p>
    <w:p w14:paraId="37FFCE02" w14:textId="77777777" w:rsidR="00651413" w:rsidRPr="00FC7561" w:rsidRDefault="00651413" w:rsidP="00C4144E">
      <w:pPr>
        <w:rPr>
          <w:color w:val="222222"/>
        </w:rPr>
      </w:pPr>
    </w:p>
    <w:p w14:paraId="011A5F61" w14:textId="04B8F863" w:rsidR="009843F4" w:rsidRPr="00FC7561" w:rsidRDefault="004C2EB0" w:rsidP="00C4144E">
      <w:pPr>
        <w:rPr>
          <w:color w:val="222222"/>
        </w:rPr>
      </w:pPr>
      <w:r w:rsidRPr="00FC7561">
        <w:rPr>
          <w:color w:val="222222"/>
        </w:rPr>
        <w:t>Mae papur Kneen et al, (2020) yn cyflwyno’r cyfleoedd o’r cwricwlwm celfyddydau newydd i Gymru. Maent yn siarad am yr heriau mae ysgolion cynradd yn wynebu trwy sicrhau bod y celfyddydau i gyd wedi’i chynnwys yn ei chwricwlwm ac maent yn sôn am y gwanhaiaeth rhwng cyfnod cynradd a’r cyfnod uwchradd gan ei fod yn integreiddio yn ffyrdd gwahanol. Mae dull ‘traws ddisgyblaethol’ (Drake a Burns, 2004) yn cael ei chanolbwyntio arno achos dyma’r dull mae ysgolion cynradd yn fwy tebygol o ddilyn gan ei fod yn caniatáu’r dysgwyr i arwain y dysgu. Gan fod y dull yma wedi cael ei ddatblygu cyn i’r cwricwlwm newydd gael ei ddatblygu bydd yn ddiddorol i weld ac ymchwilio i mewn i’r dull yma i weld os gall y dull cael ei newid neu ddatblygu dull hollol newydd i siwtio’n well i addysgu'r cwricwlwm newydd yn well.</w:t>
      </w:r>
      <w:r w:rsidR="0094480A" w:rsidRPr="00FC7561">
        <w:rPr>
          <w:color w:val="222222"/>
        </w:rPr>
        <w:t xml:space="preserve"> </w:t>
      </w:r>
      <w:r w:rsidRPr="00FC7561">
        <w:rPr>
          <w:color w:val="222222"/>
        </w:rPr>
        <w:t>Mae’r papur yn edrych ar y cyfnodau cynradd ac uwchradd ar wahân ac mae hyn yn dda gan fod y dysgwyr i gyd yn wahanol yn y cyfnodau gwahanol ond mae’r gallu’r dysgwyr i ddysgu yn ffyddiau wahanol yn fwy hyblyg yn y cyfnod uwchradd felly mae'n bwysig edrych ar y ddau fel cyfnodau gwahanol ond i sylweddoli bod dulliau yn gallu croesi ei gilydd weithiau (Llywodraeth Cymru, 2019</w:t>
      </w:r>
      <w:r w:rsidR="0024690D" w:rsidRPr="00FC7561">
        <w:rPr>
          <w:color w:val="222222"/>
        </w:rPr>
        <w:t>). Fyddai hefyd yn ddiddorol weld yn y dyfodol os mae’r heriau yma dal i fodoli ac i weld os mae addysgu celfyddydau'r ffordd yma yn elwa dysgu’r disgyblion.</w:t>
      </w:r>
    </w:p>
    <w:p w14:paraId="471DA2DD" w14:textId="5D9A6ACE" w:rsidR="0024690D" w:rsidRPr="00FC7561" w:rsidRDefault="0024690D" w:rsidP="00C4144E">
      <w:pPr>
        <w:rPr>
          <w:color w:val="222222"/>
        </w:rPr>
      </w:pPr>
    </w:p>
    <w:p w14:paraId="60CEC5BD" w14:textId="39FCF2A7" w:rsidR="00E60DBB" w:rsidRPr="00FC7561" w:rsidRDefault="00E60DBB" w:rsidP="00C4144E">
      <w:pPr>
        <w:rPr>
          <w:color w:val="222222"/>
        </w:rPr>
      </w:pPr>
      <w:r w:rsidRPr="00FC7561">
        <w:rPr>
          <w:color w:val="222222"/>
        </w:rPr>
        <w:t>Mae Barnes a Shirley (2007) yn adrodd bod myfyrwyr yn amharod i wneud cysylltiadau trawsgwricwlaidd gan ei fod wedi cael ei addysgu yn ffordd i gyrraedd graddau ac nid mewn ffordd mae cyflogwyr a phrifysgolion yn edrych am o ran hyblygrwydd, deallusrwydd emosiynol, creadigol a meddylwyr annibynnol sydd yn barod i weithio mewn amseroedd sydd yn ansicr ac sy’n newid yn gyflym (Csikszentmihalyi, 2004). Er bod y papur yma wedi cael ei ysgrifennu yn 2007 mae yna lawer o bethau perthnasol ynddo gan fod hi dal yn bwysig fod dysgwyr yn cael ei dysgu i fod yn barod am y byd go iawn ar ôl gadael ysgol. Mae’r erthygl yn dda i alluogi cymhariaeth rhwng y cwricwlwm newydd a hen gan ei fod yn adrodd bod y gallu i fod yn drawsgwricwlaidd yn bwysig felly bydd hi’n datblygu’r ymchwiliad i weld os mae’r newidiadau yn y cwricwlwm newydd o fudd i’r dysgwyr.</w:t>
      </w:r>
      <w:r w:rsidR="000218C6" w:rsidRPr="00FC7561">
        <w:rPr>
          <w:color w:val="222222"/>
        </w:rPr>
        <w:t xml:space="preserve"> Gan fod papur Barnes a Shirley (2007) mor hen, fydd y canfyddiadau o’r papur efallai wedi newid ers iddo gael ei wneud felly bydd hi’n ddiddorol gwneud ymchwil pellach ond ar y myfyrwyr sydd yn gadael ysgol nawr, a’r myfyrwyr fydd yn cael ysgol ar ôl cael addysg gyfan o’r </w:t>
      </w:r>
      <w:r w:rsidR="000218C6" w:rsidRPr="00FC7561">
        <w:rPr>
          <w:color w:val="222222"/>
        </w:rPr>
        <w:lastRenderedPageBreak/>
        <w:t>cwricwlwm newydd gan fod sut gymaint wedi newid ac yn dal i newid gyda’r Cwriciwlm i Gymru 2022.</w:t>
      </w:r>
    </w:p>
    <w:p w14:paraId="37F5B0F5" w14:textId="67927AFF" w:rsidR="004958B2" w:rsidRPr="00FC7561" w:rsidRDefault="004958B2" w:rsidP="00C4144E">
      <w:pPr>
        <w:rPr>
          <w:color w:val="222222"/>
        </w:rPr>
      </w:pPr>
    </w:p>
    <w:p w14:paraId="6C104942" w14:textId="58836CBC" w:rsidR="000218C6" w:rsidRPr="00FC7561" w:rsidRDefault="001A4921" w:rsidP="00C4144E">
      <w:pPr>
        <w:rPr>
          <w:color w:val="222222"/>
        </w:rPr>
      </w:pPr>
      <w:r w:rsidRPr="00FC7561">
        <w:rPr>
          <w:color w:val="222222"/>
        </w:rPr>
        <w:t>Mae Greenwood (2013) wedi gwneud ymchwil ar y newidiadau i’r cwricwlwm a digwyddodd yng Ngogledd Iwerddon yn 2007 sydd yn hyrwyddo dull trawsgwricwlaidd neu yn thematig i gynllunio ac addysgu. Mae’r cwricwlwm newydd yng Ngogledd Iwerddon yn debyg iawn i’r Cwricwlwm newydd i Gymru 2022 gan ei fod yn cynnwys 6 maes dysgu. Mae’r papur yn adrodd bod eisiau llawer o wybodaeth ar yr athrawon i ddysgu trawsgwricwlaidd fod yn effeithiol gan fod angen iddynt adnabod llawer am fwy na un pwnc ar y tro (Word, 2011) Mae’r dull yma o addysgu yn gadael i’r addysgu fod yn benagored a hyblyg sydd yn cynnwys cymysgedd o waith dosbarth cyfan, gwaith grŵp a gwaith annibynnol. Mae angen i’r addysgwyr fod yn hyderus gyda gwybodaeth a dealltwriaeth dda ar y pwnc trwy gael llawer o hyfforddiant i ddatblygu ei sgiliau gan fod hyn yn beth newydd i bawb.</w:t>
      </w:r>
    </w:p>
    <w:p w14:paraId="44EF4E33" w14:textId="77777777" w:rsidR="001A4921" w:rsidRPr="00FC7561" w:rsidRDefault="001A4921" w:rsidP="00C4144E"/>
    <w:p w14:paraId="3F1DF2DB" w14:textId="71D68820" w:rsidR="00E60DBB" w:rsidRPr="00FC7561" w:rsidRDefault="00E60DBB" w:rsidP="00C4144E">
      <w:pPr>
        <w:rPr>
          <w:u w:val="single"/>
        </w:rPr>
      </w:pPr>
      <w:r w:rsidRPr="00FC7561">
        <w:rPr>
          <w:u w:val="single"/>
        </w:rPr>
        <w:t>Casgliad</w:t>
      </w:r>
    </w:p>
    <w:p w14:paraId="5FFCE738" w14:textId="043F4236" w:rsidR="00E60DBB" w:rsidRPr="00FC7561" w:rsidRDefault="00E60DBB" w:rsidP="00C4144E"/>
    <w:p w14:paraId="201791C2" w14:textId="43CA4FE1" w:rsidR="003031F0" w:rsidRPr="00FC7561" w:rsidRDefault="00917B2C" w:rsidP="003031F0">
      <w:r w:rsidRPr="00FC7561">
        <w:t>O’r ymchwil rydw i wedi gwneud, dw i wedi darganfod llawer o wahanol safbwyntiau amdano ddysgu yn drawsgwricwlaidd ac mae yna lawer mwy gwaith o blaidd y dull na sydd yn erbyn. Dw i am ddefnyddio addysgu yn drawsgwricwlaidd yn aml yn fy addysgu gan fy mod yn credu bod y dysgwyr a’r addysgwyr yn elwa o’r dull yma achos mae’r gwneud y dysgu yn sbri ac yn tynnu i ffwrdd o’r llwyth gwaith gan fod yna wahanol feysydd yn gallu cael ei chysylltu mewn yn wers ac fel canlyniad mae hyn yn gwneud yr addysgu yn fwy o hwyl i’r athrawon.</w:t>
      </w:r>
    </w:p>
    <w:p w14:paraId="43673631" w14:textId="77777777" w:rsidR="00917B2C" w:rsidRPr="00FC7561" w:rsidRDefault="00917B2C" w:rsidP="003031F0"/>
    <w:p w14:paraId="798A4400" w14:textId="4D3C5F53" w:rsidR="00E60DBB" w:rsidRPr="00FC7561" w:rsidRDefault="003031F0" w:rsidP="003031F0">
      <w:r w:rsidRPr="00FC7561">
        <w:t xml:space="preserve">Dw i’n credu bod dysgu yn drawsgwricwlaidd yn galluogi’r dysgwyr i ddysgu i fod yn fwy creadigol yn ei waith (Jones a Wyse, 2013) gan fod rhaid i’r dysgwyr gwneud y cysylltiadau rhwng y meysydd dysgu a phrofiad. Yn ôl adroddiadau Barnes (2012) amdano brofiadau gwahanol dw i am ddefnyddio'r ffordd wahanol o addysgu a dysgu yn fy addysgeg gan fy mod yn credu dyle’r dysgwyr dysgu yn y ffordd sydd yn galluogi ei phrofiad yw’r orau sy’n bosib. Dw i hefyd am i ddefnyddio’r dull o’r dysgwyr yn arwain y dysgu llawer yn fy addysgu gan fy mod am i’r disgyblion cael yr angen i ddysgu ac yn canolbwyntio yn well os maen nhw eisiau dysgu. </w:t>
      </w:r>
    </w:p>
    <w:p w14:paraId="7FCF42A3" w14:textId="4DDDE5E3" w:rsidR="003031F0" w:rsidRPr="00FC7561" w:rsidRDefault="003031F0" w:rsidP="003031F0"/>
    <w:p w14:paraId="63716C58" w14:textId="193F8BDB" w:rsidR="00651413" w:rsidRPr="00FC7561" w:rsidRDefault="00F75333" w:rsidP="003031F0">
      <w:r w:rsidRPr="00FC7561">
        <w:t>Mae’r papur gan Hayes (2010) yn anelu at addysgu cynradd ac maent yn adrodd bod y pobl sydd wedi cael addysg dda yw’r dysgwyr sydd yn gallu bod yn annibynnol ac yn hyderus yn ei ymwybyddiaeth a’r dealltwriaeth o’r byd ac yn gwybod bod popeth ddim pob tro yn llwyddo. Dw i am defnyddio dulliau addysgu i helpu’r dysgwyr i fod yn fwHayresibynnol oherwydd mae’n bwysig i’r dysgwyr adnabod ei chryfderau a’i gwendidau ei hun heb fod rhaid i’r addysgwyr arwain bob rhan o’r dysgu. Mae addysgu fel hyn yn galluogi i’r addysgu cysylltu gyda’r Pedwar Diben (Donaldson, 2015) sydd yn helpu datblygu a pharatoi’r dysgwyr i fod yn barod am y byd go iawn wrth iddynt heneiddio.</w:t>
      </w:r>
    </w:p>
    <w:p w14:paraId="0535100D" w14:textId="77777777" w:rsidR="00F75333" w:rsidRPr="00FC7561" w:rsidRDefault="00F75333" w:rsidP="003031F0"/>
    <w:p w14:paraId="5068E25A" w14:textId="10965EE1" w:rsidR="00BB680F" w:rsidRPr="00FC7561" w:rsidRDefault="00F75333" w:rsidP="003031F0">
      <w:r w:rsidRPr="00FC7561">
        <w:t xml:space="preserve">Dw i'n hoff iawn o’r dull o ddefnyddio cerddoriaeth mewn addysgu yn drawsgwricwlaidd gan fod hi’n gallu elwa bron pob disgybl dim ond y rhai sydd yn dysgu yn glywedol gan fod yna darllen geiriau’r caneuon, y canu, gwrando ar y gan ac yn ysgrifennu'r gan. Dw i yn cytuno gyda chanfyddiadau Barret et al, (2019) sydd yn dweud fod dosbarth sydd yn gerddorol yn barod i ddysgu ac yn canolbwyntio yn well. Yn enwedig gydag addysgu yn y cyfnod sylfaen dw i am ddefnyddio llawer o’r strategaeth yma gan fod y dysgwyr yn ddosbarthiadau Gymraeg yn newydd i iaith yr ysgol gan fod iaith y cartref yn Saesneg, felly </w:t>
      </w:r>
      <w:r w:rsidRPr="00FC7561">
        <w:lastRenderedPageBreak/>
        <w:t>trwy ddysgu wrth ganu a gwneud bydd hyn yn elwa’r disgyblion yn fawr iawn gan ei fod mwy tebygol o gofio a chysylltu pethau.</w:t>
      </w:r>
    </w:p>
    <w:p w14:paraId="73C285D2" w14:textId="77777777" w:rsidR="00F75333" w:rsidRPr="00FC7561" w:rsidRDefault="00F75333" w:rsidP="003031F0"/>
    <w:p w14:paraId="0D6A0CEC" w14:textId="77777777" w:rsidR="00F6241A" w:rsidRPr="00FC7561" w:rsidRDefault="00F75333" w:rsidP="00F6241A">
      <w:r w:rsidRPr="00FC7561">
        <w:t xml:space="preserve">Rydw i’n ymwybodol fydd yna rhai adegau na fydd hi’n bosib dysgu yn drawsgwricwlaidd ond yn yr amseroedd yna dw i am wneud yn siŵr fod y 4 wahanol ffordd o ddysgu </w:t>
      </w:r>
      <w:r w:rsidR="001F11EA" w:rsidRPr="00FC7561">
        <w:t xml:space="preserve">(clywedol, gweledol, ddarllen/ysgfrifennu a </w:t>
      </w:r>
      <w:r w:rsidR="00F6241A" w:rsidRPr="00FC7561">
        <w:t xml:space="preserve">cinesthetig) </w:t>
      </w:r>
      <w:r w:rsidRPr="00FC7561">
        <w:t xml:space="preserve">yn cael ei rhoi i’r dysgwyr i wneud yn siŵr fod y ffordd o ddysgu yn addas iddyn nhw i helpu sicrhau fod y dysgwyr yn parhau i ganolbwyntio yn y gwaith sydd falle ddim mor hawdd neu hwylus (Parsons a Taylor, 2011). </w:t>
      </w:r>
    </w:p>
    <w:p w14:paraId="4C4419BC" w14:textId="387E6F16" w:rsidR="001F11EA" w:rsidRPr="00FC7561" w:rsidRDefault="00F6241A" w:rsidP="00F6241A">
      <w:r w:rsidRPr="00FC7561">
        <w:t>Wrth wneud hyn fydd y dysgwyr yn canolbwyntio yn well achos bydda nhw yn gallu ymgysylltu â’r gwaith yn well a fydd y gwaith mwy tebygol o aros yn ei ymennydd byr dymor a fydd rhai iddynt ail ymweld â’r gwaith i helpu’r wybodaeth symud i’r ymennydd hir dymor. Dw i hefyd yn ymwybodol bydd rhai o’r dysgwyr yn gweld mwy na un ffordd o ddysgu bydd yn well iddyn nhw felly bydd yna ddewis o’r wahanol fathau o ddysgu iddyn nhw.</w:t>
      </w:r>
    </w:p>
    <w:p w14:paraId="37B7F7FE" w14:textId="77777777" w:rsidR="001F11EA" w:rsidRPr="00FC7561" w:rsidRDefault="001F11EA" w:rsidP="001F11EA"/>
    <w:p w14:paraId="3F3E9012" w14:textId="2BB2EFBE" w:rsidR="00651413" w:rsidRPr="00FC7561" w:rsidRDefault="001F11EA" w:rsidP="001F11EA">
      <w:r w:rsidRPr="00FC7561">
        <w:t xml:space="preserve">Yn ychwanegol mae yna’r posibilrwydd o gyfnodau clo digwydd eto ac mae hyn yn achosi llawer o broblemau i addysgwyr a dysgwyr gan fod yna rhai pethau yn anodd addysgu dros y we felly mae yn rhwystrau yn y ffordd o ddysgu yn gyfan gwbl a dim ond dysgu yn drawsgwricwlaidd. Os fydd hyn yn digwydd dw i am geisio datblygu fy sgiliau addysgu a gwneud adnoddau fydd yn hwylus i’r dysgwyr gan fy mod am gadw nhw wedi ymgysylltu gyda'i gwaith ysgol a dim colli mwy o amser dysgu. </w:t>
      </w:r>
    </w:p>
    <w:p w14:paraId="7981864D" w14:textId="790A2C1C" w:rsidR="000218C6" w:rsidRPr="00FC7561" w:rsidRDefault="000218C6" w:rsidP="003031F0"/>
    <w:p w14:paraId="164B1CFE" w14:textId="5AA408A0" w:rsidR="000218C6" w:rsidRPr="00FC7561" w:rsidRDefault="000218C6" w:rsidP="003031F0"/>
    <w:p w14:paraId="61EBBF7C" w14:textId="77777777" w:rsidR="000218C6" w:rsidRPr="00FC7561" w:rsidRDefault="000218C6" w:rsidP="003031F0"/>
    <w:p w14:paraId="75B3B246" w14:textId="4821433D" w:rsidR="00C4144E" w:rsidRPr="00FC7561" w:rsidRDefault="009F01B3" w:rsidP="00C4144E">
      <w:pPr>
        <w:rPr>
          <w:u w:val="single"/>
        </w:rPr>
      </w:pPr>
      <w:r w:rsidRPr="00FC7561">
        <w:rPr>
          <w:u w:val="single"/>
        </w:rPr>
        <w:t>Cyfeirnodi</w:t>
      </w:r>
    </w:p>
    <w:p w14:paraId="0875FD18" w14:textId="77777777" w:rsidR="003C7AF6" w:rsidRPr="00FC7561" w:rsidRDefault="003C7AF6" w:rsidP="00C4144E">
      <w:pPr>
        <w:rPr>
          <w:u w:val="single"/>
        </w:rPr>
      </w:pPr>
    </w:p>
    <w:p w14:paraId="48D38523" w14:textId="77777777" w:rsidR="00C4144E" w:rsidRPr="00FC7561" w:rsidRDefault="00C4144E" w:rsidP="00C4144E">
      <w:r w:rsidRPr="00FC7561">
        <w:rPr>
          <w:color w:val="222222"/>
          <w:shd w:val="clear" w:color="auto" w:fill="FFFFFF"/>
        </w:rPr>
        <w:t>Barnes, J., 2012. An introduction to cross-curricular learning. </w:t>
      </w:r>
      <w:r w:rsidRPr="00FC7561">
        <w:rPr>
          <w:i/>
          <w:iCs/>
          <w:color w:val="222222"/>
        </w:rPr>
        <w:t>The primary curriculum: A creative approach</w:t>
      </w:r>
      <w:r w:rsidRPr="00FC7561">
        <w:rPr>
          <w:color w:val="222222"/>
          <w:shd w:val="clear" w:color="auto" w:fill="FFFFFF"/>
        </w:rPr>
        <w:t>, pp.235-254.</w:t>
      </w:r>
    </w:p>
    <w:p w14:paraId="17317429" w14:textId="2444DAA4" w:rsidR="005F6BB0" w:rsidRPr="00FC7561" w:rsidRDefault="005F6BB0" w:rsidP="005F6BB0">
      <w:pPr>
        <w:pStyle w:val="NormalWeb"/>
      </w:pPr>
      <w:r w:rsidRPr="00FC7561">
        <w:t xml:space="preserve">Barnes, J. (2015) </w:t>
      </w:r>
      <w:r w:rsidRPr="00FC7561">
        <w:rPr>
          <w:i/>
          <w:iCs/>
        </w:rPr>
        <w:t>Cross-Curricular Learning 3-14</w:t>
      </w:r>
      <w:r w:rsidRPr="00FC7561">
        <w:t>, 3rd edn. London: Sage</w:t>
      </w:r>
    </w:p>
    <w:p w14:paraId="00848832" w14:textId="6017DD72" w:rsidR="003C7AF6" w:rsidRPr="00FC7561" w:rsidRDefault="003C7AF6" w:rsidP="003C7AF6">
      <w:pPr>
        <w:rPr>
          <w:color w:val="222222"/>
          <w:shd w:val="clear" w:color="auto" w:fill="FFFFFF"/>
        </w:rPr>
      </w:pPr>
      <w:r w:rsidRPr="00FC7561">
        <w:rPr>
          <w:color w:val="222222"/>
          <w:shd w:val="clear" w:color="auto" w:fill="FFFFFF"/>
        </w:rPr>
        <w:t>Barnes, J. and Shirley, I., 2007. Strangely familiar: Cross-curricular and creative thinking in teacher education. </w:t>
      </w:r>
      <w:r w:rsidRPr="00FC7561">
        <w:rPr>
          <w:i/>
          <w:iCs/>
          <w:color w:val="222222"/>
        </w:rPr>
        <w:t>Improving Schools</w:t>
      </w:r>
      <w:r w:rsidRPr="00FC7561">
        <w:rPr>
          <w:color w:val="222222"/>
          <w:shd w:val="clear" w:color="auto" w:fill="FFFFFF"/>
        </w:rPr>
        <w:t>, </w:t>
      </w:r>
      <w:r w:rsidRPr="00FC7561">
        <w:rPr>
          <w:i/>
          <w:iCs/>
          <w:color w:val="222222"/>
        </w:rPr>
        <w:t>10</w:t>
      </w:r>
      <w:r w:rsidRPr="00FC7561">
        <w:rPr>
          <w:color w:val="222222"/>
          <w:shd w:val="clear" w:color="auto" w:fill="FFFFFF"/>
        </w:rPr>
        <w:t>(2), pp.162-179.</w:t>
      </w:r>
    </w:p>
    <w:p w14:paraId="0E97419F" w14:textId="77777777" w:rsidR="003C7AF6" w:rsidRPr="00FC7561" w:rsidRDefault="003C7AF6" w:rsidP="003C7AF6"/>
    <w:p w14:paraId="45B0924B" w14:textId="61A8EAC9" w:rsidR="00FC4F4A" w:rsidRPr="00FC7561" w:rsidRDefault="00FC4F4A" w:rsidP="00FC4F4A">
      <w:pPr>
        <w:rPr>
          <w:lang w:val="en-GB"/>
        </w:rPr>
      </w:pPr>
      <w:r w:rsidRPr="00FC7561">
        <w:rPr>
          <w:color w:val="222222"/>
          <w:shd w:val="clear" w:color="auto" w:fill="FFFFFF"/>
          <w:lang w:val="en-GB"/>
        </w:rPr>
        <w:t>Barrett, M.S., Flynn, L.M., Brown, J.E. and Welch, G.F., 2019. Beliefs and values about music in early childhood education and care: perspectives from practitioners. </w:t>
      </w:r>
      <w:r w:rsidRPr="00FC7561">
        <w:rPr>
          <w:i/>
          <w:iCs/>
          <w:color w:val="222222"/>
          <w:lang w:val="en-GB"/>
        </w:rPr>
        <w:t>Frontiers in psychology</w:t>
      </w:r>
      <w:r w:rsidRPr="00FC7561">
        <w:rPr>
          <w:color w:val="222222"/>
          <w:shd w:val="clear" w:color="auto" w:fill="FFFFFF"/>
          <w:lang w:val="en-GB"/>
        </w:rPr>
        <w:t>, </w:t>
      </w:r>
      <w:r w:rsidRPr="00FC7561">
        <w:rPr>
          <w:i/>
          <w:iCs/>
          <w:color w:val="222222"/>
          <w:lang w:val="en-GB"/>
        </w:rPr>
        <w:t>10</w:t>
      </w:r>
      <w:r w:rsidRPr="00FC7561">
        <w:rPr>
          <w:color w:val="222222"/>
          <w:shd w:val="clear" w:color="auto" w:fill="FFFFFF"/>
          <w:lang w:val="en-GB"/>
        </w:rPr>
        <w:t>, p.724.</w:t>
      </w:r>
    </w:p>
    <w:p w14:paraId="3AE5F8A2" w14:textId="23803300" w:rsidR="007176CE" w:rsidRPr="00FC7561" w:rsidRDefault="007176CE" w:rsidP="007176CE">
      <w:pPr>
        <w:pStyle w:val="NormalWeb"/>
      </w:pPr>
      <w:r w:rsidRPr="00FC7561">
        <w:t>Blenkin, G.M., and A.V. Kelly. 1983. The primary curriculum in action. London: Paul Chapman</w:t>
      </w:r>
    </w:p>
    <w:p w14:paraId="03060BE9" w14:textId="37910F43" w:rsidR="005F6BB0" w:rsidRPr="00FC7561" w:rsidRDefault="005F6BB0" w:rsidP="005F6BB0">
      <w:pPr>
        <w:pStyle w:val="NormalWeb"/>
      </w:pPr>
      <w:r w:rsidRPr="00FC7561">
        <w:t xml:space="preserve">Csikszentmihalyi, M. (2002) </w:t>
      </w:r>
      <w:r w:rsidRPr="00FC7561">
        <w:rPr>
          <w:i/>
          <w:iCs/>
        </w:rPr>
        <w:t>Flow: The Classic Work on How to Achieve Happiness</w:t>
      </w:r>
      <w:r w:rsidRPr="00FC7561">
        <w:t xml:space="preserve">. London: Rider. </w:t>
      </w:r>
    </w:p>
    <w:p w14:paraId="53034545" w14:textId="17DB2DD7" w:rsidR="003A794B" w:rsidRPr="00FC7561" w:rsidRDefault="003A794B" w:rsidP="003A794B">
      <w:pPr>
        <w:rPr>
          <w:lang w:val="en-GB"/>
        </w:rPr>
      </w:pPr>
      <w:r w:rsidRPr="00FC7561">
        <w:rPr>
          <w:color w:val="222222"/>
          <w:shd w:val="clear" w:color="auto" w:fill="FFFFFF"/>
          <w:lang w:val="en-GB"/>
        </w:rPr>
        <w:t>Csikszentmihalyi, M., 2004. </w:t>
      </w:r>
      <w:r w:rsidRPr="00FC7561">
        <w:rPr>
          <w:i/>
          <w:iCs/>
          <w:color w:val="222222"/>
          <w:lang w:val="en-GB"/>
        </w:rPr>
        <w:t>Good business: Leadership, flow, and the making of meaning</w:t>
      </w:r>
      <w:r w:rsidRPr="00FC7561">
        <w:rPr>
          <w:color w:val="222222"/>
          <w:shd w:val="clear" w:color="auto" w:fill="FFFFFF"/>
          <w:lang w:val="en-GB"/>
        </w:rPr>
        <w:t>. Penguin.</w:t>
      </w:r>
    </w:p>
    <w:p w14:paraId="7CEC8F56" w14:textId="1A43C3DD" w:rsidR="000A18F0" w:rsidRPr="00FC7561" w:rsidRDefault="000A18F0" w:rsidP="005F6BB0">
      <w:pPr>
        <w:pStyle w:val="NormalWeb"/>
      </w:pPr>
      <w:r w:rsidRPr="00FC7561">
        <w:rPr>
          <w:color w:val="222222"/>
        </w:rPr>
        <w:t>Dearing, R., 1993.</w:t>
      </w:r>
      <w:r w:rsidRPr="00FC7561">
        <w:rPr>
          <w:rStyle w:val="apple-converted-space"/>
          <w:color w:val="222222"/>
        </w:rPr>
        <w:t> </w:t>
      </w:r>
      <w:r w:rsidRPr="00FC7561">
        <w:rPr>
          <w:i/>
          <w:iCs/>
          <w:color w:val="222222"/>
        </w:rPr>
        <w:t>The National Curriculum and its assessment</w:t>
      </w:r>
      <w:r w:rsidRPr="00FC7561">
        <w:rPr>
          <w:color w:val="222222"/>
        </w:rPr>
        <w:t>. York, England: National Curriculum Council.</w:t>
      </w:r>
    </w:p>
    <w:p w14:paraId="5A788B1B" w14:textId="07143108" w:rsidR="007176CE" w:rsidRPr="00FC7561" w:rsidRDefault="007176CE" w:rsidP="007176CE">
      <w:pPr>
        <w:rPr>
          <w:color w:val="222222"/>
          <w:shd w:val="clear" w:color="auto" w:fill="FFFFFF"/>
        </w:rPr>
      </w:pPr>
      <w:r w:rsidRPr="00FC7561">
        <w:rPr>
          <w:color w:val="222222"/>
          <w:shd w:val="clear" w:color="auto" w:fill="FFFFFF"/>
        </w:rPr>
        <w:lastRenderedPageBreak/>
        <w:t>Donaldson, G., 2015.</w:t>
      </w:r>
      <w:r w:rsidRPr="00FC7561">
        <w:rPr>
          <w:rStyle w:val="apple-converted-space"/>
          <w:color w:val="222222"/>
          <w:shd w:val="clear" w:color="auto" w:fill="FFFFFF"/>
        </w:rPr>
        <w:t> </w:t>
      </w:r>
      <w:r w:rsidRPr="00FC7561">
        <w:rPr>
          <w:i/>
          <w:iCs/>
          <w:color w:val="222222"/>
        </w:rPr>
        <w:t>Successful futures: Independent review of curriculum and assessment arrangements in Wales</w:t>
      </w:r>
      <w:r w:rsidRPr="00FC7561">
        <w:rPr>
          <w:color w:val="222222"/>
          <w:shd w:val="clear" w:color="auto" w:fill="FFFFFF"/>
        </w:rPr>
        <w:t>. Welsh Government.</w:t>
      </w:r>
    </w:p>
    <w:p w14:paraId="2CA9AAB1" w14:textId="77777777" w:rsidR="00872396" w:rsidRPr="00FC7561" w:rsidRDefault="00872396" w:rsidP="007176CE">
      <w:pPr>
        <w:rPr>
          <w:color w:val="222222"/>
          <w:shd w:val="clear" w:color="auto" w:fill="FFFFFF"/>
        </w:rPr>
      </w:pPr>
    </w:p>
    <w:p w14:paraId="31BE2927" w14:textId="0F3D80A1" w:rsidR="00872396" w:rsidRPr="00FC7561" w:rsidRDefault="00872396" w:rsidP="007176CE">
      <w:pPr>
        <w:rPr>
          <w:color w:val="222222"/>
          <w:shd w:val="clear" w:color="auto" w:fill="FFFFFF"/>
          <w:lang w:val="en-GB"/>
        </w:rPr>
      </w:pPr>
      <w:r w:rsidRPr="00FC7561">
        <w:rPr>
          <w:color w:val="222222"/>
          <w:shd w:val="clear" w:color="auto" w:fill="FFFFFF"/>
          <w:lang w:val="en-GB"/>
        </w:rPr>
        <w:t>Drake, S.M. and Burns, R.C., 2004. </w:t>
      </w:r>
      <w:r w:rsidRPr="00FC7561">
        <w:rPr>
          <w:i/>
          <w:iCs/>
          <w:color w:val="222222"/>
          <w:lang w:val="en-GB"/>
        </w:rPr>
        <w:t>Meeting standards through integrated curriculum</w:t>
      </w:r>
      <w:r w:rsidRPr="00FC7561">
        <w:rPr>
          <w:color w:val="222222"/>
          <w:shd w:val="clear" w:color="auto" w:fill="FFFFFF"/>
          <w:lang w:val="en-GB"/>
        </w:rPr>
        <w:t>. ASCD.</w:t>
      </w:r>
    </w:p>
    <w:p w14:paraId="457C5949" w14:textId="77777777" w:rsidR="00747E5F" w:rsidRPr="00FC7561" w:rsidRDefault="00747E5F" w:rsidP="007176CE">
      <w:pPr>
        <w:rPr>
          <w:color w:val="222222"/>
          <w:shd w:val="clear" w:color="auto" w:fill="FFFFFF"/>
          <w:lang w:val="en-GB"/>
        </w:rPr>
      </w:pPr>
    </w:p>
    <w:p w14:paraId="2DB18B66" w14:textId="77777777" w:rsidR="00747E5F" w:rsidRPr="00FC7561" w:rsidRDefault="00747E5F" w:rsidP="00747E5F">
      <w:r w:rsidRPr="00FC7561">
        <w:rPr>
          <w:color w:val="222222"/>
          <w:shd w:val="clear" w:color="auto" w:fill="FFFFFF"/>
        </w:rPr>
        <w:t>Gatley, J., 2020. A fydd y Cwricwlwm i Gymru newydd yn gallu cyflawni ei ddibenion?. </w:t>
      </w:r>
      <w:r w:rsidRPr="00FC7561">
        <w:rPr>
          <w:i/>
          <w:iCs/>
          <w:color w:val="222222"/>
        </w:rPr>
        <w:t>The Curriculum Journal</w:t>
      </w:r>
      <w:r w:rsidRPr="00FC7561">
        <w:rPr>
          <w:color w:val="222222"/>
          <w:shd w:val="clear" w:color="auto" w:fill="FFFFFF"/>
        </w:rPr>
        <w:t>, </w:t>
      </w:r>
      <w:r w:rsidRPr="00FC7561">
        <w:rPr>
          <w:i/>
          <w:iCs/>
          <w:color w:val="222222"/>
        </w:rPr>
        <w:t>31</w:t>
      </w:r>
      <w:r w:rsidRPr="00FC7561">
        <w:rPr>
          <w:color w:val="222222"/>
          <w:shd w:val="clear" w:color="auto" w:fill="FFFFFF"/>
        </w:rPr>
        <w:t>(2), pp.e27-e39.</w:t>
      </w:r>
    </w:p>
    <w:p w14:paraId="10538444" w14:textId="73A8910D" w:rsidR="000A18F0" w:rsidRPr="00FC7561" w:rsidRDefault="000A18F0" w:rsidP="000A18F0">
      <w:pPr>
        <w:pStyle w:val="NormalWeb"/>
      </w:pPr>
      <w:r w:rsidRPr="00FC7561">
        <w:t>Glees</w:t>
      </w:r>
      <w:r w:rsidR="00747E5F" w:rsidRPr="00FC7561">
        <w:t>o</w:t>
      </w:r>
      <w:r w:rsidRPr="00FC7561">
        <w:t xml:space="preserve">n, D. &amp; Whitty, G. (1976) </w:t>
      </w:r>
      <w:r w:rsidRPr="00FC7561">
        <w:rPr>
          <w:i/>
          <w:iCs/>
        </w:rPr>
        <w:t xml:space="preserve">Developments in Social Studies Teaching. </w:t>
      </w:r>
      <w:r w:rsidRPr="00FC7561">
        <w:t>London: Open Books</w:t>
      </w:r>
    </w:p>
    <w:p w14:paraId="24D19344" w14:textId="4200F67D" w:rsidR="004958B2" w:rsidRPr="00FC7561" w:rsidRDefault="004958B2" w:rsidP="004958B2">
      <w:pPr>
        <w:rPr>
          <w:lang w:val="en-GB"/>
        </w:rPr>
      </w:pPr>
      <w:r w:rsidRPr="00FC7561">
        <w:rPr>
          <w:color w:val="222222"/>
          <w:shd w:val="clear" w:color="auto" w:fill="FFFFFF"/>
        </w:rPr>
        <w:t>Greenwood, R., 2013. Subject-based and cross-curricular approaches within the revised primary curriculum in Northern Ireland: teachers' concerns and preferred approaches.</w:t>
      </w:r>
      <w:r w:rsidRPr="00FC7561">
        <w:rPr>
          <w:rStyle w:val="apple-converted-space"/>
          <w:color w:val="222222"/>
          <w:shd w:val="clear" w:color="auto" w:fill="FFFFFF"/>
        </w:rPr>
        <w:t> </w:t>
      </w:r>
      <w:r w:rsidRPr="00FC7561">
        <w:rPr>
          <w:i/>
          <w:iCs/>
          <w:color w:val="222222"/>
        </w:rPr>
        <w:t>Education 3-13</w:t>
      </w:r>
      <w:r w:rsidRPr="00FC7561">
        <w:rPr>
          <w:color w:val="222222"/>
          <w:shd w:val="clear" w:color="auto" w:fill="FFFFFF"/>
        </w:rPr>
        <w:t>,</w:t>
      </w:r>
      <w:r w:rsidRPr="00FC7561">
        <w:rPr>
          <w:rStyle w:val="apple-converted-space"/>
          <w:color w:val="222222"/>
          <w:shd w:val="clear" w:color="auto" w:fill="FFFFFF"/>
        </w:rPr>
        <w:t> </w:t>
      </w:r>
      <w:r w:rsidRPr="00FC7561">
        <w:rPr>
          <w:i/>
          <w:iCs/>
          <w:color w:val="222222"/>
        </w:rPr>
        <w:t>41</w:t>
      </w:r>
      <w:r w:rsidRPr="00FC7561">
        <w:rPr>
          <w:color w:val="222222"/>
          <w:shd w:val="clear" w:color="auto" w:fill="FFFFFF"/>
        </w:rPr>
        <w:t>(4), pp.443-458.</w:t>
      </w:r>
    </w:p>
    <w:p w14:paraId="275D4725" w14:textId="6531860A" w:rsidR="000A18F0" w:rsidRPr="00FC7561" w:rsidRDefault="007176CE" w:rsidP="000A18F0">
      <w:pPr>
        <w:pStyle w:val="NormalWeb"/>
      </w:pPr>
      <w:r w:rsidRPr="00FC7561">
        <w:t>Hayes, D., 2010. The seductive charms of a cross-curricular approach. Education 3–13, 38(4), pp.381-387.</w:t>
      </w:r>
    </w:p>
    <w:p w14:paraId="37F011F6" w14:textId="3B59A1C0" w:rsidR="00A01DC8" w:rsidRPr="00FC7561" w:rsidRDefault="00A01DC8" w:rsidP="00A01DC8">
      <w:pPr>
        <w:rPr>
          <w:color w:val="222222"/>
          <w:shd w:val="clear" w:color="auto" w:fill="FFFFFF"/>
          <w:lang w:val="en-GB"/>
        </w:rPr>
      </w:pPr>
      <w:r w:rsidRPr="00FC7561">
        <w:rPr>
          <w:color w:val="222222"/>
          <w:shd w:val="clear" w:color="auto" w:fill="FFFFFF"/>
          <w:lang w:val="en-GB"/>
        </w:rPr>
        <w:t>Jones, R. and Wyse, D. eds., 2013. </w:t>
      </w:r>
      <w:r w:rsidRPr="00FC7561">
        <w:rPr>
          <w:i/>
          <w:iCs/>
          <w:color w:val="222222"/>
          <w:lang w:val="en-GB"/>
        </w:rPr>
        <w:t>Creativity in the primary curriculum</w:t>
      </w:r>
      <w:r w:rsidRPr="00FC7561">
        <w:rPr>
          <w:color w:val="222222"/>
          <w:shd w:val="clear" w:color="auto" w:fill="FFFFFF"/>
          <w:lang w:val="en-GB"/>
        </w:rPr>
        <w:t>. Routledge.</w:t>
      </w:r>
    </w:p>
    <w:p w14:paraId="789F1192" w14:textId="77777777" w:rsidR="00A01DC8" w:rsidRPr="00FC7561" w:rsidRDefault="00A01DC8" w:rsidP="00A01DC8">
      <w:pPr>
        <w:rPr>
          <w:lang w:val="en-GB"/>
        </w:rPr>
      </w:pPr>
    </w:p>
    <w:p w14:paraId="564DB9E0" w14:textId="7988DBD8" w:rsidR="0042558F" w:rsidRPr="00FC7561" w:rsidRDefault="0042558F" w:rsidP="0042558F">
      <w:pPr>
        <w:rPr>
          <w:color w:val="222222"/>
          <w:shd w:val="clear" w:color="auto" w:fill="FFFFFF"/>
        </w:rPr>
      </w:pPr>
      <w:r w:rsidRPr="00FC7561">
        <w:rPr>
          <w:color w:val="222222"/>
          <w:shd w:val="clear" w:color="auto" w:fill="FFFFFF"/>
        </w:rPr>
        <w:t>Kneen, J., Breeze, T., Davies‐Barnes, S., John, V. and Thayer, E., 2020. Integreiddio’r cwricwlwm: yr heriau sy’n wynebu ysgolion cynradd ac uwchradd wrth ddatblygu cwricwlwm newydd yn y celfyddydau mynegiannol. </w:t>
      </w:r>
      <w:r w:rsidRPr="00FC7561">
        <w:rPr>
          <w:i/>
          <w:iCs/>
          <w:color w:val="222222"/>
        </w:rPr>
        <w:t>The Curriculum Journal</w:t>
      </w:r>
      <w:r w:rsidRPr="00FC7561">
        <w:rPr>
          <w:color w:val="222222"/>
          <w:shd w:val="clear" w:color="auto" w:fill="FFFFFF"/>
        </w:rPr>
        <w:t>, </w:t>
      </w:r>
      <w:r w:rsidRPr="00FC7561">
        <w:rPr>
          <w:i/>
          <w:iCs/>
          <w:color w:val="222222"/>
        </w:rPr>
        <w:t>31</w:t>
      </w:r>
      <w:r w:rsidRPr="00FC7561">
        <w:rPr>
          <w:color w:val="222222"/>
          <w:shd w:val="clear" w:color="auto" w:fill="FFFFFF"/>
        </w:rPr>
        <w:t>(2), pp.e85-e103.</w:t>
      </w:r>
    </w:p>
    <w:p w14:paraId="1266DD6A" w14:textId="77777777" w:rsidR="0042558F" w:rsidRPr="00FC7561" w:rsidRDefault="0042558F" w:rsidP="0042558F"/>
    <w:p w14:paraId="1107D9DC" w14:textId="49EA76B3" w:rsidR="0042558F" w:rsidRPr="00FC7561" w:rsidRDefault="00D45F74" w:rsidP="00D45F74">
      <w:pPr>
        <w:rPr>
          <w:color w:val="222222"/>
          <w:shd w:val="clear" w:color="auto" w:fill="FFFFFF"/>
          <w:lang w:val="en-GB"/>
        </w:rPr>
      </w:pPr>
      <w:r w:rsidRPr="00FC7561">
        <w:rPr>
          <w:color w:val="222222"/>
          <w:shd w:val="clear" w:color="auto" w:fill="FFFFFF"/>
          <w:lang w:val="en-GB"/>
        </w:rPr>
        <w:t>Kraus, N., 2016. Music, hearing, and education: from the lab to the classroom. </w:t>
      </w:r>
      <w:r w:rsidRPr="00FC7561">
        <w:rPr>
          <w:i/>
          <w:iCs/>
          <w:color w:val="222222"/>
          <w:lang w:val="en-GB"/>
        </w:rPr>
        <w:t>ENT and Audiology News</w:t>
      </w:r>
      <w:r w:rsidRPr="00FC7561">
        <w:rPr>
          <w:color w:val="222222"/>
          <w:shd w:val="clear" w:color="auto" w:fill="FFFFFF"/>
          <w:lang w:val="en-GB"/>
        </w:rPr>
        <w:t>, </w:t>
      </w:r>
      <w:r w:rsidRPr="00FC7561">
        <w:rPr>
          <w:i/>
          <w:iCs/>
          <w:color w:val="222222"/>
          <w:lang w:val="en-GB"/>
        </w:rPr>
        <w:t>25</w:t>
      </w:r>
      <w:r w:rsidRPr="00FC7561">
        <w:rPr>
          <w:color w:val="222222"/>
          <w:shd w:val="clear" w:color="auto" w:fill="FFFFFF"/>
          <w:lang w:val="en-GB"/>
        </w:rPr>
        <w:t>(4), pp.94-96.</w:t>
      </w:r>
    </w:p>
    <w:p w14:paraId="14F5FC0F" w14:textId="719CD79A" w:rsidR="00A91F3E" w:rsidRPr="00FC7561" w:rsidRDefault="00A91F3E" w:rsidP="00A91F3E">
      <w:pPr>
        <w:spacing w:before="100" w:beforeAutospacing="1" w:after="100" w:afterAutospacing="1"/>
        <w:rPr>
          <w:lang w:val="en-GB"/>
        </w:rPr>
      </w:pPr>
      <w:r w:rsidRPr="00FC7561">
        <w:rPr>
          <w:lang w:val="en-GB"/>
        </w:rPr>
        <w:t xml:space="preserve">Llywodraeth Cymru. (2019) </w:t>
      </w:r>
      <w:r w:rsidRPr="00FC7561">
        <w:rPr>
          <w:i/>
          <w:iCs/>
          <w:lang w:val="en-GB"/>
        </w:rPr>
        <w:t>Paratoi ar gyfer y cwricwlwm newydd</w:t>
      </w:r>
      <w:r w:rsidRPr="00FC7561">
        <w:rPr>
          <w:lang w:val="en-GB"/>
        </w:rPr>
        <w:t>. Ar gael ar-lein yn: https://llyw. cymru/paratoi-ar-gyfer-y-cwricwlwm-</w:t>
      </w:r>
      <w:r w:rsidR="00045B6C" w:rsidRPr="00FC7561">
        <w:t>newydd?_</w:t>
      </w:r>
      <w:r w:rsidRPr="00FC7561">
        <w:rPr>
          <w:lang w:val="en-GB"/>
        </w:rPr>
        <w:t>ga=2.239044676.53663787.1582283800-1900716428.1581090223</w:t>
      </w:r>
    </w:p>
    <w:p w14:paraId="013B2513" w14:textId="59FB44A1" w:rsidR="00D635CC" w:rsidRPr="00FC7561" w:rsidRDefault="00D635CC" w:rsidP="00D635CC">
      <w:pPr>
        <w:rPr>
          <w:color w:val="222222"/>
          <w:shd w:val="clear" w:color="auto" w:fill="FFFFFF"/>
        </w:rPr>
      </w:pPr>
      <w:r w:rsidRPr="00FC7561">
        <w:rPr>
          <w:color w:val="222222"/>
          <w:shd w:val="clear" w:color="auto" w:fill="FFFFFF"/>
        </w:rPr>
        <w:t>Manouchehri, E., 2017. Music as a cross-curricular teaching device in elementary school. </w:t>
      </w:r>
      <w:r w:rsidRPr="00FC7561">
        <w:rPr>
          <w:i/>
          <w:iCs/>
          <w:color w:val="222222"/>
        </w:rPr>
        <w:t>The Canadian Music Educator</w:t>
      </w:r>
      <w:r w:rsidRPr="00FC7561">
        <w:rPr>
          <w:color w:val="222222"/>
          <w:shd w:val="clear" w:color="auto" w:fill="FFFFFF"/>
        </w:rPr>
        <w:t>, </w:t>
      </w:r>
      <w:r w:rsidRPr="00FC7561">
        <w:rPr>
          <w:i/>
          <w:iCs/>
          <w:color w:val="222222"/>
        </w:rPr>
        <w:t>58</w:t>
      </w:r>
      <w:r w:rsidRPr="00FC7561">
        <w:rPr>
          <w:color w:val="222222"/>
          <w:shd w:val="clear" w:color="auto" w:fill="FFFFFF"/>
        </w:rPr>
        <w:t>(2), p.25</w:t>
      </w:r>
    </w:p>
    <w:p w14:paraId="1784C495" w14:textId="79E14309" w:rsidR="009843F4" w:rsidRPr="00FC7561" w:rsidRDefault="009843F4" w:rsidP="00D635CC">
      <w:pPr>
        <w:rPr>
          <w:color w:val="222222"/>
          <w:shd w:val="clear" w:color="auto" w:fill="FFFFFF"/>
        </w:rPr>
      </w:pPr>
    </w:p>
    <w:p w14:paraId="15199EF4" w14:textId="77777777" w:rsidR="00045B6C" w:rsidRPr="00FC7561" w:rsidRDefault="00045B6C" w:rsidP="00045B6C">
      <w:pPr>
        <w:rPr>
          <w:lang w:val="en-GB"/>
        </w:rPr>
      </w:pPr>
      <w:r w:rsidRPr="00FC7561">
        <w:rPr>
          <w:color w:val="222222"/>
          <w:shd w:val="clear" w:color="auto" w:fill="FFFFFF"/>
        </w:rPr>
        <w:t>Parsons, J. and Taylor, L., 2011. Improving student engagement.</w:t>
      </w:r>
      <w:r w:rsidRPr="00FC7561">
        <w:rPr>
          <w:rStyle w:val="apple-converted-space"/>
          <w:color w:val="222222"/>
          <w:shd w:val="clear" w:color="auto" w:fill="FFFFFF"/>
        </w:rPr>
        <w:t> </w:t>
      </w:r>
      <w:r w:rsidRPr="00FC7561">
        <w:rPr>
          <w:i/>
          <w:iCs/>
          <w:color w:val="222222"/>
        </w:rPr>
        <w:t>Current issues in education</w:t>
      </w:r>
      <w:r w:rsidRPr="00FC7561">
        <w:rPr>
          <w:color w:val="222222"/>
          <w:shd w:val="clear" w:color="auto" w:fill="FFFFFF"/>
        </w:rPr>
        <w:t>,</w:t>
      </w:r>
      <w:r w:rsidRPr="00FC7561">
        <w:rPr>
          <w:rStyle w:val="apple-converted-space"/>
          <w:color w:val="222222"/>
          <w:shd w:val="clear" w:color="auto" w:fill="FFFFFF"/>
        </w:rPr>
        <w:t> </w:t>
      </w:r>
      <w:r w:rsidRPr="00FC7561">
        <w:rPr>
          <w:i/>
          <w:iCs/>
          <w:color w:val="222222"/>
        </w:rPr>
        <w:t>14</w:t>
      </w:r>
      <w:r w:rsidRPr="00FC7561">
        <w:rPr>
          <w:color w:val="222222"/>
          <w:shd w:val="clear" w:color="auto" w:fill="FFFFFF"/>
        </w:rPr>
        <w:t>(1).</w:t>
      </w:r>
    </w:p>
    <w:p w14:paraId="51D5B8A3" w14:textId="77777777" w:rsidR="00045B6C" w:rsidRPr="00FC7561" w:rsidRDefault="00045B6C" w:rsidP="00D635CC">
      <w:pPr>
        <w:rPr>
          <w:color w:val="222222"/>
          <w:shd w:val="clear" w:color="auto" w:fill="FFFFFF"/>
        </w:rPr>
      </w:pPr>
    </w:p>
    <w:p w14:paraId="3EB937DE" w14:textId="77777777" w:rsidR="0067098D" w:rsidRPr="00FC7561" w:rsidRDefault="0067098D" w:rsidP="0067098D">
      <w:r w:rsidRPr="00FC7561">
        <w:rPr>
          <w:color w:val="222222"/>
          <w:shd w:val="clear" w:color="auto" w:fill="FFFFFF"/>
        </w:rPr>
        <w:t>Power, S., Taylor, C. and Newton, N., 2020. ‘Dyfodol llwyddiannus’i bawb yng Nghymru? Yr heriau wrth ddiwygio cwricwla i ymdrin ag anghydraddoldeb addysgol. </w:t>
      </w:r>
      <w:r w:rsidRPr="00FC7561">
        <w:rPr>
          <w:i/>
          <w:iCs/>
          <w:color w:val="222222"/>
        </w:rPr>
        <w:t>The Curriculum Journal</w:t>
      </w:r>
      <w:r w:rsidRPr="00FC7561">
        <w:rPr>
          <w:color w:val="222222"/>
          <w:shd w:val="clear" w:color="auto" w:fill="FFFFFF"/>
        </w:rPr>
        <w:t>, </w:t>
      </w:r>
      <w:r w:rsidRPr="00FC7561">
        <w:rPr>
          <w:i/>
          <w:iCs/>
          <w:color w:val="222222"/>
        </w:rPr>
        <w:t>31</w:t>
      </w:r>
      <w:r w:rsidRPr="00FC7561">
        <w:rPr>
          <w:color w:val="222222"/>
          <w:shd w:val="clear" w:color="auto" w:fill="FFFFFF"/>
        </w:rPr>
        <w:t>(2), pp.e148-e165.</w:t>
      </w:r>
    </w:p>
    <w:p w14:paraId="2FE35178" w14:textId="77777777" w:rsidR="0067098D" w:rsidRPr="00FC7561" w:rsidRDefault="0067098D" w:rsidP="00D635CC">
      <w:pPr>
        <w:rPr>
          <w:color w:val="222222"/>
          <w:shd w:val="clear" w:color="auto" w:fill="FFFFFF"/>
        </w:rPr>
      </w:pPr>
    </w:p>
    <w:p w14:paraId="66124A5A" w14:textId="79C463F8" w:rsidR="009843F4" w:rsidRPr="00FC7561" w:rsidRDefault="009843F4" w:rsidP="00D635CC">
      <w:pPr>
        <w:rPr>
          <w:lang w:val="en-GB"/>
        </w:rPr>
      </w:pPr>
      <w:r w:rsidRPr="00FC7561">
        <w:rPr>
          <w:color w:val="000000"/>
          <w:shd w:val="clear" w:color="auto" w:fill="FFFFFF"/>
          <w:lang w:val="en-GB"/>
        </w:rPr>
        <w:t>Statswales.gov.wales. 2021. </w:t>
      </w:r>
      <w:r w:rsidRPr="00FC7561">
        <w:rPr>
          <w:i/>
          <w:iCs/>
          <w:color w:val="000000"/>
          <w:lang w:val="en-GB"/>
        </w:rPr>
        <w:t xml:space="preserve">Speaking Welsh at home, as assessed by parents, of pupils aged 5 and over in primary, </w:t>
      </w:r>
      <w:r w:rsidR="00045B6C" w:rsidRPr="00FC7561">
        <w:rPr>
          <w:i/>
          <w:iCs/>
          <w:color w:val="000000"/>
        </w:rPr>
        <w:t>middle,</w:t>
      </w:r>
      <w:r w:rsidRPr="00FC7561">
        <w:rPr>
          <w:i/>
          <w:iCs/>
          <w:color w:val="000000"/>
          <w:lang w:val="en-GB"/>
        </w:rPr>
        <w:t xml:space="preserve"> and secondary schools by year, </w:t>
      </w:r>
      <w:r w:rsidR="00045B6C" w:rsidRPr="00FC7561">
        <w:rPr>
          <w:i/>
          <w:iCs/>
          <w:color w:val="000000"/>
        </w:rPr>
        <w:t>sector,</w:t>
      </w:r>
      <w:r w:rsidRPr="00FC7561">
        <w:rPr>
          <w:i/>
          <w:iCs/>
          <w:color w:val="000000"/>
          <w:lang w:val="en-GB"/>
        </w:rPr>
        <w:t xml:space="preserve"> and category</w:t>
      </w:r>
      <w:r w:rsidRPr="00FC7561">
        <w:rPr>
          <w:color w:val="000000"/>
          <w:shd w:val="clear" w:color="auto" w:fill="FFFFFF"/>
          <w:lang w:val="en-GB"/>
        </w:rPr>
        <w:t>. [online] Available at: &lt;https://statswales.gov.wales/Catalogue/Education-and-Skills/Schools-and-Teachers/Schools-Census/Pupil-Level-Annual-School-Census/Welsh-Language/speakingwelshhomepupils5andover-by-year-sector-category&gt; [Accessed 3 January 2022].</w:t>
      </w:r>
    </w:p>
    <w:p w14:paraId="04566761" w14:textId="2A6AB054" w:rsidR="000A18F0" w:rsidRPr="00FC7561" w:rsidRDefault="007176CE" w:rsidP="000A18F0">
      <w:pPr>
        <w:pStyle w:val="NormalWeb"/>
      </w:pPr>
      <w:r w:rsidRPr="00FC7561">
        <w:lastRenderedPageBreak/>
        <w:t xml:space="preserve">Rose, J. 2009. Independent review of the primary curriculum: Final report. London: DCSF </w:t>
      </w:r>
      <w:r w:rsidR="000A18F0" w:rsidRPr="00FC7561">
        <w:t>Publications.</w:t>
      </w:r>
    </w:p>
    <w:p w14:paraId="4194CF4B" w14:textId="59FD6754" w:rsidR="000F6D52" w:rsidRPr="00FC7561" w:rsidRDefault="000F6D52" w:rsidP="000F6D52">
      <w:pPr>
        <w:rPr>
          <w:lang w:val="en-GB"/>
        </w:rPr>
      </w:pPr>
      <w:r w:rsidRPr="00FC7561">
        <w:rPr>
          <w:color w:val="222222"/>
          <w:shd w:val="clear" w:color="auto" w:fill="FFFFFF"/>
          <w:lang w:val="en-GB"/>
        </w:rPr>
        <w:t>Vakeva, L., 2009. The World Well Lost, Found: Reality and Authenticity in Green's" New Classroom Pedagogy". </w:t>
      </w:r>
      <w:r w:rsidRPr="00FC7561">
        <w:rPr>
          <w:i/>
          <w:iCs/>
          <w:color w:val="222222"/>
          <w:lang w:val="en-GB"/>
        </w:rPr>
        <w:t>Action, Criticism, and Theory for Music Education</w:t>
      </w:r>
      <w:r w:rsidRPr="00FC7561">
        <w:rPr>
          <w:color w:val="222222"/>
          <w:shd w:val="clear" w:color="auto" w:fill="FFFFFF"/>
          <w:lang w:val="en-GB"/>
        </w:rPr>
        <w:t>, </w:t>
      </w:r>
      <w:r w:rsidRPr="00FC7561">
        <w:rPr>
          <w:i/>
          <w:iCs/>
          <w:color w:val="222222"/>
          <w:lang w:val="en-GB"/>
        </w:rPr>
        <w:t>8</w:t>
      </w:r>
      <w:r w:rsidRPr="00FC7561">
        <w:rPr>
          <w:color w:val="222222"/>
          <w:shd w:val="clear" w:color="auto" w:fill="FFFFFF"/>
          <w:lang w:val="en-GB"/>
        </w:rPr>
        <w:t>(2), pp.7-34.</w:t>
      </w:r>
    </w:p>
    <w:p w14:paraId="62048658" w14:textId="5ACCCD24" w:rsidR="000A18F0" w:rsidRPr="00FC7561" w:rsidRDefault="000A18F0" w:rsidP="000A18F0">
      <w:pPr>
        <w:pStyle w:val="NormalWeb"/>
      </w:pPr>
      <w:r w:rsidRPr="00FC7561">
        <w:t>Whitty, G., Rowe, G. and Aggleton, P., 1994. Discourse in cross‐curricular contexts: limits to empowerment. International Studies in Sociology of Education, 4(1), pp.25-42.</w:t>
      </w:r>
    </w:p>
    <w:p w14:paraId="180B6671" w14:textId="77777777" w:rsidR="001A4921" w:rsidRPr="00FC7561" w:rsidRDefault="001A4921" w:rsidP="001A4921">
      <w:pPr>
        <w:rPr>
          <w:lang w:val="en-GB"/>
        </w:rPr>
      </w:pPr>
      <w:r w:rsidRPr="00FC7561">
        <w:rPr>
          <w:color w:val="222222"/>
          <w:shd w:val="clear" w:color="auto" w:fill="FFFFFF"/>
        </w:rPr>
        <w:t>Wood, E., 2015. Cross-curricular teaching to support child-initiated learning in EYFS and Key Stage 1. In</w:t>
      </w:r>
      <w:r w:rsidRPr="00FC7561">
        <w:rPr>
          <w:rStyle w:val="apple-converted-space"/>
          <w:color w:val="222222"/>
          <w:shd w:val="clear" w:color="auto" w:fill="FFFFFF"/>
        </w:rPr>
        <w:t> </w:t>
      </w:r>
      <w:r w:rsidRPr="00FC7561">
        <w:rPr>
          <w:i/>
          <w:iCs/>
          <w:color w:val="222222"/>
        </w:rPr>
        <w:t>Cross-Curricular Teaching in the Primary School</w:t>
      </w:r>
      <w:r w:rsidRPr="00FC7561">
        <w:rPr>
          <w:rStyle w:val="apple-converted-space"/>
          <w:color w:val="222222"/>
          <w:shd w:val="clear" w:color="auto" w:fill="FFFFFF"/>
        </w:rPr>
        <w:t> </w:t>
      </w:r>
      <w:r w:rsidRPr="00FC7561">
        <w:rPr>
          <w:color w:val="222222"/>
          <w:shd w:val="clear" w:color="auto" w:fill="FFFFFF"/>
        </w:rPr>
        <w:t>(pp. 67-81). Routledge.</w:t>
      </w:r>
    </w:p>
    <w:p w14:paraId="4EA5C716" w14:textId="77777777" w:rsidR="00C4144E" w:rsidRPr="00FC7561" w:rsidRDefault="00C4144E" w:rsidP="00C4144E"/>
    <w:sectPr w:rsidR="00C4144E" w:rsidRPr="00FC7561" w:rsidSect="0096525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6BF"/>
    <w:rsid w:val="000218C6"/>
    <w:rsid w:val="00045B6C"/>
    <w:rsid w:val="000767E9"/>
    <w:rsid w:val="000A18F0"/>
    <w:rsid w:val="000A33F2"/>
    <w:rsid w:val="000F6D52"/>
    <w:rsid w:val="00125B29"/>
    <w:rsid w:val="00126945"/>
    <w:rsid w:val="00155DC7"/>
    <w:rsid w:val="001A4921"/>
    <w:rsid w:val="001F11EA"/>
    <w:rsid w:val="00221F45"/>
    <w:rsid w:val="00241412"/>
    <w:rsid w:val="0024690D"/>
    <w:rsid w:val="002B16BF"/>
    <w:rsid w:val="002E7540"/>
    <w:rsid w:val="003031F0"/>
    <w:rsid w:val="00384450"/>
    <w:rsid w:val="003873C9"/>
    <w:rsid w:val="00387EA0"/>
    <w:rsid w:val="003A794B"/>
    <w:rsid w:val="003B127F"/>
    <w:rsid w:val="003C3F0F"/>
    <w:rsid w:val="003C7AF6"/>
    <w:rsid w:val="003C7F2D"/>
    <w:rsid w:val="00400BAB"/>
    <w:rsid w:val="0042558F"/>
    <w:rsid w:val="004574CB"/>
    <w:rsid w:val="00467A40"/>
    <w:rsid w:val="004905A6"/>
    <w:rsid w:val="004958B2"/>
    <w:rsid w:val="004B5CC5"/>
    <w:rsid w:val="004C2EB0"/>
    <w:rsid w:val="005B7133"/>
    <w:rsid w:val="005B744B"/>
    <w:rsid w:val="005F6BB0"/>
    <w:rsid w:val="00651413"/>
    <w:rsid w:val="00656ABD"/>
    <w:rsid w:val="006605E4"/>
    <w:rsid w:val="00664CAA"/>
    <w:rsid w:val="00665906"/>
    <w:rsid w:val="0067098D"/>
    <w:rsid w:val="007176CE"/>
    <w:rsid w:val="007230A3"/>
    <w:rsid w:val="00747E5F"/>
    <w:rsid w:val="00765BCB"/>
    <w:rsid w:val="00825953"/>
    <w:rsid w:val="0086595E"/>
    <w:rsid w:val="00872396"/>
    <w:rsid w:val="00892A91"/>
    <w:rsid w:val="008B2617"/>
    <w:rsid w:val="00917B2C"/>
    <w:rsid w:val="0094480A"/>
    <w:rsid w:val="00965250"/>
    <w:rsid w:val="009843F4"/>
    <w:rsid w:val="009F01B3"/>
    <w:rsid w:val="00A0102C"/>
    <w:rsid w:val="00A01DC8"/>
    <w:rsid w:val="00A40C85"/>
    <w:rsid w:val="00A73164"/>
    <w:rsid w:val="00A91F3E"/>
    <w:rsid w:val="00AA3BC6"/>
    <w:rsid w:val="00AA6C05"/>
    <w:rsid w:val="00AB0712"/>
    <w:rsid w:val="00AB4BFF"/>
    <w:rsid w:val="00AD4320"/>
    <w:rsid w:val="00AF01FE"/>
    <w:rsid w:val="00B2370A"/>
    <w:rsid w:val="00B707C2"/>
    <w:rsid w:val="00BB607C"/>
    <w:rsid w:val="00BB680F"/>
    <w:rsid w:val="00BD311B"/>
    <w:rsid w:val="00C039E6"/>
    <w:rsid w:val="00C4144E"/>
    <w:rsid w:val="00D037EE"/>
    <w:rsid w:val="00D45F74"/>
    <w:rsid w:val="00D635CC"/>
    <w:rsid w:val="00D70FDF"/>
    <w:rsid w:val="00D85270"/>
    <w:rsid w:val="00DA0591"/>
    <w:rsid w:val="00E10E5A"/>
    <w:rsid w:val="00E2578A"/>
    <w:rsid w:val="00E35996"/>
    <w:rsid w:val="00E56A78"/>
    <w:rsid w:val="00E60DBB"/>
    <w:rsid w:val="00E9063A"/>
    <w:rsid w:val="00E95E93"/>
    <w:rsid w:val="00EC43A5"/>
    <w:rsid w:val="00ED14F1"/>
    <w:rsid w:val="00ED2D0C"/>
    <w:rsid w:val="00F32E5E"/>
    <w:rsid w:val="00F331B5"/>
    <w:rsid w:val="00F6241A"/>
    <w:rsid w:val="00F75333"/>
    <w:rsid w:val="00FA3264"/>
    <w:rsid w:val="00FC4F4A"/>
    <w:rsid w:val="00FC7561"/>
    <w:rsid w:val="00FF7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E10587"/>
  <w14:defaultImageDpi w14:val="32767"/>
  <w15:chartTrackingRefBased/>
  <w15:docId w15:val="{CC48F610-3448-2F41-974C-1FA7C98A9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45B6C"/>
    <w:rPr>
      <w:rFonts w:ascii="Times New Roman" w:eastAsia="Times New Roman" w:hAnsi="Times New Roman" w:cs="Times New Roman"/>
      <w:lang w:val="cy-GB" w:eastAsia="en-GB"/>
    </w:rPr>
  </w:style>
  <w:style w:type="paragraph" w:styleId="Heading2">
    <w:name w:val="heading 2"/>
    <w:basedOn w:val="Normal"/>
    <w:link w:val="Heading2Char"/>
    <w:uiPriority w:val="9"/>
    <w:qFormat/>
    <w:rsid w:val="00C4144E"/>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16BF"/>
    <w:pPr>
      <w:spacing w:before="100" w:beforeAutospacing="1" w:after="100" w:afterAutospacing="1"/>
    </w:pPr>
    <w:rPr>
      <w:lang w:val="en-GB"/>
    </w:rPr>
  </w:style>
  <w:style w:type="character" w:customStyle="1" w:styleId="Heading2Char">
    <w:name w:val="Heading 2 Char"/>
    <w:basedOn w:val="DefaultParagraphFont"/>
    <w:link w:val="Heading2"/>
    <w:uiPriority w:val="9"/>
    <w:rsid w:val="00C4144E"/>
    <w:rPr>
      <w:rFonts w:ascii="Times New Roman" w:eastAsia="Times New Roman" w:hAnsi="Times New Roman" w:cs="Times New Roman"/>
      <w:b/>
      <w:bCs/>
      <w:sz w:val="36"/>
      <w:szCs w:val="36"/>
      <w:lang w:eastAsia="en-GB"/>
    </w:rPr>
  </w:style>
  <w:style w:type="character" w:customStyle="1" w:styleId="ztplmc">
    <w:name w:val="ztplmc"/>
    <w:basedOn w:val="DefaultParagraphFont"/>
    <w:rsid w:val="00C4144E"/>
  </w:style>
  <w:style w:type="character" w:customStyle="1" w:styleId="apple-converted-space">
    <w:name w:val="apple-converted-space"/>
    <w:basedOn w:val="DefaultParagraphFont"/>
    <w:rsid w:val="00C4144E"/>
  </w:style>
  <w:style w:type="character" w:customStyle="1" w:styleId="jlqj4b">
    <w:name w:val="jlqj4b"/>
    <w:basedOn w:val="DefaultParagraphFont"/>
    <w:rsid w:val="00C414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69">
      <w:bodyDiv w:val="1"/>
      <w:marLeft w:val="0"/>
      <w:marRight w:val="0"/>
      <w:marTop w:val="0"/>
      <w:marBottom w:val="0"/>
      <w:divBdr>
        <w:top w:val="none" w:sz="0" w:space="0" w:color="auto"/>
        <w:left w:val="none" w:sz="0" w:space="0" w:color="auto"/>
        <w:bottom w:val="none" w:sz="0" w:space="0" w:color="auto"/>
        <w:right w:val="none" w:sz="0" w:space="0" w:color="auto"/>
      </w:divBdr>
    </w:div>
    <w:div w:id="1006781">
      <w:bodyDiv w:val="1"/>
      <w:marLeft w:val="0"/>
      <w:marRight w:val="0"/>
      <w:marTop w:val="0"/>
      <w:marBottom w:val="0"/>
      <w:divBdr>
        <w:top w:val="none" w:sz="0" w:space="0" w:color="auto"/>
        <w:left w:val="none" w:sz="0" w:space="0" w:color="auto"/>
        <w:bottom w:val="none" w:sz="0" w:space="0" w:color="auto"/>
        <w:right w:val="none" w:sz="0" w:space="0" w:color="auto"/>
      </w:divBdr>
      <w:divsChild>
        <w:div w:id="903218486">
          <w:marLeft w:val="0"/>
          <w:marRight w:val="0"/>
          <w:marTop w:val="0"/>
          <w:marBottom w:val="0"/>
          <w:divBdr>
            <w:top w:val="none" w:sz="0" w:space="0" w:color="auto"/>
            <w:left w:val="none" w:sz="0" w:space="0" w:color="auto"/>
            <w:bottom w:val="none" w:sz="0" w:space="0" w:color="auto"/>
            <w:right w:val="none" w:sz="0" w:space="0" w:color="auto"/>
          </w:divBdr>
          <w:divsChild>
            <w:div w:id="534578831">
              <w:marLeft w:val="0"/>
              <w:marRight w:val="0"/>
              <w:marTop w:val="0"/>
              <w:marBottom w:val="0"/>
              <w:divBdr>
                <w:top w:val="none" w:sz="0" w:space="0" w:color="auto"/>
                <w:left w:val="none" w:sz="0" w:space="0" w:color="auto"/>
                <w:bottom w:val="none" w:sz="0" w:space="0" w:color="auto"/>
                <w:right w:val="none" w:sz="0" w:space="0" w:color="auto"/>
              </w:divBdr>
              <w:divsChild>
                <w:div w:id="16528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4626">
      <w:bodyDiv w:val="1"/>
      <w:marLeft w:val="0"/>
      <w:marRight w:val="0"/>
      <w:marTop w:val="0"/>
      <w:marBottom w:val="0"/>
      <w:divBdr>
        <w:top w:val="none" w:sz="0" w:space="0" w:color="auto"/>
        <w:left w:val="none" w:sz="0" w:space="0" w:color="auto"/>
        <w:bottom w:val="none" w:sz="0" w:space="0" w:color="auto"/>
        <w:right w:val="none" w:sz="0" w:space="0" w:color="auto"/>
      </w:divBdr>
    </w:div>
    <w:div w:id="108625493">
      <w:bodyDiv w:val="1"/>
      <w:marLeft w:val="0"/>
      <w:marRight w:val="0"/>
      <w:marTop w:val="0"/>
      <w:marBottom w:val="0"/>
      <w:divBdr>
        <w:top w:val="none" w:sz="0" w:space="0" w:color="auto"/>
        <w:left w:val="none" w:sz="0" w:space="0" w:color="auto"/>
        <w:bottom w:val="none" w:sz="0" w:space="0" w:color="auto"/>
        <w:right w:val="none" w:sz="0" w:space="0" w:color="auto"/>
      </w:divBdr>
      <w:divsChild>
        <w:div w:id="128910630">
          <w:marLeft w:val="0"/>
          <w:marRight w:val="0"/>
          <w:marTop w:val="0"/>
          <w:marBottom w:val="0"/>
          <w:divBdr>
            <w:top w:val="none" w:sz="0" w:space="0" w:color="auto"/>
            <w:left w:val="none" w:sz="0" w:space="0" w:color="auto"/>
            <w:bottom w:val="none" w:sz="0" w:space="0" w:color="auto"/>
            <w:right w:val="none" w:sz="0" w:space="0" w:color="auto"/>
          </w:divBdr>
        </w:div>
      </w:divsChild>
    </w:div>
    <w:div w:id="133639279">
      <w:bodyDiv w:val="1"/>
      <w:marLeft w:val="0"/>
      <w:marRight w:val="0"/>
      <w:marTop w:val="0"/>
      <w:marBottom w:val="0"/>
      <w:divBdr>
        <w:top w:val="none" w:sz="0" w:space="0" w:color="auto"/>
        <w:left w:val="none" w:sz="0" w:space="0" w:color="auto"/>
        <w:bottom w:val="none" w:sz="0" w:space="0" w:color="auto"/>
        <w:right w:val="none" w:sz="0" w:space="0" w:color="auto"/>
      </w:divBdr>
    </w:div>
    <w:div w:id="286356353">
      <w:bodyDiv w:val="1"/>
      <w:marLeft w:val="0"/>
      <w:marRight w:val="0"/>
      <w:marTop w:val="0"/>
      <w:marBottom w:val="0"/>
      <w:divBdr>
        <w:top w:val="none" w:sz="0" w:space="0" w:color="auto"/>
        <w:left w:val="none" w:sz="0" w:space="0" w:color="auto"/>
        <w:bottom w:val="none" w:sz="0" w:space="0" w:color="auto"/>
        <w:right w:val="none" w:sz="0" w:space="0" w:color="auto"/>
      </w:divBdr>
      <w:divsChild>
        <w:div w:id="845100386">
          <w:marLeft w:val="0"/>
          <w:marRight w:val="0"/>
          <w:marTop w:val="0"/>
          <w:marBottom w:val="0"/>
          <w:divBdr>
            <w:top w:val="none" w:sz="0" w:space="0" w:color="auto"/>
            <w:left w:val="none" w:sz="0" w:space="0" w:color="auto"/>
            <w:bottom w:val="none" w:sz="0" w:space="0" w:color="auto"/>
            <w:right w:val="none" w:sz="0" w:space="0" w:color="auto"/>
          </w:divBdr>
          <w:divsChild>
            <w:div w:id="1243292539">
              <w:marLeft w:val="0"/>
              <w:marRight w:val="0"/>
              <w:marTop w:val="0"/>
              <w:marBottom w:val="0"/>
              <w:divBdr>
                <w:top w:val="none" w:sz="0" w:space="0" w:color="auto"/>
                <w:left w:val="none" w:sz="0" w:space="0" w:color="auto"/>
                <w:bottom w:val="none" w:sz="0" w:space="0" w:color="auto"/>
                <w:right w:val="none" w:sz="0" w:space="0" w:color="auto"/>
              </w:divBdr>
              <w:divsChild>
                <w:div w:id="26164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078836">
      <w:bodyDiv w:val="1"/>
      <w:marLeft w:val="0"/>
      <w:marRight w:val="0"/>
      <w:marTop w:val="0"/>
      <w:marBottom w:val="0"/>
      <w:divBdr>
        <w:top w:val="none" w:sz="0" w:space="0" w:color="auto"/>
        <w:left w:val="none" w:sz="0" w:space="0" w:color="auto"/>
        <w:bottom w:val="none" w:sz="0" w:space="0" w:color="auto"/>
        <w:right w:val="none" w:sz="0" w:space="0" w:color="auto"/>
      </w:divBdr>
      <w:divsChild>
        <w:div w:id="1157845522">
          <w:marLeft w:val="0"/>
          <w:marRight w:val="0"/>
          <w:marTop w:val="0"/>
          <w:marBottom w:val="0"/>
          <w:divBdr>
            <w:top w:val="none" w:sz="0" w:space="0" w:color="auto"/>
            <w:left w:val="none" w:sz="0" w:space="0" w:color="auto"/>
            <w:bottom w:val="none" w:sz="0" w:space="0" w:color="auto"/>
            <w:right w:val="none" w:sz="0" w:space="0" w:color="auto"/>
          </w:divBdr>
          <w:divsChild>
            <w:div w:id="442767697">
              <w:marLeft w:val="0"/>
              <w:marRight w:val="0"/>
              <w:marTop w:val="0"/>
              <w:marBottom w:val="0"/>
              <w:divBdr>
                <w:top w:val="none" w:sz="0" w:space="0" w:color="auto"/>
                <w:left w:val="none" w:sz="0" w:space="0" w:color="auto"/>
                <w:bottom w:val="none" w:sz="0" w:space="0" w:color="auto"/>
                <w:right w:val="none" w:sz="0" w:space="0" w:color="auto"/>
              </w:divBdr>
              <w:divsChild>
                <w:div w:id="210949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851746">
      <w:bodyDiv w:val="1"/>
      <w:marLeft w:val="0"/>
      <w:marRight w:val="0"/>
      <w:marTop w:val="0"/>
      <w:marBottom w:val="0"/>
      <w:divBdr>
        <w:top w:val="none" w:sz="0" w:space="0" w:color="auto"/>
        <w:left w:val="none" w:sz="0" w:space="0" w:color="auto"/>
        <w:bottom w:val="none" w:sz="0" w:space="0" w:color="auto"/>
        <w:right w:val="none" w:sz="0" w:space="0" w:color="auto"/>
      </w:divBdr>
    </w:div>
    <w:div w:id="376707830">
      <w:bodyDiv w:val="1"/>
      <w:marLeft w:val="0"/>
      <w:marRight w:val="0"/>
      <w:marTop w:val="0"/>
      <w:marBottom w:val="0"/>
      <w:divBdr>
        <w:top w:val="none" w:sz="0" w:space="0" w:color="auto"/>
        <w:left w:val="none" w:sz="0" w:space="0" w:color="auto"/>
        <w:bottom w:val="none" w:sz="0" w:space="0" w:color="auto"/>
        <w:right w:val="none" w:sz="0" w:space="0" w:color="auto"/>
      </w:divBdr>
    </w:div>
    <w:div w:id="504125988">
      <w:bodyDiv w:val="1"/>
      <w:marLeft w:val="0"/>
      <w:marRight w:val="0"/>
      <w:marTop w:val="0"/>
      <w:marBottom w:val="0"/>
      <w:divBdr>
        <w:top w:val="none" w:sz="0" w:space="0" w:color="auto"/>
        <w:left w:val="none" w:sz="0" w:space="0" w:color="auto"/>
        <w:bottom w:val="none" w:sz="0" w:space="0" w:color="auto"/>
        <w:right w:val="none" w:sz="0" w:space="0" w:color="auto"/>
      </w:divBdr>
      <w:divsChild>
        <w:div w:id="1202546803">
          <w:marLeft w:val="0"/>
          <w:marRight w:val="0"/>
          <w:marTop w:val="0"/>
          <w:marBottom w:val="0"/>
          <w:divBdr>
            <w:top w:val="none" w:sz="0" w:space="0" w:color="auto"/>
            <w:left w:val="none" w:sz="0" w:space="0" w:color="auto"/>
            <w:bottom w:val="none" w:sz="0" w:space="0" w:color="auto"/>
            <w:right w:val="none" w:sz="0" w:space="0" w:color="auto"/>
          </w:divBdr>
          <w:divsChild>
            <w:div w:id="190807000">
              <w:marLeft w:val="0"/>
              <w:marRight w:val="0"/>
              <w:marTop w:val="0"/>
              <w:marBottom w:val="0"/>
              <w:divBdr>
                <w:top w:val="none" w:sz="0" w:space="0" w:color="auto"/>
                <w:left w:val="none" w:sz="0" w:space="0" w:color="auto"/>
                <w:bottom w:val="none" w:sz="0" w:space="0" w:color="auto"/>
                <w:right w:val="none" w:sz="0" w:space="0" w:color="auto"/>
              </w:divBdr>
              <w:divsChild>
                <w:div w:id="51931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004062">
      <w:bodyDiv w:val="1"/>
      <w:marLeft w:val="0"/>
      <w:marRight w:val="0"/>
      <w:marTop w:val="0"/>
      <w:marBottom w:val="0"/>
      <w:divBdr>
        <w:top w:val="none" w:sz="0" w:space="0" w:color="auto"/>
        <w:left w:val="none" w:sz="0" w:space="0" w:color="auto"/>
        <w:bottom w:val="none" w:sz="0" w:space="0" w:color="auto"/>
        <w:right w:val="none" w:sz="0" w:space="0" w:color="auto"/>
      </w:divBdr>
      <w:divsChild>
        <w:div w:id="1632978726">
          <w:marLeft w:val="0"/>
          <w:marRight w:val="0"/>
          <w:marTop w:val="0"/>
          <w:marBottom w:val="0"/>
          <w:divBdr>
            <w:top w:val="none" w:sz="0" w:space="0" w:color="auto"/>
            <w:left w:val="none" w:sz="0" w:space="0" w:color="auto"/>
            <w:bottom w:val="none" w:sz="0" w:space="0" w:color="auto"/>
            <w:right w:val="none" w:sz="0" w:space="0" w:color="auto"/>
          </w:divBdr>
          <w:divsChild>
            <w:div w:id="507252082">
              <w:marLeft w:val="0"/>
              <w:marRight w:val="0"/>
              <w:marTop w:val="0"/>
              <w:marBottom w:val="0"/>
              <w:divBdr>
                <w:top w:val="none" w:sz="0" w:space="0" w:color="auto"/>
                <w:left w:val="none" w:sz="0" w:space="0" w:color="auto"/>
                <w:bottom w:val="none" w:sz="0" w:space="0" w:color="auto"/>
                <w:right w:val="none" w:sz="0" w:space="0" w:color="auto"/>
              </w:divBdr>
              <w:divsChild>
                <w:div w:id="30809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667325">
      <w:bodyDiv w:val="1"/>
      <w:marLeft w:val="0"/>
      <w:marRight w:val="0"/>
      <w:marTop w:val="0"/>
      <w:marBottom w:val="0"/>
      <w:divBdr>
        <w:top w:val="none" w:sz="0" w:space="0" w:color="auto"/>
        <w:left w:val="none" w:sz="0" w:space="0" w:color="auto"/>
        <w:bottom w:val="none" w:sz="0" w:space="0" w:color="auto"/>
        <w:right w:val="none" w:sz="0" w:space="0" w:color="auto"/>
      </w:divBdr>
      <w:divsChild>
        <w:div w:id="608513228">
          <w:marLeft w:val="0"/>
          <w:marRight w:val="0"/>
          <w:marTop w:val="0"/>
          <w:marBottom w:val="0"/>
          <w:divBdr>
            <w:top w:val="none" w:sz="0" w:space="0" w:color="auto"/>
            <w:left w:val="none" w:sz="0" w:space="0" w:color="auto"/>
            <w:bottom w:val="none" w:sz="0" w:space="0" w:color="auto"/>
            <w:right w:val="none" w:sz="0" w:space="0" w:color="auto"/>
          </w:divBdr>
          <w:divsChild>
            <w:div w:id="1056122500">
              <w:marLeft w:val="0"/>
              <w:marRight w:val="0"/>
              <w:marTop w:val="0"/>
              <w:marBottom w:val="0"/>
              <w:divBdr>
                <w:top w:val="none" w:sz="0" w:space="0" w:color="auto"/>
                <w:left w:val="none" w:sz="0" w:space="0" w:color="auto"/>
                <w:bottom w:val="none" w:sz="0" w:space="0" w:color="auto"/>
                <w:right w:val="none" w:sz="0" w:space="0" w:color="auto"/>
              </w:divBdr>
              <w:divsChild>
                <w:div w:id="37273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300167">
      <w:bodyDiv w:val="1"/>
      <w:marLeft w:val="0"/>
      <w:marRight w:val="0"/>
      <w:marTop w:val="0"/>
      <w:marBottom w:val="0"/>
      <w:divBdr>
        <w:top w:val="none" w:sz="0" w:space="0" w:color="auto"/>
        <w:left w:val="none" w:sz="0" w:space="0" w:color="auto"/>
        <w:bottom w:val="none" w:sz="0" w:space="0" w:color="auto"/>
        <w:right w:val="none" w:sz="0" w:space="0" w:color="auto"/>
      </w:divBdr>
      <w:divsChild>
        <w:div w:id="2057535441">
          <w:marLeft w:val="0"/>
          <w:marRight w:val="0"/>
          <w:marTop w:val="0"/>
          <w:marBottom w:val="0"/>
          <w:divBdr>
            <w:top w:val="none" w:sz="0" w:space="0" w:color="auto"/>
            <w:left w:val="none" w:sz="0" w:space="0" w:color="auto"/>
            <w:bottom w:val="none" w:sz="0" w:space="0" w:color="auto"/>
            <w:right w:val="none" w:sz="0" w:space="0" w:color="auto"/>
          </w:divBdr>
          <w:divsChild>
            <w:div w:id="185028233">
              <w:marLeft w:val="0"/>
              <w:marRight w:val="0"/>
              <w:marTop w:val="0"/>
              <w:marBottom w:val="0"/>
              <w:divBdr>
                <w:top w:val="none" w:sz="0" w:space="0" w:color="auto"/>
                <w:left w:val="none" w:sz="0" w:space="0" w:color="auto"/>
                <w:bottom w:val="none" w:sz="0" w:space="0" w:color="auto"/>
                <w:right w:val="none" w:sz="0" w:space="0" w:color="auto"/>
              </w:divBdr>
              <w:divsChild>
                <w:div w:id="160977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672945">
      <w:bodyDiv w:val="1"/>
      <w:marLeft w:val="0"/>
      <w:marRight w:val="0"/>
      <w:marTop w:val="0"/>
      <w:marBottom w:val="0"/>
      <w:divBdr>
        <w:top w:val="none" w:sz="0" w:space="0" w:color="auto"/>
        <w:left w:val="none" w:sz="0" w:space="0" w:color="auto"/>
        <w:bottom w:val="none" w:sz="0" w:space="0" w:color="auto"/>
        <w:right w:val="none" w:sz="0" w:space="0" w:color="auto"/>
      </w:divBdr>
      <w:divsChild>
        <w:div w:id="359089068">
          <w:marLeft w:val="0"/>
          <w:marRight w:val="0"/>
          <w:marTop w:val="0"/>
          <w:marBottom w:val="0"/>
          <w:divBdr>
            <w:top w:val="none" w:sz="0" w:space="0" w:color="auto"/>
            <w:left w:val="none" w:sz="0" w:space="0" w:color="auto"/>
            <w:bottom w:val="none" w:sz="0" w:space="0" w:color="auto"/>
            <w:right w:val="none" w:sz="0" w:space="0" w:color="auto"/>
          </w:divBdr>
          <w:divsChild>
            <w:div w:id="1628927762">
              <w:marLeft w:val="0"/>
              <w:marRight w:val="0"/>
              <w:marTop w:val="0"/>
              <w:marBottom w:val="0"/>
              <w:divBdr>
                <w:top w:val="none" w:sz="0" w:space="0" w:color="auto"/>
                <w:left w:val="none" w:sz="0" w:space="0" w:color="auto"/>
                <w:bottom w:val="none" w:sz="0" w:space="0" w:color="auto"/>
                <w:right w:val="none" w:sz="0" w:space="0" w:color="auto"/>
              </w:divBdr>
              <w:divsChild>
                <w:div w:id="36853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544598">
      <w:bodyDiv w:val="1"/>
      <w:marLeft w:val="0"/>
      <w:marRight w:val="0"/>
      <w:marTop w:val="0"/>
      <w:marBottom w:val="0"/>
      <w:divBdr>
        <w:top w:val="none" w:sz="0" w:space="0" w:color="auto"/>
        <w:left w:val="none" w:sz="0" w:space="0" w:color="auto"/>
        <w:bottom w:val="none" w:sz="0" w:space="0" w:color="auto"/>
        <w:right w:val="none" w:sz="0" w:space="0" w:color="auto"/>
      </w:divBdr>
    </w:div>
    <w:div w:id="1170176107">
      <w:bodyDiv w:val="1"/>
      <w:marLeft w:val="0"/>
      <w:marRight w:val="0"/>
      <w:marTop w:val="0"/>
      <w:marBottom w:val="0"/>
      <w:divBdr>
        <w:top w:val="none" w:sz="0" w:space="0" w:color="auto"/>
        <w:left w:val="none" w:sz="0" w:space="0" w:color="auto"/>
        <w:bottom w:val="none" w:sz="0" w:space="0" w:color="auto"/>
        <w:right w:val="none" w:sz="0" w:space="0" w:color="auto"/>
      </w:divBdr>
      <w:divsChild>
        <w:div w:id="182279907">
          <w:marLeft w:val="0"/>
          <w:marRight w:val="0"/>
          <w:marTop w:val="0"/>
          <w:marBottom w:val="0"/>
          <w:divBdr>
            <w:top w:val="none" w:sz="0" w:space="0" w:color="auto"/>
            <w:left w:val="none" w:sz="0" w:space="0" w:color="auto"/>
            <w:bottom w:val="none" w:sz="0" w:space="0" w:color="auto"/>
            <w:right w:val="none" w:sz="0" w:space="0" w:color="auto"/>
          </w:divBdr>
          <w:divsChild>
            <w:div w:id="1393387814">
              <w:marLeft w:val="0"/>
              <w:marRight w:val="0"/>
              <w:marTop w:val="0"/>
              <w:marBottom w:val="0"/>
              <w:divBdr>
                <w:top w:val="none" w:sz="0" w:space="0" w:color="auto"/>
                <w:left w:val="none" w:sz="0" w:space="0" w:color="auto"/>
                <w:bottom w:val="none" w:sz="0" w:space="0" w:color="auto"/>
                <w:right w:val="none" w:sz="0" w:space="0" w:color="auto"/>
              </w:divBdr>
              <w:divsChild>
                <w:div w:id="143401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037377">
      <w:bodyDiv w:val="1"/>
      <w:marLeft w:val="0"/>
      <w:marRight w:val="0"/>
      <w:marTop w:val="0"/>
      <w:marBottom w:val="0"/>
      <w:divBdr>
        <w:top w:val="none" w:sz="0" w:space="0" w:color="auto"/>
        <w:left w:val="none" w:sz="0" w:space="0" w:color="auto"/>
        <w:bottom w:val="none" w:sz="0" w:space="0" w:color="auto"/>
        <w:right w:val="none" w:sz="0" w:space="0" w:color="auto"/>
      </w:divBdr>
    </w:div>
    <w:div w:id="1659965988">
      <w:bodyDiv w:val="1"/>
      <w:marLeft w:val="0"/>
      <w:marRight w:val="0"/>
      <w:marTop w:val="0"/>
      <w:marBottom w:val="0"/>
      <w:divBdr>
        <w:top w:val="none" w:sz="0" w:space="0" w:color="auto"/>
        <w:left w:val="none" w:sz="0" w:space="0" w:color="auto"/>
        <w:bottom w:val="none" w:sz="0" w:space="0" w:color="auto"/>
        <w:right w:val="none" w:sz="0" w:space="0" w:color="auto"/>
      </w:divBdr>
    </w:div>
    <w:div w:id="1670867687">
      <w:bodyDiv w:val="1"/>
      <w:marLeft w:val="0"/>
      <w:marRight w:val="0"/>
      <w:marTop w:val="0"/>
      <w:marBottom w:val="0"/>
      <w:divBdr>
        <w:top w:val="none" w:sz="0" w:space="0" w:color="auto"/>
        <w:left w:val="none" w:sz="0" w:space="0" w:color="auto"/>
        <w:bottom w:val="none" w:sz="0" w:space="0" w:color="auto"/>
        <w:right w:val="none" w:sz="0" w:space="0" w:color="auto"/>
      </w:divBdr>
      <w:divsChild>
        <w:div w:id="505940128">
          <w:marLeft w:val="0"/>
          <w:marRight w:val="0"/>
          <w:marTop w:val="0"/>
          <w:marBottom w:val="0"/>
          <w:divBdr>
            <w:top w:val="none" w:sz="0" w:space="0" w:color="auto"/>
            <w:left w:val="none" w:sz="0" w:space="0" w:color="auto"/>
            <w:bottom w:val="none" w:sz="0" w:space="0" w:color="auto"/>
            <w:right w:val="none" w:sz="0" w:space="0" w:color="auto"/>
          </w:divBdr>
          <w:divsChild>
            <w:div w:id="1356425858">
              <w:marLeft w:val="0"/>
              <w:marRight w:val="0"/>
              <w:marTop w:val="0"/>
              <w:marBottom w:val="0"/>
              <w:divBdr>
                <w:top w:val="none" w:sz="0" w:space="0" w:color="auto"/>
                <w:left w:val="none" w:sz="0" w:space="0" w:color="auto"/>
                <w:bottom w:val="none" w:sz="0" w:space="0" w:color="auto"/>
                <w:right w:val="none" w:sz="0" w:space="0" w:color="auto"/>
              </w:divBdr>
              <w:divsChild>
                <w:div w:id="198797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195046">
      <w:bodyDiv w:val="1"/>
      <w:marLeft w:val="0"/>
      <w:marRight w:val="0"/>
      <w:marTop w:val="0"/>
      <w:marBottom w:val="0"/>
      <w:divBdr>
        <w:top w:val="none" w:sz="0" w:space="0" w:color="auto"/>
        <w:left w:val="none" w:sz="0" w:space="0" w:color="auto"/>
        <w:bottom w:val="none" w:sz="0" w:space="0" w:color="auto"/>
        <w:right w:val="none" w:sz="0" w:space="0" w:color="auto"/>
      </w:divBdr>
    </w:div>
    <w:div w:id="1765685616">
      <w:bodyDiv w:val="1"/>
      <w:marLeft w:val="0"/>
      <w:marRight w:val="0"/>
      <w:marTop w:val="0"/>
      <w:marBottom w:val="0"/>
      <w:divBdr>
        <w:top w:val="none" w:sz="0" w:space="0" w:color="auto"/>
        <w:left w:val="none" w:sz="0" w:space="0" w:color="auto"/>
        <w:bottom w:val="none" w:sz="0" w:space="0" w:color="auto"/>
        <w:right w:val="none" w:sz="0" w:space="0" w:color="auto"/>
      </w:divBdr>
      <w:divsChild>
        <w:div w:id="572357827">
          <w:marLeft w:val="0"/>
          <w:marRight w:val="0"/>
          <w:marTop w:val="0"/>
          <w:marBottom w:val="0"/>
          <w:divBdr>
            <w:top w:val="none" w:sz="0" w:space="0" w:color="auto"/>
            <w:left w:val="none" w:sz="0" w:space="0" w:color="auto"/>
            <w:bottom w:val="none" w:sz="0" w:space="0" w:color="auto"/>
            <w:right w:val="none" w:sz="0" w:space="0" w:color="auto"/>
          </w:divBdr>
          <w:divsChild>
            <w:div w:id="476922729">
              <w:marLeft w:val="0"/>
              <w:marRight w:val="0"/>
              <w:marTop w:val="0"/>
              <w:marBottom w:val="0"/>
              <w:divBdr>
                <w:top w:val="none" w:sz="0" w:space="0" w:color="auto"/>
                <w:left w:val="none" w:sz="0" w:space="0" w:color="auto"/>
                <w:bottom w:val="none" w:sz="0" w:space="0" w:color="auto"/>
                <w:right w:val="none" w:sz="0" w:space="0" w:color="auto"/>
              </w:divBdr>
              <w:divsChild>
                <w:div w:id="1461144729">
                  <w:marLeft w:val="0"/>
                  <w:marRight w:val="0"/>
                  <w:marTop w:val="0"/>
                  <w:marBottom w:val="0"/>
                  <w:divBdr>
                    <w:top w:val="none" w:sz="0" w:space="0" w:color="auto"/>
                    <w:left w:val="none" w:sz="0" w:space="0" w:color="auto"/>
                    <w:bottom w:val="none" w:sz="0" w:space="0" w:color="auto"/>
                    <w:right w:val="none" w:sz="0" w:space="0" w:color="auto"/>
                  </w:divBdr>
                  <w:divsChild>
                    <w:div w:id="46362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225474">
      <w:bodyDiv w:val="1"/>
      <w:marLeft w:val="0"/>
      <w:marRight w:val="0"/>
      <w:marTop w:val="0"/>
      <w:marBottom w:val="0"/>
      <w:divBdr>
        <w:top w:val="none" w:sz="0" w:space="0" w:color="auto"/>
        <w:left w:val="none" w:sz="0" w:space="0" w:color="auto"/>
        <w:bottom w:val="none" w:sz="0" w:space="0" w:color="auto"/>
        <w:right w:val="none" w:sz="0" w:space="0" w:color="auto"/>
      </w:divBdr>
      <w:divsChild>
        <w:div w:id="2077389281">
          <w:marLeft w:val="0"/>
          <w:marRight w:val="0"/>
          <w:marTop w:val="0"/>
          <w:marBottom w:val="0"/>
          <w:divBdr>
            <w:top w:val="none" w:sz="0" w:space="0" w:color="auto"/>
            <w:left w:val="none" w:sz="0" w:space="0" w:color="auto"/>
            <w:bottom w:val="none" w:sz="0" w:space="0" w:color="auto"/>
            <w:right w:val="none" w:sz="0" w:space="0" w:color="auto"/>
          </w:divBdr>
          <w:divsChild>
            <w:div w:id="13265844">
              <w:marLeft w:val="0"/>
              <w:marRight w:val="0"/>
              <w:marTop w:val="0"/>
              <w:marBottom w:val="0"/>
              <w:divBdr>
                <w:top w:val="none" w:sz="0" w:space="0" w:color="auto"/>
                <w:left w:val="none" w:sz="0" w:space="0" w:color="auto"/>
                <w:bottom w:val="none" w:sz="0" w:space="0" w:color="auto"/>
                <w:right w:val="none" w:sz="0" w:space="0" w:color="auto"/>
              </w:divBdr>
              <w:divsChild>
                <w:div w:id="92375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575258">
      <w:bodyDiv w:val="1"/>
      <w:marLeft w:val="0"/>
      <w:marRight w:val="0"/>
      <w:marTop w:val="0"/>
      <w:marBottom w:val="0"/>
      <w:divBdr>
        <w:top w:val="none" w:sz="0" w:space="0" w:color="auto"/>
        <w:left w:val="none" w:sz="0" w:space="0" w:color="auto"/>
        <w:bottom w:val="none" w:sz="0" w:space="0" w:color="auto"/>
        <w:right w:val="none" w:sz="0" w:space="0" w:color="auto"/>
      </w:divBdr>
    </w:div>
    <w:div w:id="2000577702">
      <w:bodyDiv w:val="1"/>
      <w:marLeft w:val="0"/>
      <w:marRight w:val="0"/>
      <w:marTop w:val="0"/>
      <w:marBottom w:val="0"/>
      <w:divBdr>
        <w:top w:val="none" w:sz="0" w:space="0" w:color="auto"/>
        <w:left w:val="none" w:sz="0" w:space="0" w:color="auto"/>
        <w:bottom w:val="none" w:sz="0" w:space="0" w:color="auto"/>
        <w:right w:val="none" w:sz="0" w:space="0" w:color="auto"/>
      </w:divBdr>
    </w:div>
    <w:div w:id="2007047868">
      <w:bodyDiv w:val="1"/>
      <w:marLeft w:val="0"/>
      <w:marRight w:val="0"/>
      <w:marTop w:val="0"/>
      <w:marBottom w:val="0"/>
      <w:divBdr>
        <w:top w:val="none" w:sz="0" w:space="0" w:color="auto"/>
        <w:left w:val="none" w:sz="0" w:space="0" w:color="auto"/>
        <w:bottom w:val="none" w:sz="0" w:space="0" w:color="auto"/>
        <w:right w:val="none" w:sz="0" w:space="0" w:color="auto"/>
      </w:divBdr>
      <w:divsChild>
        <w:div w:id="2112041604">
          <w:marLeft w:val="0"/>
          <w:marRight w:val="0"/>
          <w:marTop w:val="0"/>
          <w:marBottom w:val="0"/>
          <w:divBdr>
            <w:top w:val="none" w:sz="0" w:space="0" w:color="auto"/>
            <w:left w:val="none" w:sz="0" w:space="0" w:color="auto"/>
            <w:bottom w:val="none" w:sz="0" w:space="0" w:color="auto"/>
            <w:right w:val="none" w:sz="0" w:space="0" w:color="auto"/>
          </w:divBdr>
          <w:divsChild>
            <w:div w:id="1059017757">
              <w:marLeft w:val="0"/>
              <w:marRight w:val="0"/>
              <w:marTop w:val="0"/>
              <w:marBottom w:val="0"/>
              <w:divBdr>
                <w:top w:val="none" w:sz="0" w:space="0" w:color="auto"/>
                <w:left w:val="none" w:sz="0" w:space="0" w:color="auto"/>
                <w:bottom w:val="none" w:sz="0" w:space="0" w:color="auto"/>
                <w:right w:val="none" w:sz="0" w:space="0" w:color="auto"/>
              </w:divBdr>
              <w:divsChild>
                <w:div w:id="173481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678223">
      <w:bodyDiv w:val="1"/>
      <w:marLeft w:val="0"/>
      <w:marRight w:val="0"/>
      <w:marTop w:val="0"/>
      <w:marBottom w:val="0"/>
      <w:divBdr>
        <w:top w:val="none" w:sz="0" w:space="0" w:color="auto"/>
        <w:left w:val="none" w:sz="0" w:space="0" w:color="auto"/>
        <w:bottom w:val="none" w:sz="0" w:space="0" w:color="auto"/>
        <w:right w:val="none" w:sz="0" w:space="0" w:color="auto"/>
      </w:divBdr>
      <w:divsChild>
        <w:div w:id="932511750">
          <w:marLeft w:val="0"/>
          <w:marRight w:val="0"/>
          <w:marTop w:val="0"/>
          <w:marBottom w:val="0"/>
          <w:divBdr>
            <w:top w:val="none" w:sz="0" w:space="0" w:color="auto"/>
            <w:left w:val="none" w:sz="0" w:space="0" w:color="auto"/>
            <w:bottom w:val="none" w:sz="0" w:space="0" w:color="auto"/>
            <w:right w:val="none" w:sz="0" w:space="0" w:color="auto"/>
          </w:divBdr>
          <w:divsChild>
            <w:div w:id="762536872">
              <w:marLeft w:val="0"/>
              <w:marRight w:val="0"/>
              <w:marTop w:val="0"/>
              <w:marBottom w:val="0"/>
              <w:divBdr>
                <w:top w:val="none" w:sz="0" w:space="0" w:color="auto"/>
                <w:left w:val="none" w:sz="0" w:space="0" w:color="auto"/>
                <w:bottom w:val="none" w:sz="0" w:space="0" w:color="auto"/>
                <w:right w:val="none" w:sz="0" w:space="0" w:color="auto"/>
              </w:divBdr>
              <w:divsChild>
                <w:div w:id="135137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744884">
      <w:bodyDiv w:val="1"/>
      <w:marLeft w:val="0"/>
      <w:marRight w:val="0"/>
      <w:marTop w:val="0"/>
      <w:marBottom w:val="0"/>
      <w:divBdr>
        <w:top w:val="none" w:sz="0" w:space="0" w:color="auto"/>
        <w:left w:val="none" w:sz="0" w:space="0" w:color="auto"/>
        <w:bottom w:val="none" w:sz="0" w:space="0" w:color="auto"/>
        <w:right w:val="none" w:sz="0" w:space="0" w:color="auto"/>
      </w:divBdr>
    </w:div>
    <w:div w:id="2073309565">
      <w:bodyDiv w:val="1"/>
      <w:marLeft w:val="0"/>
      <w:marRight w:val="0"/>
      <w:marTop w:val="0"/>
      <w:marBottom w:val="0"/>
      <w:divBdr>
        <w:top w:val="none" w:sz="0" w:space="0" w:color="auto"/>
        <w:left w:val="none" w:sz="0" w:space="0" w:color="auto"/>
        <w:bottom w:val="none" w:sz="0" w:space="0" w:color="auto"/>
        <w:right w:val="none" w:sz="0" w:space="0" w:color="auto"/>
      </w:divBdr>
      <w:divsChild>
        <w:div w:id="505169731">
          <w:marLeft w:val="0"/>
          <w:marRight w:val="0"/>
          <w:marTop w:val="0"/>
          <w:marBottom w:val="0"/>
          <w:divBdr>
            <w:top w:val="none" w:sz="0" w:space="0" w:color="auto"/>
            <w:left w:val="none" w:sz="0" w:space="0" w:color="auto"/>
            <w:bottom w:val="none" w:sz="0" w:space="0" w:color="auto"/>
            <w:right w:val="none" w:sz="0" w:space="0" w:color="auto"/>
          </w:divBdr>
          <w:divsChild>
            <w:div w:id="35473671">
              <w:marLeft w:val="0"/>
              <w:marRight w:val="0"/>
              <w:marTop w:val="0"/>
              <w:marBottom w:val="0"/>
              <w:divBdr>
                <w:top w:val="none" w:sz="0" w:space="0" w:color="auto"/>
                <w:left w:val="none" w:sz="0" w:space="0" w:color="auto"/>
                <w:bottom w:val="none" w:sz="0" w:space="0" w:color="auto"/>
                <w:right w:val="none" w:sz="0" w:space="0" w:color="auto"/>
              </w:divBdr>
              <w:divsChild>
                <w:div w:id="17230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3004</Words>
  <Characters>17123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dc:creator>
  <cp:keywords/>
  <dc:description/>
  <cp:lastModifiedBy>Hayley ...</cp:lastModifiedBy>
  <cp:revision>3</cp:revision>
  <dcterms:created xsi:type="dcterms:W3CDTF">2022-01-03T20:23:00Z</dcterms:created>
  <dcterms:modified xsi:type="dcterms:W3CDTF">2022-01-03T20:25:00Z</dcterms:modified>
</cp:coreProperties>
</file>