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9644451"/>
        <w:docPartObj>
          <w:docPartGallery w:val="Cover Pages"/>
          <w:docPartUnique/>
        </w:docPartObj>
      </w:sdtPr>
      <w:sdtEndPr>
        <w:rPr>
          <w:rFonts w:ascii="Arial" w:hAnsi="Arial" w:cs="Arial"/>
          <w:b/>
          <w:bCs/>
          <w:color w:val="153D63" w:themeColor="text2" w:themeTint="E6"/>
        </w:rPr>
      </w:sdtEndPr>
      <w:sdtContent>
        <w:p w14:paraId="3A10F571" w14:textId="5DEF0840" w:rsidR="00391149" w:rsidRPr="009D682E" w:rsidRDefault="00391149">
          <w:pPr>
            <w:rPr>
              <w:rFonts w:ascii="Arial Black" w:hAnsi="Arial Black"/>
              <w:color w:val="153D63" w:themeColor="text2" w:themeTint="E6"/>
              <w:sz w:val="28"/>
              <w:szCs w:val="28"/>
            </w:rPr>
          </w:pPr>
          <w:r w:rsidRPr="009D682E">
            <w:rPr>
              <w:rFonts w:ascii="Arial Black" w:hAnsi="Arial Black"/>
              <w:noProof/>
              <w:color w:val="153D63" w:themeColor="text2" w:themeTint="E6"/>
              <w:sz w:val="28"/>
              <w:szCs w:val="28"/>
            </w:rPr>
            <mc:AlternateContent>
              <mc:Choice Requires="wpg">
                <w:drawing>
                  <wp:anchor distT="0" distB="0" distL="114300" distR="114300" simplePos="0" relativeHeight="251659264" behindDoc="1" locked="0" layoutInCell="1" allowOverlap="1" wp14:anchorId="37A4B7D5" wp14:editId="65B908DF">
                    <wp:simplePos x="0" y="0"/>
                    <wp:positionH relativeFrom="page">
                      <wp:align>center</wp:align>
                    </wp:positionH>
                    <wp:positionV relativeFrom="page">
                      <wp:align>center</wp:align>
                    </wp:positionV>
                    <wp:extent cx="6864824" cy="4094328"/>
                    <wp:effectExtent l="0" t="0" r="0" b="1905"/>
                    <wp:wrapNone/>
                    <wp:docPr id="193" name="Group 198"/>
                    <wp:cNvGraphicFramePr/>
                    <a:graphic xmlns:a="http://schemas.openxmlformats.org/drawingml/2006/main">
                      <a:graphicData uri="http://schemas.microsoft.com/office/word/2010/wordprocessingGroup">
                        <wpg:wgp>
                          <wpg:cNvGrpSpPr/>
                          <wpg:grpSpPr>
                            <a:xfrm>
                              <a:off x="0" y="0"/>
                              <a:ext cx="6864824" cy="4094328"/>
                              <a:chOff x="0" y="0"/>
                              <a:chExt cx="6864824" cy="40943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EE7B0F2" w14:textId="58B6039D" w:rsidR="00391149" w:rsidRDefault="009D682E">
                                      <w:pPr>
                                        <w:pStyle w:val="NoSpacing"/>
                                        <w:jc w:val="center"/>
                                        <w:rPr>
                                          <w:rFonts w:asciiTheme="majorHAnsi" w:eastAsiaTheme="majorEastAsia" w:hAnsiTheme="majorHAnsi" w:cstheme="majorBidi"/>
                                          <w:caps/>
                                          <w:color w:val="156082" w:themeColor="accent1"/>
                                          <w:sz w:val="72"/>
                                          <w:szCs w:val="72"/>
                                        </w:rPr>
                                      </w:pPr>
                                      <w:r w:rsidRPr="009D682E">
                                        <w:rPr>
                                          <w:rFonts w:ascii="Arial Black" w:eastAsiaTheme="majorEastAsia" w:hAnsi="Arial Black" w:cstheme="majorBidi"/>
                                          <w:caps/>
                                          <w:color w:val="156082" w:themeColor="accent1"/>
                                          <w:sz w:val="72"/>
                                          <w:szCs w:val="72"/>
                                        </w:rPr>
                                        <w:t>Financial Analysis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7A4B7D5" id="Group 198" o:spid="_x0000_s1026" style="position:absolute;margin-left:0;margin-top:0;width:540.55pt;height:322.4pt;z-index:-251657216;mso-width-percent:882;mso-position-horizontal:center;mso-position-horizontal-relative:page;mso-position-vertical:center;mso-position-vertical-relative:page;mso-width-percent:882" coordsize="68648,409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shapetype id="_x0000_t202" coordsize="21600,21600" o:spt="202" path="m,l,21600r21600,l21600,xe">
                      <v:stroke joinstyle="miter"/>
                      <v:path gradientshapeok="t" o:connecttype="rect"/>
                    </v:shapetype>
                    <v:shape id="Text Box 196" o:spid="_x0000_s1028"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Black" w:eastAsiaTheme="majorEastAsia" w:hAnsi="Arial Black"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EE7B0F2" w14:textId="58B6039D" w:rsidR="00391149" w:rsidRDefault="009D682E">
                                <w:pPr>
                                  <w:pStyle w:val="NoSpacing"/>
                                  <w:jc w:val="center"/>
                                  <w:rPr>
                                    <w:rFonts w:asciiTheme="majorHAnsi" w:eastAsiaTheme="majorEastAsia" w:hAnsiTheme="majorHAnsi" w:cstheme="majorBidi"/>
                                    <w:caps/>
                                    <w:color w:val="156082" w:themeColor="accent1"/>
                                    <w:sz w:val="72"/>
                                    <w:szCs w:val="72"/>
                                  </w:rPr>
                                </w:pPr>
                                <w:r w:rsidRPr="009D682E">
                                  <w:rPr>
                                    <w:rFonts w:ascii="Arial Black" w:eastAsiaTheme="majorEastAsia" w:hAnsi="Arial Black" w:cstheme="majorBidi"/>
                                    <w:caps/>
                                    <w:color w:val="156082" w:themeColor="accent1"/>
                                    <w:sz w:val="72"/>
                                    <w:szCs w:val="72"/>
                                  </w:rPr>
                                  <w:t>Financial Analysis</w:t>
                                </w:r>
                              </w:p>
                            </w:sdtContent>
                          </w:sdt>
                        </w:txbxContent>
                      </v:textbox>
                    </v:shape>
                    <w10:wrap anchorx="page" anchory="page"/>
                  </v:group>
                </w:pict>
              </mc:Fallback>
            </mc:AlternateContent>
          </w:r>
          <w:r w:rsidR="009D682E" w:rsidRPr="009D682E">
            <w:rPr>
              <w:rFonts w:ascii="Arial Black" w:hAnsi="Arial Black"/>
              <w:color w:val="153D63" w:themeColor="text2" w:themeTint="E6"/>
              <w:sz w:val="28"/>
              <w:szCs w:val="28"/>
            </w:rPr>
            <w:t xml:space="preserve">Student name: Ciprian Gabriel Fichitiu </w:t>
          </w:r>
        </w:p>
        <w:p w14:paraId="519101B6" w14:textId="2225842E" w:rsidR="00391149" w:rsidRDefault="00391149">
          <w:pPr>
            <w:rPr>
              <w:rFonts w:ascii="Arial" w:hAnsi="Arial" w:cs="Arial"/>
              <w:b/>
              <w:bCs/>
              <w:color w:val="153D63" w:themeColor="text2" w:themeTint="E6"/>
            </w:rPr>
          </w:pPr>
          <w:r>
            <w:rPr>
              <w:rFonts w:ascii="Arial" w:hAnsi="Arial" w:cs="Arial"/>
              <w:b/>
              <w:bCs/>
              <w:color w:val="153D63" w:themeColor="text2" w:themeTint="E6"/>
            </w:rPr>
            <w:br w:type="page"/>
          </w:r>
        </w:p>
      </w:sdtContent>
    </w:sdt>
    <w:p w14:paraId="7B147E55" w14:textId="63EE8C80"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lastRenderedPageBreak/>
        <w:t>Introduction</w:t>
      </w:r>
    </w:p>
    <w:p w14:paraId="0A3E7DB2" w14:textId="77777777" w:rsidR="007B778C" w:rsidRPr="007B778C" w:rsidRDefault="007B778C" w:rsidP="007B778C">
      <w:pPr>
        <w:spacing w:line="480" w:lineRule="auto"/>
        <w:rPr>
          <w:rFonts w:ascii="Arial" w:hAnsi="Arial" w:cs="Arial"/>
        </w:rPr>
      </w:pPr>
      <w:r w:rsidRPr="007B778C">
        <w:rPr>
          <w:rFonts w:ascii="Arial" w:hAnsi="Arial" w:cs="Arial"/>
        </w:rPr>
        <w:t xml:space="preserve">This analysis looks at the financial performance of Amazon.com, Inc. over the latest fiscal years (2022–2023) using a selected suite of liquidity, profitability, efficiency, and capital-employment ratios. In comparing each of the ratios with the previous year, we identify performance-change drivers, suggest what they could do to improve future financial performance and sustainability, and reflect on how ratio analysis informs our conclusions (Brigham &amp; Houston, 2020). </w:t>
      </w:r>
    </w:p>
    <w:p w14:paraId="160694DE" w14:textId="5A6C3579"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t>Ratio Calculations</w:t>
      </w:r>
    </w:p>
    <w:p w14:paraId="1589C951" w14:textId="77777777"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t>Current Ratio</w:t>
      </w:r>
    </w:p>
    <w:p w14:paraId="61FCD289" w14:textId="3EB1A409" w:rsidR="007B778C" w:rsidRPr="007B778C" w:rsidRDefault="007B778C" w:rsidP="007B778C">
      <w:pPr>
        <w:spacing w:line="480" w:lineRule="auto"/>
        <w:rPr>
          <w:rFonts w:ascii="Arial" w:hAnsi="Arial" w:cs="Arial"/>
        </w:rPr>
      </w:pPr>
      <w:r w:rsidRPr="007B778C">
        <w:rPr>
          <w:rFonts w:ascii="Arial" w:hAnsi="Arial" w:cs="Arial"/>
        </w:rPr>
        <w:t xml:space="preserve">2022: 146,791 </w:t>
      </w:r>
      <w:r w:rsidR="006316C9">
        <w:rPr>
          <w:rFonts w:ascii="Arial" w:hAnsi="Arial" w:cs="Arial"/>
        </w:rPr>
        <w:t>/</w:t>
      </w:r>
      <w:r w:rsidRPr="007B778C">
        <w:rPr>
          <w:rFonts w:ascii="Arial" w:hAnsi="Arial" w:cs="Arial"/>
        </w:rPr>
        <w:t xml:space="preserve"> 155,393 = 0.945 </w:t>
      </w:r>
    </w:p>
    <w:p w14:paraId="2FAE0BEA" w14:textId="4742245E" w:rsidR="007B778C" w:rsidRPr="007B778C" w:rsidRDefault="007B778C" w:rsidP="007B778C">
      <w:pPr>
        <w:spacing w:line="480" w:lineRule="auto"/>
        <w:rPr>
          <w:rFonts w:ascii="Arial" w:hAnsi="Arial" w:cs="Arial"/>
        </w:rPr>
      </w:pPr>
      <w:r w:rsidRPr="007B778C">
        <w:rPr>
          <w:rFonts w:ascii="Arial" w:hAnsi="Arial" w:cs="Arial"/>
        </w:rPr>
        <w:t xml:space="preserve">2023: 172,351 </w:t>
      </w:r>
      <w:r w:rsidR="006316C9">
        <w:rPr>
          <w:rFonts w:ascii="Arial" w:hAnsi="Arial" w:cs="Arial"/>
        </w:rPr>
        <w:t>/</w:t>
      </w:r>
      <w:r w:rsidRPr="007B778C">
        <w:rPr>
          <w:rFonts w:ascii="Arial" w:hAnsi="Arial" w:cs="Arial"/>
        </w:rPr>
        <w:t xml:space="preserve"> 164,917 = 1.045 </w:t>
      </w:r>
    </w:p>
    <w:p w14:paraId="38149E2A" w14:textId="77777777"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t>Quick Ratio</w:t>
      </w:r>
    </w:p>
    <w:p w14:paraId="0A04828F" w14:textId="189E5F93" w:rsidR="007B778C" w:rsidRPr="007B778C" w:rsidRDefault="007B778C" w:rsidP="007B778C">
      <w:pPr>
        <w:spacing w:line="480" w:lineRule="auto"/>
        <w:rPr>
          <w:rFonts w:ascii="Arial" w:hAnsi="Arial" w:cs="Arial"/>
        </w:rPr>
      </w:pPr>
      <w:r w:rsidRPr="007B778C">
        <w:rPr>
          <w:rFonts w:ascii="Arial" w:hAnsi="Arial" w:cs="Arial"/>
        </w:rPr>
        <w:t xml:space="preserve">2022: (146,791 – 34,405) </w:t>
      </w:r>
      <w:r w:rsidR="006316C9">
        <w:rPr>
          <w:rFonts w:ascii="Arial" w:hAnsi="Arial" w:cs="Arial"/>
        </w:rPr>
        <w:t>/</w:t>
      </w:r>
      <w:r w:rsidRPr="007B778C">
        <w:rPr>
          <w:rFonts w:ascii="Arial" w:hAnsi="Arial" w:cs="Arial"/>
        </w:rPr>
        <w:t xml:space="preserve"> 155,393 = 0.723 </w:t>
      </w:r>
    </w:p>
    <w:p w14:paraId="376310F8" w14:textId="41060559" w:rsidR="007B778C" w:rsidRPr="007B778C" w:rsidRDefault="007B778C" w:rsidP="007B778C">
      <w:pPr>
        <w:spacing w:line="480" w:lineRule="auto"/>
        <w:rPr>
          <w:rFonts w:ascii="Arial" w:hAnsi="Arial" w:cs="Arial"/>
        </w:rPr>
      </w:pPr>
      <w:r w:rsidRPr="007B778C">
        <w:rPr>
          <w:rFonts w:ascii="Arial" w:hAnsi="Arial" w:cs="Arial"/>
        </w:rPr>
        <w:t xml:space="preserve">2023: (172,351 – 33,318) </w:t>
      </w:r>
      <w:r w:rsidR="006316C9">
        <w:rPr>
          <w:rFonts w:ascii="Arial" w:hAnsi="Arial" w:cs="Arial"/>
        </w:rPr>
        <w:t>/</w:t>
      </w:r>
      <w:r w:rsidRPr="007B778C">
        <w:rPr>
          <w:rFonts w:ascii="Arial" w:hAnsi="Arial" w:cs="Arial"/>
        </w:rPr>
        <w:t xml:space="preserve"> 164,917 = 0.843 </w:t>
      </w:r>
    </w:p>
    <w:p w14:paraId="7601050A" w14:textId="77777777"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t>Gross Profit Margin</w:t>
      </w:r>
    </w:p>
    <w:p w14:paraId="202B4BE4" w14:textId="11EDDD7A" w:rsidR="007B778C" w:rsidRPr="007B778C" w:rsidRDefault="007B778C" w:rsidP="007B778C">
      <w:pPr>
        <w:spacing w:line="480" w:lineRule="auto"/>
        <w:rPr>
          <w:rFonts w:ascii="Arial" w:hAnsi="Arial" w:cs="Arial"/>
        </w:rPr>
      </w:pPr>
      <w:r w:rsidRPr="007B778C">
        <w:rPr>
          <w:rFonts w:ascii="Arial" w:hAnsi="Arial" w:cs="Arial"/>
        </w:rPr>
        <w:t xml:space="preserve">2022: (513,983 – 288,831) </w:t>
      </w:r>
      <w:r w:rsidR="006316C9">
        <w:rPr>
          <w:rFonts w:ascii="Arial" w:hAnsi="Arial" w:cs="Arial"/>
        </w:rPr>
        <w:t>/</w:t>
      </w:r>
      <w:r w:rsidRPr="007B778C">
        <w:rPr>
          <w:rFonts w:ascii="Arial" w:hAnsi="Arial" w:cs="Arial"/>
        </w:rPr>
        <w:t xml:space="preserve"> 513,983 = 43.8% </w:t>
      </w:r>
    </w:p>
    <w:p w14:paraId="220A95FC" w14:textId="23ADDFDC" w:rsidR="007B778C" w:rsidRPr="007B778C" w:rsidRDefault="007B778C" w:rsidP="007B778C">
      <w:pPr>
        <w:spacing w:line="480" w:lineRule="auto"/>
        <w:rPr>
          <w:rFonts w:ascii="Arial" w:hAnsi="Arial" w:cs="Arial"/>
        </w:rPr>
      </w:pPr>
      <w:r w:rsidRPr="007B778C">
        <w:rPr>
          <w:rFonts w:ascii="Arial" w:hAnsi="Arial" w:cs="Arial"/>
        </w:rPr>
        <w:t xml:space="preserve">2023: (574,785 – 304,739) </w:t>
      </w:r>
      <w:r w:rsidR="006316C9">
        <w:rPr>
          <w:rFonts w:ascii="Arial" w:hAnsi="Arial" w:cs="Arial"/>
        </w:rPr>
        <w:t>/</w:t>
      </w:r>
      <w:r w:rsidRPr="007B778C">
        <w:rPr>
          <w:rFonts w:ascii="Arial" w:hAnsi="Arial" w:cs="Arial"/>
        </w:rPr>
        <w:t xml:space="preserve"> 574,785 = 47.0% </w:t>
      </w:r>
    </w:p>
    <w:p w14:paraId="34CC3142" w14:textId="77777777"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t>Net Profit Margin</w:t>
      </w:r>
    </w:p>
    <w:p w14:paraId="188A8AAB" w14:textId="04E8C8F9" w:rsidR="007B778C" w:rsidRPr="007B778C" w:rsidRDefault="007B778C" w:rsidP="007B778C">
      <w:pPr>
        <w:spacing w:line="480" w:lineRule="auto"/>
        <w:rPr>
          <w:rFonts w:ascii="Arial" w:hAnsi="Arial" w:cs="Arial"/>
        </w:rPr>
      </w:pPr>
      <w:r w:rsidRPr="007B778C">
        <w:rPr>
          <w:rFonts w:ascii="Arial" w:hAnsi="Arial" w:cs="Arial"/>
        </w:rPr>
        <w:t xml:space="preserve">2022: (–2,722) </w:t>
      </w:r>
      <w:r w:rsidR="006316C9">
        <w:rPr>
          <w:rFonts w:ascii="Arial" w:hAnsi="Arial" w:cs="Arial"/>
        </w:rPr>
        <w:t>/</w:t>
      </w:r>
      <w:r w:rsidRPr="007B778C">
        <w:rPr>
          <w:rFonts w:ascii="Arial" w:hAnsi="Arial" w:cs="Arial"/>
        </w:rPr>
        <w:t xml:space="preserve"> 513,983 = –0.5% </w:t>
      </w:r>
    </w:p>
    <w:p w14:paraId="2D7A0431" w14:textId="549A1FC2" w:rsidR="007B778C" w:rsidRPr="007B778C" w:rsidRDefault="007B778C" w:rsidP="007B778C">
      <w:pPr>
        <w:spacing w:line="480" w:lineRule="auto"/>
        <w:rPr>
          <w:rFonts w:ascii="Arial" w:hAnsi="Arial" w:cs="Arial"/>
        </w:rPr>
      </w:pPr>
      <w:r w:rsidRPr="007B778C">
        <w:rPr>
          <w:rFonts w:ascii="Arial" w:hAnsi="Arial" w:cs="Arial"/>
        </w:rPr>
        <w:t xml:space="preserve">2023: 30,425 </w:t>
      </w:r>
      <w:r w:rsidR="006316C9">
        <w:rPr>
          <w:rFonts w:ascii="Arial" w:hAnsi="Arial" w:cs="Arial"/>
        </w:rPr>
        <w:t>/</w:t>
      </w:r>
      <w:r w:rsidRPr="007B778C">
        <w:rPr>
          <w:rFonts w:ascii="Arial" w:hAnsi="Arial" w:cs="Arial"/>
        </w:rPr>
        <w:t xml:space="preserve"> 574,785 = 5.3% </w:t>
      </w:r>
    </w:p>
    <w:p w14:paraId="15B989FA" w14:textId="77777777" w:rsidR="00C132C4" w:rsidRDefault="00C132C4" w:rsidP="007B778C">
      <w:pPr>
        <w:spacing w:line="480" w:lineRule="auto"/>
        <w:rPr>
          <w:rFonts w:ascii="Arial" w:hAnsi="Arial" w:cs="Arial"/>
        </w:rPr>
      </w:pPr>
    </w:p>
    <w:p w14:paraId="34A80B97" w14:textId="4C669045"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lastRenderedPageBreak/>
        <w:t>Return on Capital Employed (ROCE)</w:t>
      </w:r>
    </w:p>
    <w:p w14:paraId="2DD16EAE" w14:textId="275C5CE5" w:rsidR="007B778C" w:rsidRPr="007B778C" w:rsidRDefault="007B778C" w:rsidP="007B778C">
      <w:pPr>
        <w:spacing w:line="480" w:lineRule="auto"/>
        <w:rPr>
          <w:rFonts w:ascii="Arial" w:hAnsi="Arial" w:cs="Arial"/>
        </w:rPr>
      </w:pPr>
      <w:r w:rsidRPr="007B778C">
        <w:rPr>
          <w:rFonts w:ascii="Arial" w:hAnsi="Arial" w:cs="Arial"/>
        </w:rPr>
        <w:t>Capital Employed = Equity + Non-current Liabilities</w:t>
      </w:r>
    </w:p>
    <w:p w14:paraId="568FE659" w14:textId="340C01B9" w:rsidR="007B778C" w:rsidRPr="007B778C" w:rsidRDefault="007B778C" w:rsidP="007B778C">
      <w:pPr>
        <w:spacing w:line="480" w:lineRule="auto"/>
        <w:rPr>
          <w:rFonts w:ascii="Arial" w:hAnsi="Arial" w:cs="Arial"/>
        </w:rPr>
      </w:pPr>
      <w:r w:rsidRPr="007B778C">
        <w:rPr>
          <w:rFonts w:ascii="Arial" w:hAnsi="Arial" w:cs="Arial"/>
        </w:rPr>
        <w:t>2022: 146,043 + (72,968 + 67,150 + 21,121) = 307,282</w:t>
      </w:r>
    </w:p>
    <w:p w14:paraId="6984B5B4" w14:textId="7407B939" w:rsidR="007B778C" w:rsidRPr="007B778C" w:rsidRDefault="007B778C" w:rsidP="007B778C">
      <w:pPr>
        <w:spacing w:line="480" w:lineRule="auto"/>
        <w:rPr>
          <w:rFonts w:ascii="Arial" w:hAnsi="Arial" w:cs="Arial"/>
        </w:rPr>
      </w:pPr>
      <w:r w:rsidRPr="007B778C">
        <w:rPr>
          <w:rFonts w:ascii="Arial" w:hAnsi="Arial" w:cs="Arial"/>
        </w:rPr>
        <w:t>2023: 201,875 + (77,297 + 58,314 + 25,451) = 362,937</w:t>
      </w:r>
    </w:p>
    <w:p w14:paraId="233B9E46" w14:textId="7860A82F" w:rsidR="007B778C" w:rsidRPr="007B778C" w:rsidRDefault="007B778C" w:rsidP="007B778C">
      <w:pPr>
        <w:spacing w:line="480" w:lineRule="auto"/>
        <w:rPr>
          <w:rFonts w:ascii="Arial" w:hAnsi="Arial" w:cs="Arial"/>
        </w:rPr>
      </w:pPr>
      <w:r w:rsidRPr="007B778C">
        <w:rPr>
          <w:rFonts w:ascii="Arial" w:hAnsi="Arial" w:cs="Arial"/>
        </w:rPr>
        <w:t xml:space="preserve">2022: 12,248 </w:t>
      </w:r>
      <w:r w:rsidR="00695E13">
        <w:rPr>
          <w:rFonts w:ascii="Arial" w:hAnsi="Arial" w:cs="Arial"/>
        </w:rPr>
        <w:t>/</w:t>
      </w:r>
      <w:r w:rsidRPr="007B778C">
        <w:rPr>
          <w:rFonts w:ascii="Arial" w:hAnsi="Arial" w:cs="Arial"/>
        </w:rPr>
        <w:t xml:space="preserve"> 307,282 = 4.0% </w:t>
      </w:r>
    </w:p>
    <w:p w14:paraId="73EBEB8B" w14:textId="1FE81F68" w:rsidR="007B778C" w:rsidRPr="007B778C" w:rsidRDefault="007B778C" w:rsidP="007B778C">
      <w:pPr>
        <w:spacing w:line="480" w:lineRule="auto"/>
        <w:rPr>
          <w:rFonts w:ascii="Arial" w:hAnsi="Arial" w:cs="Arial"/>
        </w:rPr>
      </w:pPr>
      <w:r w:rsidRPr="007B778C">
        <w:rPr>
          <w:rFonts w:ascii="Arial" w:hAnsi="Arial" w:cs="Arial"/>
        </w:rPr>
        <w:t xml:space="preserve">2023: 36,852 </w:t>
      </w:r>
      <w:r w:rsidR="00695E13">
        <w:rPr>
          <w:rFonts w:ascii="Arial" w:hAnsi="Arial" w:cs="Arial"/>
        </w:rPr>
        <w:t>/</w:t>
      </w:r>
      <w:r w:rsidRPr="007B778C">
        <w:rPr>
          <w:rFonts w:ascii="Arial" w:hAnsi="Arial" w:cs="Arial"/>
        </w:rPr>
        <w:t xml:space="preserve"> 362,937 = 10.2% </w:t>
      </w:r>
    </w:p>
    <w:p w14:paraId="01ACCB77" w14:textId="77777777"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t>Inventory Turnover</w:t>
      </w:r>
    </w:p>
    <w:p w14:paraId="5D0648D4" w14:textId="643252A3" w:rsidR="007B778C" w:rsidRPr="007B778C" w:rsidRDefault="007B778C" w:rsidP="007B778C">
      <w:pPr>
        <w:spacing w:line="480" w:lineRule="auto"/>
        <w:rPr>
          <w:rFonts w:ascii="Arial" w:hAnsi="Arial" w:cs="Arial"/>
        </w:rPr>
      </w:pPr>
      <w:r w:rsidRPr="007B778C">
        <w:rPr>
          <w:rFonts w:ascii="Arial" w:hAnsi="Arial" w:cs="Arial"/>
        </w:rPr>
        <w:t xml:space="preserve">2022: 288,831 </w:t>
      </w:r>
      <w:r w:rsidR="00695E13">
        <w:rPr>
          <w:rFonts w:ascii="Arial" w:hAnsi="Arial" w:cs="Arial"/>
        </w:rPr>
        <w:t>/</w:t>
      </w:r>
      <w:r w:rsidRPr="007B778C">
        <w:rPr>
          <w:rFonts w:ascii="Arial" w:hAnsi="Arial" w:cs="Arial"/>
        </w:rPr>
        <w:t xml:space="preserve"> [(32,640 + 34,405) </w:t>
      </w:r>
      <w:r w:rsidR="00695E13">
        <w:rPr>
          <w:rFonts w:ascii="Arial" w:hAnsi="Arial" w:cs="Arial"/>
        </w:rPr>
        <w:t>/</w:t>
      </w:r>
      <w:r w:rsidRPr="007B778C">
        <w:rPr>
          <w:rFonts w:ascii="Arial" w:hAnsi="Arial" w:cs="Arial"/>
        </w:rPr>
        <w:t xml:space="preserve"> 2] = 8.6 </w:t>
      </w:r>
    </w:p>
    <w:p w14:paraId="123A50D5" w14:textId="09EEE64F" w:rsidR="007B778C" w:rsidRPr="007B778C" w:rsidRDefault="007B778C" w:rsidP="007B778C">
      <w:pPr>
        <w:spacing w:line="480" w:lineRule="auto"/>
        <w:rPr>
          <w:rFonts w:ascii="Arial" w:hAnsi="Arial" w:cs="Arial"/>
        </w:rPr>
      </w:pPr>
      <w:r w:rsidRPr="007B778C">
        <w:rPr>
          <w:rFonts w:ascii="Arial" w:hAnsi="Arial" w:cs="Arial"/>
        </w:rPr>
        <w:t xml:space="preserve">2023: 304,739 </w:t>
      </w:r>
      <w:r w:rsidR="00695E13">
        <w:rPr>
          <w:rFonts w:ascii="Arial" w:hAnsi="Arial" w:cs="Arial"/>
        </w:rPr>
        <w:t>/</w:t>
      </w:r>
      <w:r w:rsidRPr="007B778C">
        <w:rPr>
          <w:rFonts w:ascii="Arial" w:hAnsi="Arial" w:cs="Arial"/>
        </w:rPr>
        <w:t xml:space="preserve"> [(34,405 + 33,318) </w:t>
      </w:r>
      <w:r w:rsidR="00695E13">
        <w:rPr>
          <w:rFonts w:ascii="Arial" w:hAnsi="Arial" w:cs="Arial"/>
        </w:rPr>
        <w:t>/</w:t>
      </w:r>
      <w:r w:rsidRPr="007B778C">
        <w:rPr>
          <w:rFonts w:ascii="Arial" w:hAnsi="Arial" w:cs="Arial"/>
        </w:rPr>
        <w:t xml:space="preserve"> 2] = 9</w:t>
      </w:r>
    </w:p>
    <w:p w14:paraId="3FA8EAE2" w14:textId="77777777"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t>Year-on-Year Performance Comparison</w:t>
      </w:r>
    </w:p>
    <w:p w14:paraId="67CB92EA" w14:textId="72A9AFC0"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t>Liquidity</w:t>
      </w:r>
      <w:r w:rsidR="00C132C4">
        <w:rPr>
          <w:rFonts w:ascii="Arial" w:hAnsi="Arial" w:cs="Arial"/>
          <w:b/>
          <w:bCs/>
          <w:color w:val="153D63" w:themeColor="text2" w:themeTint="E6"/>
        </w:rPr>
        <w:t xml:space="preserve">: </w:t>
      </w:r>
      <w:r w:rsidRPr="007B778C">
        <w:rPr>
          <w:rFonts w:ascii="Arial" w:hAnsi="Arial" w:cs="Arial"/>
        </w:rPr>
        <w:t>In 2022, Amazon's current ratio (0.945) and quick ratio (0.723) suggested tighter short-term coverage; over the year, both ratios improved (1.045 and 0.843), driven by a 17% increase in current assets</w:t>
      </w:r>
      <w:r w:rsidR="00695E13">
        <w:rPr>
          <w:rFonts w:ascii="Arial" w:hAnsi="Arial" w:cs="Arial"/>
        </w:rPr>
        <w:t xml:space="preserve">, </w:t>
      </w:r>
      <w:r w:rsidRPr="007B778C">
        <w:rPr>
          <w:rFonts w:ascii="Arial" w:hAnsi="Arial" w:cs="Arial"/>
        </w:rPr>
        <w:t>largely cash and accounts receivable</w:t>
      </w:r>
      <w:r w:rsidR="00695E13">
        <w:rPr>
          <w:rFonts w:ascii="Arial" w:hAnsi="Arial" w:cs="Arial"/>
        </w:rPr>
        <w:t xml:space="preserve">, </w:t>
      </w:r>
      <w:r w:rsidRPr="007B778C">
        <w:rPr>
          <w:rFonts w:ascii="Arial" w:hAnsi="Arial" w:cs="Arial"/>
        </w:rPr>
        <w:t>greater than the 6% increase in current liabilities. Improving operating cash flow in 2023 supports this increase</w:t>
      </w:r>
      <w:r w:rsidR="00C132C4">
        <w:rPr>
          <w:rFonts w:ascii="Arial" w:hAnsi="Arial" w:cs="Arial"/>
        </w:rPr>
        <w:t xml:space="preserve"> (Amazon, 2022).</w:t>
      </w:r>
    </w:p>
    <w:p w14:paraId="6270C15B" w14:textId="775AF413"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t>Profitability</w:t>
      </w:r>
      <w:r w:rsidR="00C132C4">
        <w:rPr>
          <w:rFonts w:ascii="Arial" w:hAnsi="Arial" w:cs="Arial"/>
          <w:b/>
          <w:bCs/>
          <w:color w:val="153D63" w:themeColor="text2" w:themeTint="E6"/>
        </w:rPr>
        <w:t xml:space="preserve">: </w:t>
      </w:r>
      <w:r w:rsidRPr="007B778C">
        <w:rPr>
          <w:rFonts w:ascii="Arial" w:hAnsi="Arial" w:cs="Arial"/>
        </w:rPr>
        <w:t>After recently reporting a net loss in 2022, approximately a -0.5% margin, Amazon recovered to a solid net margin of 5.3% for 2023 buoyed by a gross margin of 47.0% (43.8% in previous year) and a climb in operating income from $12.2 billion to $36.9 billion. The turnaround reflected both cost-management efforts and the relative success of higher-margin service revenue (for example, AWS, and advertising).</w:t>
      </w:r>
    </w:p>
    <w:p w14:paraId="677348E2" w14:textId="4E0D5B20"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lastRenderedPageBreak/>
        <w:t>Efficiency</w:t>
      </w:r>
      <w:r w:rsidR="00C132C4">
        <w:rPr>
          <w:rFonts w:ascii="Arial" w:hAnsi="Arial" w:cs="Arial"/>
          <w:b/>
          <w:bCs/>
          <w:color w:val="153D63" w:themeColor="text2" w:themeTint="E6"/>
        </w:rPr>
        <w:t xml:space="preserve">: </w:t>
      </w:r>
      <w:r w:rsidRPr="007B778C">
        <w:rPr>
          <w:rFonts w:ascii="Arial" w:hAnsi="Arial" w:cs="Arial"/>
        </w:rPr>
        <w:t xml:space="preserve">Inventory turnover increased from 8.6 times to 9.0 times, indicating lower inventory holding costs and faster conversion of stock (Ross et al., 2019). This improvement came from improved demand-feeding and leaner </w:t>
      </w:r>
      <w:r w:rsidR="00695E13" w:rsidRPr="007B778C">
        <w:rPr>
          <w:rFonts w:ascii="Arial" w:hAnsi="Arial" w:cs="Arial"/>
        </w:rPr>
        <w:t>fulfilment</w:t>
      </w:r>
      <w:r w:rsidRPr="007B778C">
        <w:rPr>
          <w:rFonts w:ascii="Arial" w:hAnsi="Arial" w:cs="Arial"/>
        </w:rPr>
        <w:t xml:space="preserve"> processes following pandemic-period supply chain oversupply.</w:t>
      </w:r>
    </w:p>
    <w:p w14:paraId="48D61EAF" w14:textId="574D6E5C" w:rsidR="00695E13"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t>Capital Employment</w:t>
      </w:r>
      <w:r w:rsidR="00C132C4">
        <w:rPr>
          <w:rFonts w:ascii="Arial" w:hAnsi="Arial" w:cs="Arial"/>
          <w:b/>
          <w:bCs/>
          <w:color w:val="153D63" w:themeColor="text2" w:themeTint="E6"/>
        </w:rPr>
        <w:t xml:space="preserve">: </w:t>
      </w:r>
      <w:r w:rsidRPr="007B778C">
        <w:rPr>
          <w:rFonts w:ascii="Arial" w:hAnsi="Arial" w:cs="Arial"/>
        </w:rPr>
        <w:t>ROCE, improved from 4.0% to 10.</w:t>
      </w:r>
      <w:r w:rsidR="00695E13" w:rsidRPr="007B778C">
        <w:rPr>
          <w:rFonts w:ascii="Arial" w:hAnsi="Arial" w:cs="Arial"/>
        </w:rPr>
        <w:t>2. %</w:t>
      </w:r>
      <w:r w:rsidRPr="007B778C">
        <w:rPr>
          <w:rFonts w:ascii="Arial" w:hAnsi="Arial" w:cs="Arial"/>
        </w:rPr>
        <w:t xml:space="preserve"> due to both higher operating profits and greater capital efficiency</w:t>
      </w:r>
      <w:r w:rsidR="00695E13">
        <w:rPr>
          <w:rFonts w:ascii="Arial" w:hAnsi="Arial" w:cs="Arial"/>
        </w:rPr>
        <w:t xml:space="preserve">, </w:t>
      </w:r>
      <w:r w:rsidRPr="007B778C">
        <w:rPr>
          <w:rFonts w:ascii="Arial" w:hAnsi="Arial" w:cs="Arial"/>
        </w:rPr>
        <w:t>equity grew by 38% while non-current liabilities were effectively unchanged</w:t>
      </w:r>
      <w:r w:rsidR="00695E13">
        <w:rPr>
          <w:rFonts w:ascii="Arial" w:hAnsi="Arial" w:cs="Arial"/>
        </w:rPr>
        <w:t xml:space="preserve"> </w:t>
      </w:r>
      <w:r w:rsidRPr="007B778C">
        <w:rPr>
          <w:rFonts w:ascii="Arial" w:hAnsi="Arial" w:cs="Arial"/>
        </w:rPr>
        <w:t>implying improved returns for both Amazon's investors and creditors.</w:t>
      </w:r>
    </w:p>
    <w:p w14:paraId="1E20AB2A" w14:textId="71C5B5A3"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t xml:space="preserve">Sources of Changes in Performance  </w:t>
      </w:r>
    </w:p>
    <w:p w14:paraId="0CD69CEC" w14:textId="30A49681" w:rsidR="008D5AF5" w:rsidRPr="00C132C4" w:rsidRDefault="007B778C" w:rsidP="00C132C4">
      <w:pPr>
        <w:pStyle w:val="ListParagraph"/>
        <w:numPr>
          <w:ilvl w:val="0"/>
          <w:numId w:val="1"/>
        </w:numPr>
        <w:spacing w:line="480" w:lineRule="auto"/>
        <w:rPr>
          <w:rFonts w:ascii="Arial" w:hAnsi="Arial" w:cs="Arial"/>
        </w:rPr>
      </w:pPr>
      <w:r w:rsidRPr="00C132C4">
        <w:rPr>
          <w:rFonts w:ascii="Arial" w:hAnsi="Arial" w:cs="Arial"/>
        </w:rPr>
        <w:t>AWS &amp; Service Expansion</w:t>
      </w:r>
      <w:r w:rsidR="008D5AF5" w:rsidRPr="00C132C4">
        <w:rPr>
          <w:rFonts w:ascii="Arial" w:hAnsi="Arial" w:cs="Arial"/>
        </w:rPr>
        <w:t xml:space="preserve">: </w:t>
      </w:r>
      <w:r w:rsidRPr="00C132C4">
        <w:rPr>
          <w:rFonts w:ascii="Arial" w:hAnsi="Arial" w:cs="Arial"/>
        </w:rPr>
        <w:t>Revenue from AWS increased 13% in 2023, resulting in $1.8 billion of segment operating income, which represents solid demand for cloud services and discipline in pricing</w:t>
      </w:r>
      <w:r w:rsidR="00C132C4" w:rsidRPr="00C132C4">
        <w:rPr>
          <w:rFonts w:ascii="Arial" w:hAnsi="Arial" w:cs="Arial"/>
        </w:rPr>
        <w:t xml:space="preserve"> (Amazon, 2023).</w:t>
      </w:r>
    </w:p>
    <w:p w14:paraId="0C20166F" w14:textId="61C4C74A" w:rsidR="007B778C" w:rsidRPr="00C132C4" w:rsidRDefault="007B778C" w:rsidP="00C132C4">
      <w:pPr>
        <w:pStyle w:val="ListParagraph"/>
        <w:numPr>
          <w:ilvl w:val="0"/>
          <w:numId w:val="1"/>
        </w:numPr>
        <w:spacing w:line="480" w:lineRule="auto"/>
        <w:rPr>
          <w:rFonts w:ascii="Arial" w:hAnsi="Arial" w:cs="Arial"/>
        </w:rPr>
      </w:pPr>
      <w:r w:rsidRPr="00C132C4">
        <w:rPr>
          <w:rFonts w:ascii="Arial" w:hAnsi="Arial" w:cs="Arial"/>
        </w:rPr>
        <w:t>North America Recovery</w:t>
      </w:r>
      <w:r w:rsidR="008D5AF5" w:rsidRPr="00C132C4">
        <w:rPr>
          <w:rFonts w:ascii="Arial" w:hAnsi="Arial" w:cs="Arial"/>
        </w:rPr>
        <w:t xml:space="preserve">: </w:t>
      </w:r>
      <w:r w:rsidRPr="00C132C4">
        <w:rPr>
          <w:rFonts w:ascii="Arial" w:hAnsi="Arial" w:cs="Arial"/>
        </w:rPr>
        <w:t xml:space="preserve">After lost $14.4 billion in operating income in 2022 due to high </w:t>
      </w:r>
      <w:r w:rsidR="008D5AF5" w:rsidRPr="00C132C4">
        <w:rPr>
          <w:rFonts w:ascii="Arial" w:hAnsi="Arial" w:cs="Arial"/>
        </w:rPr>
        <w:t>fulfilment</w:t>
      </w:r>
      <w:r w:rsidRPr="00C132C4">
        <w:rPr>
          <w:rFonts w:ascii="Arial" w:hAnsi="Arial" w:cs="Arial"/>
        </w:rPr>
        <w:t xml:space="preserve"> and technology expense, North America generated $14.9 billion of operating income in 2023 driven by expansion in volumes and strength in advertising. </w:t>
      </w:r>
    </w:p>
    <w:p w14:paraId="659DE190" w14:textId="77777777" w:rsidR="008D5AF5" w:rsidRPr="00C132C4" w:rsidRDefault="007B778C" w:rsidP="00C132C4">
      <w:pPr>
        <w:pStyle w:val="ListParagraph"/>
        <w:numPr>
          <w:ilvl w:val="0"/>
          <w:numId w:val="1"/>
        </w:numPr>
        <w:spacing w:line="480" w:lineRule="auto"/>
        <w:rPr>
          <w:rFonts w:ascii="Arial" w:hAnsi="Arial" w:cs="Arial"/>
        </w:rPr>
      </w:pPr>
      <w:r w:rsidRPr="00C132C4">
        <w:rPr>
          <w:rFonts w:ascii="Arial" w:hAnsi="Arial" w:cs="Arial"/>
        </w:rPr>
        <w:t>Cost Controls</w:t>
      </w:r>
      <w:r w:rsidR="008D5AF5" w:rsidRPr="00C132C4">
        <w:rPr>
          <w:rFonts w:ascii="Arial" w:hAnsi="Arial" w:cs="Arial"/>
        </w:rPr>
        <w:t xml:space="preserve">: </w:t>
      </w:r>
      <w:r w:rsidRPr="00C132C4">
        <w:rPr>
          <w:rFonts w:ascii="Arial" w:hAnsi="Arial" w:cs="Arial"/>
        </w:rPr>
        <w:t>The cost reductions made after 2022 (network optimi</w:t>
      </w:r>
      <w:r w:rsidR="008D5AF5" w:rsidRPr="00C132C4">
        <w:rPr>
          <w:rFonts w:ascii="Arial" w:hAnsi="Arial" w:cs="Arial"/>
        </w:rPr>
        <w:t>s</w:t>
      </w:r>
      <w:r w:rsidRPr="00C132C4">
        <w:rPr>
          <w:rFonts w:ascii="Arial" w:hAnsi="Arial" w:cs="Arial"/>
        </w:rPr>
        <w:t xml:space="preserve">ation, employee and overhead costs, etc.) resulted in a reduced non-operating loss and improvement in margins. </w:t>
      </w:r>
    </w:p>
    <w:p w14:paraId="3A72391D" w14:textId="77777777" w:rsidR="008D5AF5" w:rsidRPr="00C132C4" w:rsidRDefault="007B778C" w:rsidP="00C132C4">
      <w:pPr>
        <w:pStyle w:val="ListParagraph"/>
        <w:numPr>
          <w:ilvl w:val="0"/>
          <w:numId w:val="1"/>
        </w:numPr>
        <w:spacing w:line="480" w:lineRule="auto"/>
        <w:rPr>
          <w:rFonts w:ascii="Arial" w:hAnsi="Arial" w:cs="Arial"/>
        </w:rPr>
      </w:pPr>
      <w:r w:rsidRPr="00C132C4">
        <w:rPr>
          <w:rFonts w:ascii="Arial" w:hAnsi="Arial" w:cs="Arial"/>
        </w:rPr>
        <w:t>Macro &amp; Foreign Exchange Issues</w:t>
      </w:r>
      <w:r w:rsidR="008D5AF5" w:rsidRPr="00C132C4">
        <w:rPr>
          <w:rFonts w:ascii="Arial" w:hAnsi="Arial" w:cs="Arial"/>
        </w:rPr>
        <w:t xml:space="preserve">: </w:t>
      </w:r>
      <w:r w:rsidRPr="00C132C4">
        <w:rPr>
          <w:rFonts w:ascii="Arial" w:hAnsi="Arial" w:cs="Arial"/>
        </w:rPr>
        <w:t xml:space="preserve">The 2022 comprehensive loss included a substantial foreign exchange loss from the US Dollar, and then following an overall operating loss, a reduced investment in foreign currency goodwill, impairing forecasts for future cash flows, which overall have been alleviated in </w:t>
      </w:r>
      <w:r w:rsidRPr="00C132C4">
        <w:rPr>
          <w:rFonts w:ascii="Arial" w:hAnsi="Arial" w:cs="Arial"/>
        </w:rPr>
        <w:lastRenderedPageBreak/>
        <w:t>2023 with a normali</w:t>
      </w:r>
      <w:r w:rsidR="008D5AF5" w:rsidRPr="00C132C4">
        <w:rPr>
          <w:rFonts w:ascii="Arial" w:hAnsi="Arial" w:cs="Arial"/>
        </w:rPr>
        <w:t>s</w:t>
      </w:r>
      <w:r w:rsidRPr="00C132C4">
        <w:rPr>
          <w:rFonts w:ascii="Arial" w:hAnsi="Arial" w:cs="Arial"/>
        </w:rPr>
        <w:t>ation of foreign currency headwinds, as well as some non-operating income.</w:t>
      </w:r>
    </w:p>
    <w:p w14:paraId="77C8CC61" w14:textId="22084879"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t xml:space="preserve">Suggestions for Financial Improvement </w:t>
      </w:r>
    </w:p>
    <w:tbl>
      <w:tblPr>
        <w:tblW w:w="11058" w:type="dxa"/>
        <w:tblCellSpacing w:w="15" w:type="dxa"/>
        <w:tblInd w:w="-993" w:type="dxa"/>
        <w:tblBorders>
          <w:insideH w:val="inset" w:sz="2" w:space="0" w:color="auto"/>
          <w:insideV w:val="inset" w:sz="2" w:space="0" w:color="auto"/>
        </w:tblBorders>
        <w:tblCellMar>
          <w:top w:w="15" w:type="dxa"/>
          <w:left w:w="15" w:type="dxa"/>
          <w:bottom w:w="15" w:type="dxa"/>
          <w:right w:w="15" w:type="dxa"/>
        </w:tblCellMar>
        <w:tblLook w:val="04A0" w:firstRow="1" w:lastRow="0" w:firstColumn="1" w:lastColumn="0" w:noHBand="0" w:noVBand="1"/>
      </w:tblPr>
      <w:tblGrid>
        <w:gridCol w:w="1986"/>
        <w:gridCol w:w="2618"/>
        <w:gridCol w:w="6454"/>
      </w:tblGrid>
      <w:tr w:rsidR="00C132C4" w:rsidRPr="008D5AF5" w14:paraId="006D0060" w14:textId="77777777" w:rsidTr="00C132C4">
        <w:trPr>
          <w:trHeight w:val="715"/>
          <w:tblHeader/>
          <w:tblCellSpacing w:w="15" w:type="dxa"/>
        </w:trPr>
        <w:tc>
          <w:tcPr>
            <w:tcW w:w="1941" w:type="dxa"/>
            <w:shd w:val="clear" w:color="auto" w:fill="215E99" w:themeFill="text2" w:themeFillTint="BF"/>
            <w:vAlign w:val="center"/>
            <w:hideMark/>
          </w:tcPr>
          <w:p w14:paraId="164976CB" w14:textId="77777777" w:rsidR="008D5AF5" w:rsidRPr="008D5AF5" w:rsidRDefault="008D5AF5" w:rsidP="00C132C4">
            <w:pPr>
              <w:spacing w:after="0" w:line="480" w:lineRule="auto"/>
              <w:jc w:val="center"/>
              <w:rPr>
                <w:rFonts w:ascii="Arial" w:eastAsia="Times New Roman" w:hAnsi="Arial" w:cs="Arial"/>
                <w:b/>
                <w:bCs/>
                <w:kern w:val="0"/>
                <w:lang w:eastAsia="en-GB"/>
                <w14:ligatures w14:val="none"/>
              </w:rPr>
            </w:pPr>
            <w:r w:rsidRPr="008D5AF5">
              <w:rPr>
                <w:rFonts w:ascii="Arial" w:eastAsia="Times New Roman" w:hAnsi="Arial" w:cs="Arial"/>
                <w:b/>
                <w:bCs/>
                <w:kern w:val="0"/>
                <w:lang w:eastAsia="en-GB"/>
                <w14:ligatures w14:val="none"/>
              </w:rPr>
              <w:t>Focus Area</w:t>
            </w:r>
          </w:p>
        </w:tc>
        <w:tc>
          <w:tcPr>
            <w:tcW w:w="2588" w:type="dxa"/>
            <w:shd w:val="clear" w:color="auto" w:fill="215E99" w:themeFill="text2" w:themeFillTint="BF"/>
            <w:vAlign w:val="center"/>
            <w:hideMark/>
          </w:tcPr>
          <w:p w14:paraId="1B5F0E88" w14:textId="77777777" w:rsidR="008D5AF5" w:rsidRPr="008D5AF5" w:rsidRDefault="008D5AF5" w:rsidP="00C132C4">
            <w:pPr>
              <w:spacing w:after="0" w:line="480" w:lineRule="auto"/>
              <w:jc w:val="center"/>
              <w:rPr>
                <w:rFonts w:ascii="Arial" w:eastAsia="Times New Roman" w:hAnsi="Arial" w:cs="Arial"/>
                <w:b/>
                <w:bCs/>
                <w:kern w:val="0"/>
                <w:lang w:eastAsia="en-GB"/>
                <w14:ligatures w14:val="none"/>
              </w:rPr>
            </w:pPr>
            <w:r w:rsidRPr="008D5AF5">
              <w:rPr>
                <w:rFonts w:ascii="Arial" w:eastAsia="Times New Roman" w:hAnsi="Arial" w:cs="Arial"/>
                <w:b/>
                <w:bCs/>
                <w:kern w:val="0"/>
                <w:lang w:eastAsia="en-GB"/>
                <w14:ligatures w14:val="none"/>
              </w:rPr>
              <w:t>Linked Ratio Insight</w:t>
            </w:r>
          </w:p>
        </w:tc>
        <w:tc>
          <w:tcPr>
            <w:tcW w:w="6409" w:type="dxa"/>
            <w:shd w:val="clear" w:color="auto" w:fill="215E99" w:themeFill="text2" w:themeFillTint="BF"/>
            <w:vAlign w:val="center"/>
            <w:hideMark/>
          </w:tcPr>
          <w:p w14:paraId="28BD4782" w14:textId="77777777" w:rsidR="008D5AF5" w:rsidRPr="008D5AF5" w:rsidRDefault="008D5AF5" w:rsidP="00C132C4">
            <w:pPr>
              <w:spacing w:after="0" w:line="480" w:lineRule="auto"/>
              <w:jc w:val="center"/>
              <w:rPr>
                <w:rFonts w:ascii="Arial" w:eastAsia="Times New Roman" w:hAnsi="Arial" w:cs="Arial"/>
                <w:b/>
                <w:bCs/>
                <w:kern w:val="0"/>
                <w:lang w:eastAsia="en-GB"/>
                <w14:ligatures w14:val="none"/>
              </w:rPr>
            </w:pPr>
            <w:r w:rsidRPr="008D5AF5">
              <w:rPr>
                <w:rFonts w:ascii="Arial" w:eastAsia="Times New Roman" w:hAnsi="Arial" w:cs="Arial"/>
                <w:b/>
                <w:bCs/>
                <w:kern w:val="0"/>
                <w:lang w:eastAsia="en-GB"/>
                <w14:ligatures w14:val="none"/>
              </w:rPr>
              <w:t>Recommendation</w:t>
            </w:r>
          </w:p>
        </w:tc>
      </w:tr>
      <w:tr w:rsidR="008D5AF5" w:rsidRPr="008D5AF5" w14:paraId="11E92294" w14:textId="77777777" w:rsidTr="00C132C4">
        <w:trPr>
          <w:trHeight w:val="943"/>
          <w:tblCellSpacing w:w="15" w:type="dxa"/>
        </w:trPr>
        <w:tc>
          <w:tcPr>
            <w:tcW w:w="1941" w:type="dxa"/>
            <w:vAlign w:val="center"/>
            <w:hideMark/>
          </w:tcPr>
          <w:p w14:paraId="70B4148D" w14:textId="77777777" w:rsidR="008D5AF5" w:rsidRPr="008D5AF5" w:rsidRDefault="008D5AF5" w:rsidP="00C132C4">
            <w:pPr>
              <w:spacing w:after="0" w:line="480" w:lineRule="auto"/>
              <w:rPr>
                <w:rFonts w:ascii="Arial" w:eastAsia="Times New Roman" w:hAnsi="Arial" w:cs="Arial"/>
                <w:kern w:val="0"/>
                <w:lang w:eastAsia="en-GB"/>
                <w14:ligatures w14:val="none"/>
              </w:rPr>
            </w:pPr>
            <w:r w:rsidRPr="008D5AF5">
              <w:rPr>
                <w:rFonts w:ascii="Arial" w:eastAsia="Times New Roman" w:hAnsi="Arial" w:cs="Arial"/>
                <w:b/>
                <w:bCs/>
                <w:kern w:val="0"/>
                <w:lang w:eastAsia="en-GB"/>
                <w14:ligatures w14:val="none"/>
              </w:rPr>
              <w:t>Working Capital</w:t>
            </w:r>
          </w:p>
        </w:tc>
        <w:tc>
          <w:tcPr>
            <w:tcW w:w="2588" w:type="dxa"/>
            <w:vAlign w:val="center"/>
            <w:hideMark/>
          </w:tcPr>
          <w:p w14:paraId="47854F79" w14:textId="77777777" w:rsidR="008D5AF5" w:rsidRPr="008D5AF5" w:rsidRDefault="008D5AF5" w:rsidP="00C132C4">
            <w:pPr>
              <w:spacing w:after="0" w:line="480" w:lineRule="auto"/>
              <w:rPr>
                <w:rFonts w:ascii="Arial" w:eastAsia="Times New Roman" w:hAnsi="Arial" w:cs="Arial"/>
                <w:kern w:val="0"/>
                <w:lang w:eastAsia="en-GB"/>
                <w14:ligatures w14:val="none"/>
              </w:rPr>
            </w:pPr>
            <w:r w:rsidRPr="008D5AF5">
              <w:rPr>
                <w:rFonts w:ascii="Arial" w:eastAsia="Times New Roman" w:hAnsi="Arial" w:cs="Arial"/>
                <w:kern w:val="0"/>
                <w:lang w:eastAsia="en-GB"/>
                <w14:ligatures w14:val="none"/>
              </w:rPr>
              <w:t>Quick Ratio improved but &lt;1.0</w:t>
            </w:r>
          </w:p>
        </w:tc>
        <w:tc>
          <w:tcPr>
            <w:tcW w:w="6409" w:type="dxa"/>
            <w:vAlign w:val="center"/>
            <w:hideMark/>
          </w:tcPr>
          <w:p w14:paraId="6046A9B3" w14:textId="0B2B4EC0" w:rsidR="008D5AF5" w:rsidRPr="008D5AF5" w:rsidRDefault="008D5AF5" w:rsidP="00C132C4">
            <w:pPr>
              <w:spacing w:after="0" w:line="480" w:lineRule="auto"/>
              <w:rPr>
                <w:rFonts w:ascii="Arial" w:eastAsia="Times New Roman" w:hAnsi="Arial" w:cs="Arial"/>
                <w:kern w:val="0"/>
                <w:lang w:eastAsia="en-GB"/>
                <w14:ligatures w14:val="none"/>
              </w:rPr>
            </w:pPr>
            <w:r w:rsidRPr="008D5AF5">
              <w:rPr>
                <w:rFonts w:ascii="Arial" w:eastAsia="Times New Roman" w:hAnsi="Arial" w:cs="Arial"/>
                <w:kern w:val="0"/>
                <w:lang w:eastAsia="en-GB"/>
                <w14:ligatures w14:val="none"/>
              </w:rPr>
              <w:t>Accelerate receivables collection via dynamic discounting; extend payables negotiation range to enhance cash conversion</w:t>
            </w:r>
            <w:r w:rsidR="00C132C4">
              <w:rPr>
                <w:rFonts w:ascii="Arial" w:eastAsia="Times New Roman" w:hAnsi="Arial" w:cs="Arial"/>
                <w:kern w:val="0"/>
                <w:lang w:eastAsia="en-GB"/>
                <w14:ligatures w14:val="none"/>
              </w:rPr>
              <w:t>.</w:t>
            </w:r>
          </w:p>
        </w:tc>
      </w:tr>
      <w:tr w:rsidR="008D5AF5" w:rsidRPr="008D5AF5" w14:paraId="46A7D23A" w14:textId="77777777" w:rsidTr="00C132C4">
        <w:trPr>
          <w:trHeight w:val="1041"/>
          <w:tblCellSpacing w:w="15" w:type="dxa"/>
        </w:trPr>
        <w:tc>
          <w:tcPr>
            <w:tcW w:w="1941" w:type="dxa"/>
            <w:vAlign w:val="center"/>
            <w:hideMark/>
          </w:tcPr>
          <w:p w14:paraId="37E0467B" w14:textId="77777777" w:rsidR="008D5AF5" w:rsidRPr="008D5AF5" w:rsidRDefault="008D5AF5" w:rsidP="00C132C4">
            <w:pPr>
              <w:spacing w:after="0" w:line="480" w:lineRule="auto"/>
              <w:rPr>
                <w:rFonts w:ascii="Arial" w:eastAsia="Times New Roman" w:hAnsi="Arial" w:cs="Arial"/>
                <w:kern w:val="0"/>
                <w:lang w:eastAsia="en-GB"/>
                <w14:ligatures w14:val="none"/>
              </w:rPr>
            </w:pPr>
            <w:r w:rsidRPr="008D5AF5">
              <w:rPr>
                <w:rFonts w:ascii="Arial" w:eastAsia="Times New Roman" w:hAnsi="Arial" w:cs="Arial"/>
                <w:b/>
                <w:bCs/>
                <w:kern w:val="0"/>
                <w:lang w:eastAsia="en-GB"/>
                <w14:ligatures w14:val="none"/>
              </w:rPr>
              <w:t>Cost of Sales</w:t>
            </w:r>
          </w:p>
        </w:tc>
        <w:tc>
          <w:tcPr>
            <w:tcW w:w="2588" w:type="dxa"/>
            <w:vAlign w:val="center"/>
            <w:hideMark/>
          </w:tcPr>
          <w:p w14:paraId="31FCB7CC" w14:textId="77777777" w:rsidR="008D5AF5" w:rsidRPr="008D5AF5" w:rsidRDefault="008D5AF5" w:rsidP="00C132C4">
            <w:pPr>
              <w:spacing w:after="0" w:line="480" w:lineRule="auto"/>
              <w:rPr>
                <w:rFonts w:ascii="Arial" w:eastAsia="Times New Roman" w:hAnsi="Arial" w:cs="Arial"/>
                <w:kern w:val="0"/>
                <w:lang w:eastAsia="en-GB"/>
                <w14:ligatures w14:val="none"/>
              </w:rPr>
            </w:pPr>
            <w:r w:rsidRPr="008D5AF5">
              <w:rPr>
                <w:rFonts w:ascii="Arial" w:eastAsia="Times New Roman" w:hAnsi="Arial" w:cs="Arial"/>
                <w:kern w:val="0"/>
                <w:lang w:eastAsia="en-GB"/>
                <w14:ligatures w14:val="none"/>
              </w:rPr>
              <w:t>Gross Margin up but below peers</w:t>
            </w:r>
          </w:p>
        </w:tc>
        <w:tc>
          <w:tcPr>
            <w:tcW w:w="6409" w:type="dxa"/>
            <w:vAlign w:val="center"/>
            <w:hideMark/>
          </w:tcPr>
          <w:p w14:paraId="4723E227" w14:textId="77777777" w:rsidR="008D5AF5" w:rsidRPr="008D5AF5" w:rsidRDefault="008D5AF5" w:rsidP="00C132C4">
            <w:pPr>
              <w:spacing w:after="0" w:line="480" w:lineRule="auto"/>
              <w:rPr>
                <w:rFonts w:ascii="Arial" w:eastAsia="Times New Roman" w:hAnsi="Arial" w:cs="Arial"/>
                <w:kern w:val="0"/>
                <w:lang w:eastAsia="en-GB"/>
                <w14:ligatures w14:val="none"/>
              </w:rPr>
            </w:pPr>
            <w:r w:rsidRPr="008D5AF5">
              <w:rPr>
                <w:rFonts w:ascii="Arial" w:eastAsia="Times New Roman" w:hAnsi="Arial" w:cs="Arial"/>
                <w:kern w:val="0"/>
                <w:lang w:eastAsia="en-GB"/>
                <w14:ligatures w14:val="none"/>
              </w:rPr>
              <w:t>Leverage scale to negotiate supplier rebates and optimize inbound logistics contracts to further lift margins.</w:t>
            </w:r>
          </w:p>
        </w:tc>
      </w:tr>
      <w:tr w:rsidR="008D5AF5" w:rsidRPr="008D5AF5" w14:paraId="29CC7DF5" w14:textId="77777777" w:rsidTr="00C132C4">
        <w:trPr>
          <w:trHeight w:val="1121"/>
          <w:tblCellSpacing w:w="15" w:type="dxa"/>
        </w:trPr>
        <w:tc>
          <w:tcPr>
            <w:tcW w:w="1941" w:type="dxa"/>
            <w:vAlign w:val="center"/>
            <w:hideMark/>
          </w:tcPr>
          <w:p w14:paraId="2F38CFAA" w14:textId="77777777" w:rsidR="008D5AF5" w:rsidRPr="008D5AF5" w:rsidRDefault="008D5AF5" w:rsidP="00C132C4">
            <w:pPr>
              <w:spacing w:after="0" w:line="480" w:lineRule="auto"/>
              <w:rPr>
                <w:rFonts w:ascii="Arial" w:eastAsia="Times New Roman" w:hAnsi="Arial" w:cs="Arial"/>
                <w:kern w:val="0"/>
                <w:lang w:eastAsia="en-GB"/>
                <w14:ligatures w14:val="none"/>
              </w:rPr>
            </w:pPr>
            <w:r w:rsidRPr="008D5AF5">
              <w:rPr>
                <w:rFonts w:ascii="Arial" w:eastAsia="Times New Roman" w:hAnsi="Arial" w:cs="Arial"/>
                <w:b/>
                <w:bCs/>
                <w:kern w:val="0"/>
                <w:lang w:eastAsia="en-GB"/>
                <w14:ligatures w14:val="none"/>
              </w:rPr>
              <w:t>Capital Structure</w:t>
            </w:r>
          </w:p>
        </w:tc>
        <w:tc>
          <w:tcPr>
            <w:tcW w:w="2588" w:type="dxa"/>
            <w:vAlign w:val="center"/>
            <w:hideMark/>
          </w:tcPr>
          <w:p w14:paraId="3183895F" w14:textId="77777777" w:rsidR="008D5AF5" w:rsidRPr="008D5AF5" w:rsidRDefault="008D5AF5" w:rsidP="00C132C4">
            <w:pPr>
              <w:spacing w:after="0" w:line="480" w:lineRule="auto"/>
              <w:rPr>
                <w:rFonts w:ascii="Arial" w:eastAsia="Times New Roman" w:hAnsi="Arial" w:cs="Arial"/>
                <w:kern w:val="0"/>
                <w:lang w:eastAsia="en-GB"/>
                <w14:ligatures w14:val="none"/>
              </w:rPr>
            </w:pPr>
            <w:r w:rsidRPr="008D5AF5">
              <w:rPr>
                <w:rFonts w:ascii="Arial" w:eastAsia="Times New Roman" w:hAnsi="Arial" w:cs="Arial"/>
                <w:kern w:val="0"/>
                <w:lang w:eastAsia="en-GB"/>
                <w14:ligatures w14:val="none"/>
              </w:rPr>
              <w:t>ROCE multiplied</w:t>
            </w:r>
          </w:p>
        </w:tc>
        <w:tc>
          <w:tcPr>
            <w:tcW w:w="6409" w:type="dxa"/>
            <w:vAlign w:val="center"/>
            <w:hideMark/>
          </w:tcPr>
          <w:p w14:paraId="1E39C879" w14:textId="69827A9B" w:rsidR="008D5AF5" w:rsidRPr="008D5AF5" w:rsidRDefault="008D5AF5" w:rsidP="00C132C4">
            <w:pPr>
              <w:spacing w:after="0" w:line="480" w:lineRule="auto"/>
              <w:rPr>
                <w:rFonts w:ascii="Arial" w:eastAsia="Times New Roman" w:hAnsi="Arial" w:cs="Arial"/>
                <w:kern w:val="0"/>
                <w:lang w:eastAsia="en-GB"/>
                <w14:ligatures w14:val="none"/>
              </w:rPr>
            </w:pPr>
            <w:r w:rsidRPr="008D5AF5">
              <w:rPr>
                <w:rFonts w:ascii="Arial" w:eastAsia="Times New Roman" w:hAnsi="Arial" w:cs="Arial"/>
                <w:kern w:val="0"/>
                <w:lang w:eastAsia="en-GB"/>
                <w14:ligatures w14:val="none"/>
              </w:rPr>
              <w:t>Consider issuing sustainability</w:t>
            </w:r>
            <w:r w:rsidRPr="008D5AF5">
              <w:rPr>
                <w:rFonts w:ascii="Cambria Math" w:eastAsia="Times New Roman" w:hAnsi="Cambria Math" w:cs="Cambria Math"/>
                <w:kern w:val="0"/>
                <w:lang w:eastAsia="en-GB"/>
                <w14:ligatures w14:val="none"/>
              </w:rPr>
              <w:t>‐</w:t>
            </w:r>
            <w:r w:rsidRPr="008D5AF5">
              <w:rPr>
                <w:rFonts w:ascii="Arial" w:eastAsia="Times New Roman" w:hAnsi="Arial" w:cs="Arial"/>
                <w:kern w:val="0"/>
                <w:lang w:eastAsia="en-GB"/>
                <w14:ligatures w14:val="none"/>
              </w:rPr>
              <w:t>linked debt, locking in lower rates tied to ESG targets</w:t>
            </w:r>
            <w:r w:rsidR="00C132C4">
              <w:rPr>
                <w:rFonts w:ascii="Arial" w:eastAsia="Times New Roman" w:hAnsi="Arial" w:cs="Arial"/>
                <w:kern w:val="0"/>
                <w:lang w:eastAsia="en-GB"/>
                <w14:ligatures w14:val="none"/>
              </w:rPr>
              <w:t>.</w:t>
            </w:r>
          </w:p>
        </w:tc>
      </w:tr>
      <w:tr w:rsidR="008D5AF5" w:rsidRPr="008D5AF5" w14:paraId="028442E8" w14:textId="77777777" w:rsidTr="00C132C4">
        <w:trPr>
          <w:trHeight w:val="1342"/>
          <w:tblCellSpacing w:w="15" w:type="dxa"/>
        </w:trPr>
        <w:tc>
          <w:tcPr>
            <w:tcW w:w="1941" w:type="dxa"/>
            <w:vAlign w:val="center"/>
            <w:hideMark/>
          </w:tcPr>
          <w:p w14:paraId="2508FC18" w14:textId="77777777" w:rsidR="008D5AF5" w:rsidRPr="008D5AF5" w:rsidRDefault="008D5AF5" w:rsidP="00C132C4">
            <w:pPr>
              <w:spacing w:after="0" w:line="480" w:lineRule="auto"/>
              <w:rPr>
                <w:rFonts w:ascii="Arial" w:eastAsia="Times New Roman" w:hAnsi="Arial" w:cs="Arial"/>
                <w:kern w:val="0"/>
                <w:lang w:eastAsia="en-GB"/>
                <w14:ligatures w14:val="none"/>
              </w:rPr>
            </w:pPr>
            <w:r w:rsidRPr="008D5AF5">
              <w:rPr>
                <w:rFonts w:ascii="Arial" w:eastAsia="Times New Roman" w:hAnsi="Arial" w:cs="Arial"/>
                <w:b/>
                <w:bCs/>
                <w:kern w:val="0"/>
                <w:lang w:eastAsia="en-GB"/>
                <w14:ligatures w14:val="none"/>
              </w:rPr>
              <w:t>Segment Diversification</w:t>
            </w:r>
          </w:p>
        </w:tc>
        <w:tc>
          <w:tcPr>
            <w:tcW w:w="2588" w:type="dxa"/>
            <w:vAlign w:val="center"/>
            <w:hideMark/>
          </w:tcPr>
          <w:p w14:paraId="64BBE142" w14:textId="77777777" w:rsidR="008D5AF5" w:rsidRPr="008D5AF5" w:rsidRDefault="008D5AF5" w:rsidP="00C132C4">
            <w:pPr>
              <w:spacing w:after="0" w:line="480" w:lineRule="auto"/>
              <w:rPr>
                <w:rFonts w:ascii="Arial" w:eastAsia="Times New Roman" w:hAnsi="Arial" w:cs="Arial"/>
                <w:kern w:val="0"/>
                <w:lang w:eastAsia="en-GB"/>
                <w14:ligatures w14:val="none"/>
              </w:rPr>
            </w:pPr>
            <w:r w:rsidRPr="008D5AF5">
              <w:rPr>
                <w:rFonts w:ascii="Arial" w:eastAsia="Times New Roman" w:hAnsi="Arial" w:cs="Arial"/>
                <w:kern w:val="0"/>
                <w:lang w:eastAsia="en-GB"/>
                <w14:ligatures w14:val="none"/>
              </w:rPr>
              <w:t>Heavy reliance on AWS/prod sales</w:t>
            </w:r>
          </w:p>
        </w:tc>
        <w:tc>
          <w:tcPr>
            <w:tcW w:w="6409" w:type="dxa"/>
            <w:vAlign w:val="center"/>
            <w:hideMark/>
          </w:tcPr>
          <w:p w14:paraId="16BD9831" w14:textId="77777777" w:rsidR="008D5AF5" w:rsidRPr="008D5AF5" w:rsidRDefault="008D5AF5" w:rsidP="00C132C4">
            <w:pPr>
              <w:spacing w:after="0" w:line="480" w:lineRule="auto"/>
              <w:rPr>
                <w:rFonts w:ascii="Arial" w:eastAsia="Times New Roman" w:hAnsi="Arial" w:cs="Arial"/>
                <w:kern w:val="0"/>
                <w:lang w:eastAsia="en-GB"/>
                <w14:ligatures w14:val="none"/>
              </w:rPr>
            </w:pPr>
            <w:r w:rsidRPr="008D5AF5">
              <w:rPr>
                <w:rFonts w:ascii="Arial" w:eastAsia="Times New Roman" w:hAnsi="Arial" w:cs="Arial"/>
                <w:kern w:val="0"/>
                <w:lang w:eastAsia="en-GB"/>
                <w14:ligatures w14:val="none"/>
              </w:rPr>
              <w:t>Expand high-margin advertising and subscription verticals, invest in international AWS penetration.</w:t>
            </w:r>
          </w:p>
        </w:tc>
      </w:tr>
    </w:tbl>
    <w:p w14:paraId="5AD2EFDC" w14:textId="77777777" w:rsidR="008D5AF5" w:rsidRDefault="008D5AF5" w:rsidP="007B778C">
      <w:pPr>
        <w:spacing w:line="480" w:lineRule="auto"/>
        <w:rPr>
          <w:rFonts w:ascii="Arial" w:hAnsi="Arial" w:cs="Arial"/>
        </w:rPr>
      </w:pPr>
    </w:p>
    <w:p w14:paraId="31A47664" w14:textId="683881A8"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t xml:space="preserve">Sustainability Implications  </w:t>
      </w:r>
    </w:p>
    <w:p w14:paraId="02CB82F9" w14:textId="5C737C1B" w:rsidR="007B778C" w:rsidRPr="007B778C" w:rsidRDefault="007B778C" w:rsidP="007B778C">
      <w:pPr>
        <w:spacing w:line="480" w:lineRule="auto"/>
        <w:rPr>
          <w:rFonts w:ascii="Arial" w:hAnsi="Arial" w:cs="Arial"/>
        </w:rPr>
      </w:pPr>
      <w:r w:rsidRPr="007B778C">
        <w:rPr>
          <w:rFonts w:ascii="Arial" w:hAnsi="Arial" w:cs="Arial"/>
        </w:rPr>
        <w:t>Amazon's sustainability strategy is becoming more embedded within its business, as an environmentally focused sustainability strategy intend to reduce costs and climate risk, but additionally create long-term value for shareholders.</w:t>
      </w:r>
      <w:r w:rsidR="009800F1">
        <w:rPr>
          <w:rFonts w:ascii="Arial" w:hAnsi="Arial" w:cs="Arial"/>
        </w:rPr>
        <w:t xml:space="preserve"> </w:t>
      </w:r>
      <w:r w:rsidRPr="007B778C">
        <w:rPr>
          <w:rFonts w:ascii="Arial" w:hAnsi="Arial" w:cs="Arial"/>
        </w:rPr>
        <w:t xml:space="preserve">Amazon's treatment of sustainability as a driver of operational effectiveness and differentiation enables the firm to marry its ESG goals to financial metrics, and further cement the relationship between "going green," and margin preservation (Brigham &amp; Houston, 2020). </w:t>
      </w:r>
    </w:p>
    <w:p w14:paraId="5059A3C9" w14:textId="77777777" w:rsidR="00C132C4" w:rsidRDefault="00C132C4" w:rsidP="007B778C">
      <w:pPr>
        <w:spacing w:line="480" w:lineRule="auto"/>
        <w:rPr>
          <w:rFonts w:ascii="Arial" w:hAnsi="Arial" w:cs="Arial"/>
        </w:rPr>
      </w:pPr>
    </w:p>
    <w:p w14:paraId="576E4D0D" w14:textId="14C478C4"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lastRenderedPageBreak/>
        <w:t>Renewable Energy Procurement</w:t>
      </w:r>
    </w:p>
    <w:p w14:paraId="3D8EC0D7" w14:textId="3845E105" w:rsidR="007B778C" w:rsidRPr="007B778C" w:rsidRDefault="007B778C" w:rsidP="007B778C">
      <w:pPr>
        <w:spacing w:line="480" w:lineRule="auto"/>
        <w:rPr>
          <w:rFonts w:ascii="Arial" w:hAnsi="Arial" w:cs="Arial"/>
        </w:rPr>
      </w:pPr>
      <w:r w:rsidRPr="007B778C">
        <w:rPr>
          <w:rFonts w:ascii="Arial" w:hAnsi="Arial" w:cs="Arial"/>
        </w:rPr>
        <w:t>One of the foundational pillars of Amazon's decarboni</w:t>
      </w:r>
      <w:r w:rsidR="009800F1">
        <w:rPr>
          <w:rFonts w:ascii="Arial" w:hAnsi="Arial" w:cs="Arial"/>
        </w:rPr>
        <w:t>s</w:t>
      </w:r>
      <w:r w:rsidRPr="007B778C">
        <w:rPr>
          <w:rFonts w:ascii="Arial" w:hAnsi="Arial" w:cs="Arial"/>
        </w:rPr>
        <w:t>ation effort is transitioning to renewable electricity. The company has entered into many renewable electricity agreements, the majority of which are power purchase agreements or generation-based agreements that provide Amazon with Renewable Energy Certificates (RECs), with no commitment to fixed volumes. These agreements do not bind Amazon as purchase obligations, and the assigned RECs will provide Amazon with the capability to match green generation against their total annual electricity. This supports Amazon's goal of powering all operations with 100% renewable energy by 2025, and to lock in fixed energy pricing for up to 40-</w:t>
      </w:r>
      <w:r w:rsidR="00292FF3" w:rsidRPr="007B778C">
        <w:rPr>
          <w:rFonts w:ascii="Arial" w:hAnsi="Arial" w:cs="Arial"/>
        </w:rPr>
        <w:t>years and</w:t>
      </w:r>
      <w:r w:rsidRPr="007B778C">
        <w:rPr>
          <w:rFonts w:ascii="Arial" w:hAnsi="Arial" w:cs="Arial"/>
        </w:rPr>
        <w:t xml:space="preserve"> be less exposed to fossil-fuel price volatility (IEA, 2024).</w:t>
      </w:r>
    </w:p>
    <w:p w14:paraId="25E4EBD4" w14:textId="38EBFC1B" w:rsidR="007B778C" w:rsidRPr="00C132C4" w:rsidRDefault="007B778C" w:rsidP="007B778C">
      <w:pPr>
        <w:spacing w:line="480" w:lineRule="auto"/>
        <w:rPr>
          <w:rFonts w:ascii="Arial" w:hAnsi="Arial" w:cs="Arial"/>
          <w:b/>
          <w:bCs/>
          <w:color w:val="153D63" w:themeColor="text2" w:themeTint="E6"/>
        </w:rPr>
      </w:pPr>
      <w:r w:rsidRPr="00C132C4">
        <w:rPr>
          <w:rFonts w:ascii="Arial" w:hAnsi="Arial" w:cs="Arial"/>
          <w:b/>
          <w:bCs/>
          <w:color w:val="153D63" w:themeColor="text2" w:themeTint="E6"/>
        </w:rPr>
        <w:t>Packaging Innovation &amp; Low-Carbon Logistics</w:t>
      </w:r>
    </w:p>
    <w:p w14:paraId="5A37DAA3" w14:textId="076552C1" w:rsidR="007B778C" w:rsidRPr="007B778C" w:rsidRDefault="007B778C" w:rsidP="007B778C">
      <w:pPr>
        <w:spacing w:line="480" w:lineRule="auto"/>
        <w:rPr>
          <w:rFonts w:ascii="Arial" w:hAnsi="Arial" w:cs="Arial"/>
        </w:rPr>
      </w:pPr>
      <w:r w:rsidRPr="007B778C">
        <w:rPr>
          <w:rFonts w:ascii="Arial" w:hAnsi="Arial" w:cs="Arial"/>
        </w:rPr>
        <w:t xml:space="preserve">Designing packaging strategically around cost efficiencies and emissions reductions is essential. Amazon's "Shipment Zero" goal of achieving a net-zero carbon footprint with half of all shipments by 2030 uses lightweight, recyclable packaging, for the purpose of reducing materials payouts and shipping weight (McKinsey &amp; Company, 2023). The Amazon inventory model of upstream storage warehouses feeding a higher speed, high velocity </w:t>
      </w:r>
      <w:r w:rsidR="00292FF3" w:rsidRPr="007B778C">
        <w:rPr>
          <w:rFonts w:ascii="Arial" w:hAnsi="Arial" w:cs="Arial"/>
        </w:rPr>
        <w:t>fulfilment</w:t>
      </w:r>
      <w:r w:rsidRPr="007B778C">
        <w:rPr>
          <w:rFonts w:ascii="Arial" w:hAnsi="Arial" w:cs="Arial"/>
        </w:rPr>
        <w:t xml:space="preserve"> centre logistics ecosystem, inherently reduces last mile distances, and allows for algorithm-based replenishment methods to reduce the cost and carbon intensity per order.</w:t>
      </w:r>
      <w:r w:rsidR="00292FF3">
        <w:rPr>
          <w:rFonts w:ascii="Arial" w:hAnsi="Arial" w:cs="Arial"/>
        </w:rPr>
        <w:t xml:space="preserve"> </w:t>
      </w:r>
      <w:r w:rsidRPr="007B778C">
        <w:rPr>
          <w:rFonts w:ascii="Arial" w:hAnsi="Arial" w:cs="Arial"/>
        </w:rPr>
        <w:t xml:space="preserve">By implementing reusable packaging loops, and enlarging joint spacious partnership pools for consolidated deliveries, can exponentially ramp up carbon benefits, while increasing delivery economics. </w:t>
      </w:r>
    </w:p>
    <w:p w14:paraId="1B0B7586" w14:textId="77777777" w:rsidR="00391149" w:rsidRDefault="00391149" w:rsidP="007B778C">
      <w:pPr>
        <w:spacing w:line="480" w:lineRule="auto"/>
        <w:rPr>
          <w:rFonts w:ascii="Arial" w:hAnsi="Arial" w:cs="Arial"/>
        </w:rPr>
      </w:pPr>
    </w:p>
    <w:p w14:paraId="523BDBFC" w14:textId="77777777" w:rsidR="00391149" w:rsidRDefault="00391149" w:rsidP="007B778C">
      <w:pPr>
        <w:spacing w:line="480" w:lineRule="auto"/>
        <w:rPr>
          <w:rFonts w:ascii="Arial" w:hAnsi="Arial" w:cs="Arial"/>
        </w:rPr>
      </w:pPr>
    </w:p>
    <w:p w14:paraId="3A542436" w14:textId="21A857C5" w:rsidR="007B778C" w:rsidRPr="00391149" w:rsidRDefault="007B778C" w:rsidP="007B778C">
      <w:pPr>
        <w:spacing w:line="480" w:lineRule="auto"/>
        <w:rPr>
          <w:rFonts w:ascii="Arial" w:hAnsi="Arial" w:cs="Arial"/>
          <w:b/>
          <w:bCs/>
          <w:color w:val="153D63" w:themeColor="text2" w:themeTint="E6"/>
        </w:rPr>
      </w:pPr>
      <w:r w:rsidRPr="00391149">
        <w:rPr>
          <w:rFonts w:ascii="Arial" w:hAnsi="Arial" w:cs="Arial"/>
          <w:b/>
          <w:bCs/>
          <w:color w:val="153D63" w:themeColor="text2" w:themeTint="E6"/>
        </w:rPr>
        <w:lastRenderedPageBreak/>
        <w:t>Sustainable Supply Chain Management</w:t>
      </w:r>
    </w:p>
    <w:p w14:paraId="54C24410" w14:textId="0BC05562" w:rsidR="007B778C" w:rsidRPr="007B778C" w:rsidRDefault="007B778C" w:rsidP="007B778C">
      <w:pPr>
        <w:spacing w:line="480" w:lineRule="auto"/>
        <w:rPr>
          <w:rFonts w:ascii="Arial" w:hAnsi="Arial" w:cs="Arial"/>
        </w:rPr>
      </w:pPr>
      <w:r w:rsidRPr="007B778C">
        <w:rPr>
          <w:rFonts w:ascii="Arial" w:hAnsi="Arial" w:cs="Arial"/>
        </w:rPr>
        <w:t>Amazon understands that climate-driven shocks, especially more frequent extreme weather events, leads to higher operating costs and amplified supply chain risk</w:t>
      </w:r>
      <w:r w:rsidR="00292FF3">
        <w:rPr>
          <w:rFonts w:ascii="Arial" w:hAnsi="Arial" w:cs="Arial"/>
        </w:rPr>
        <w:t xml:space="preserve">. </w:t>
      </w:r>
      <w:r w:rsidRPr="007B778C">
        <w:rPr>
          <w:rFonts w:ascii="Arial" w:hAnsi="Arial" w:cs="Arial"/>
        </w:rPr>
        <w:t>Amazon can work to drive suppliers to increase renewable energy usage and sustainably source materials, securing volume discounts for sustainable inputs, as well as insulating themselves from regulatory changes, like carbon pricing (European Commission, 2022). Embedding life-cycle assessment tools into procurement choices can help prioriti</w:t>
      </w:r>
      <w:r w:rsidR="00292FF3">
        <w:rPr>
          <w:rFonts w:ascii="Arial" w:hAnsi="Arial" w:cs="Arial"/>
        </w:rPr>
        <w:t>s</w:t>
      </w:r>
      <w:r w:rsidRPr="007B778C">
        <w:rPr>
          <w:rFonts w:ascii="Arial" w:hAnsi="Arial" w:cs="Arial"/>
        </w:rPr>
        <w:t xml:space="preserve">e total landed costs and environmental </w:t>
      </w:r>
      <w:r w:rsidR="00292FF3" w:rsidRPr="007B778C">
        <w:rPr>
          <w:rFonts w:ascii="Arial" w:hAnsi="Arial" w:cs="Arial"/>
        </w:rPr>
        <w:t>harm and</w:t>
      </w:r>
      <w:r w:rsidRPr="007B778C">
        <w:rPr>
          <w:rFonts w:ascii="Arial" w:hAnsi="Arial" w:cs="Arial"/>
        </w:rPr>
        <w:t xml:space="preserve"> offer resilience against potential resource scarcity and reputational risk.</w:t>
      </w:r>
    </w:p>
    <w:p w14:paraId="683AFA09" w14:textId="5EF0E6D1" w:rsidR="007B778C" w:rsidRPr="00391149" w:rsidRDefault="007B778C" w:rsidP="007B778C">
      <w:pPr>
        <w:spacing w:line="480" w:lineRule="auto"/>
        <w:rPr>
          <w:rFonts w:ascii="Arial" w:hAnsi="Arial" w:cs="Arial"/>
          <w:b/>
          <w:bCs/>
          <w:color w:val="153D63" w:themeColor="text2" w:themeTint="E6"/>
        </w:rPr>
      </w:pPr>
      <w:r w:rsidRPr="00391149">
        <w:rPr>
          <w:rFonts w:ascii="Arial" w:hAnsi="Arial" w:cs="Arial"/>
          <w:b/>
          <w:bCs/>
          <w:color w:val="153D63" w:themeColor="text2" w:themeTint="E6"/>
        </w:rPr>
        <w:t>Green Financing Instruments</w:t>
      </w:r>
    </w:p>
    <w:p w14:paraId="7F973290" w14:textId="77777777" w:rsidR="00292FF3" w:rsidRDefault="007B778C" w:rsidP="007B778C">
      <w:pPr>
        <w:spacing w:line="480" w:lineRule="auto"/>
        <w:rPr>
          <w:rFonts w:ascii="Arial" w:hAnsi="Arial" w:cs="Arial"/>
        </w:rPr>
      </w:pPr>
      <w:r w:rsidRPr="007B778C">
        <w:rPr>
          <w:rFonts w:ascii="Arial" w:hAnsi="Arial" w:cs="Arial"/>
        </w:rPr>
        <w:t>Connecting the cost of Amazon’s capital to sustainability outcomes can yield both financial and reputation results. Sustainability-linked bonds or loans, whose interest expenses change depending on an organi</w:t>
      </w:r>
      <w:r w:rsidR="00292FF3">
        <w:rPr>
          <w:rFonts w:ascii="Arial" w:hAnsi="Arial" w:cs="Arial"/>
        </w:rPr>
        <w:t>s</w:t>
      </w:r>
      <w:r w:rsidRPr="007B778C">
        <w:rPr>
          <w:rFonts w:ascii="Arial" w:hAnsi="Arial" w:cs="Arial"/>
        </w:rPr>
        <w:t>ation’s ESG performance (such as carbon intensity or waste diversion), should allow Amazon to tap far more attractive borrowing costs compared to their current unsecured debt costs (an average effective rate of approximately 3.1%)</w:t>
      </w:r>
      <w:r w:rsidR="00292FF3">
        <w:rPr>
          <w:rFonts w:ascii="Arial" w:hAnsi="Arial" w:cs="Arial"/>
        </w:rPr>
        <w:t>.</w:t>
      </w:r>
    </w:p>
    <w:p w14:paraId="75074E2C" w14:textId="3E0AC4AE" w:rsidR="007B778C" w:rsidRPr="007B778C" w:rsidRDefault="007B778C" w:rsidP="007B778C">
      <w:pPr>
        <w:spacing w:line="480" w:lineRule="auto"/>
        <w:rPr>
          <w:rFonts w:ascii="Arial" w:hAnsi="Arial" w:cs="Arial"/>
        </w:rPr>
      </w:pPr>
      <w:r w:rsidRPr="007B778C">
        <w:rPr>
          <w:rFonts w:ascii="Arial" w:hAnsi="Arial" w:cs="Arial"/>
        </w:rPr>
        <w:t xml:space="preserve">Contracts for sustainability linked bonds change the rate based on either social impacts, or environmental outcomes, or even include both E and S standards together as ESG contracts. Sustainability-linked financing instruments help developers access ESG-oriented investors and diversify the ways they can fund increasing ESG programs, while putting a market pull incentive in place to either meet or beat environmental target goals </w:t>
      </w:r>
      <w:r w:rsidR="00C132C4">
        <w:rPr>
          <w:rFonts w:ascii="Arial" w:hAnsi="Arial" w:cs="Arial"/>
        </w:rPr>
        <w:t>(</w:t>
      </w:r>
      <w:r w:rsidR="00C132C4" w:rsidRPr="00C132C4">
        <w:rPr>
          <w:rFonts w:ascii="Arial" w:hAnsi="Arial" w:cs="Arial"/>
        </w:rPr>
        <w:t xml:space="preserve">Charles &amp; </w:t>
      </w:r>
      <w:proofErr w:type="spellStart"/>
      <w:r w:rsidR="00C132C4" w:rsidRPr="00C132C4">
        <w:rPr>
          <w:rFonts w:ascii="Arial" w:hAnsi="Arial" w:cs="Arial"/>
        </w:rPr>
        <w:t>Uford</w:t>
      </w:r>
      <w:proofErr w:type="spellEnd"/>
      <w:r w:rsidR="00C132C4" w:rsidRPr="00C132C4">
        <w:rPr>
          <w:rFonts w:ascii="Arial" w:hAnsi="Arial" w:cs="Arial"/>
        </w:rPr>
        <w:t>,</w:t>
      </w:r>
      <w:r w:rsidR="00C132C4">
        <w:rPr>
          <w:rFonts w:ascii="Arial" w:hAnsi="Arial" w:cs="Arial"/>
        </w:rPr>
        <w:t xml:space="preserve"> </w:t>
      </w:r>
      <w:r w:rsidR="00C132C4" w:rsidRPr="00C132C4">
        <w:rPr>
          <w:rFonts w:ascii="Arial" w:hAnsi="Arial" w:cs="Arial"/>
        </w:rPr>
        <w:t>2023)</w:t>
      </w:r>
      <w:r w:rsidR="00C132C4">
        <w:rPr>
          <w:rFonts w:ascii="Arial" w:hAnsi="Arial" w:cs="Arial"/>
        </w:rPr>
        <w:t>.</w:t>
      </w:r>
    </w:p>
    <w:p w14:paraId="26B700EC" w14:textId="77777777" w:rsidR="00391149" w:rsidRDefault="00391149" w:rsidP="007B778C">
      <w:pPr>
        <w:spacing w:line="480" w:lineRule="auto"/>
        <w:rPr>
          <w:rFonts w:ascii="Arial" w:hAnsi="Arial" w:cs="Arial"/>
        </w:rPr>
      </w:pPr>
    </w:p>
    <w:p w14:paraId="22F605CB" w14:textId="77777777" w:rsidR="00391149" w:rsidRDefault="00391149" w:rsidP="007B778C">
      <w:pPr>
        <w:spacing w:line="480" w:lineRule="auto"/>
        <w:rPr>
          <w:rFonts w:ascii="Arial" w:hAnsi="Arial" w:cs="Arial"/>
        </w:rPr>
      </w:pPr>
    </w:p>
    <w:p w14:paraId="5253E1C6" w14:textId="55AB2D4F" w:rsidR="007B778C" w:rsidRPr="00391149" w:rsidRDefault="007B778C" w:rsidP="007B778C">
      <w:pPr>
        <w:spacing w:line="480" w:lineRule="auto"/>
        <w:rPr>
          <w:rFonts w:ascii="Arial" w:hAnsi="Arial" w:cs="Arial"/>
          <w:b/>
          <w:bCs/>
          <w:color w:val="153D63" w:themeColor="text2" w:themeTint="E6"/>
        </w:rPr>
      </w:pPr>
      <w:r w:rsidRPr="00391149">
        <w:rPr>
          <w:rFonts w:ascii="Arial" w:hAnsi="Arial" w:cs="Arial"/>
          <w:b/>
          <w:bCs/>
          <w:color w:val="153D63" w:themeColor="text2" w:themeTint="E6"/>
        </w:rPr>
        <w:lastRenderedPageBreak/>
        <w:t>Circular Economy and Operational Efficiency</w:t>
      </w:r>
    </w:p>
    <w:p w14:paraId="5B4C709C" w14:textId="77777777" w:rsidR="00292FF3" w:rsidRDefault="007B778C" w:rsidP="007B778C">
      <w:pPr>
        <w:spacing w:line="480" w:lineRule="auto"/>
        <w:rPr>
          <w:rFonts w:ascii="Arial" w:hAnsi="Arial" w:cs="Arial"/>
        </w:rPr>
      </w:pPr>
      <w:r w:rsidRPr="007B778C">
        <w:rPr>
          <w:rFonts w:ascii="Arial" w:hAnsi="Arial" w:cs="Arial"/>
        </w:rPr>
        <w:t xml:space="preserve">“Zero-waste” </w:t>
      </w:r>
      <w:r w:rsidR="00292FF3" w:rsidRPr="007B778C">
        <w:rPr>
          <w:rFonts w:ascii="Arial" w:hAnsi="Arial" w:cs="Arial"/>
        </w:rPr>
        <w:t>fulfilment</w:t>
      </w:r>
      <w:r w:rsidRPr="007B778C">
        <w:rPr>
          <w:rFonts w:ascii="Arial" w:hAnsi="Arial" w:cs="Arial"/>
        </w:rPr>
        <w:t xml:space="preserve"> </w:t>
      </w:r>
      <w:r w:rsidR="00292FF3" w:rsidRPr="007B778C">
        <w:rPr>
          <w:rFonts w:ascii="Arial" w:hAnsi="Arial" w:cs="Arial"/>
        </w:rPr>
        <w:t>centres</w:t>
      </w:r>
      <w:r w:rsidRPr="007B778C">
        <w:rPr>
          <w:rFonts w:ascii="Arial" w:hAnsi="Arial" w:cs="Arial"/>
        </w:rPr>
        <w:t xml:space="preserve">, product take-back programs, and recycled packaging programs are all ways to increase circularity, diverting waste from disposal and helping recover payments originally paid as value on returned goods. By adopting energy-efficient hardware and modern cooling technologies (including custom silicon), data </w:t>
      </w:r>
      <w:r w:rsidR="00292FF3" w:rsidRPr="007B778C">
        <w:rPr>
          <w:rFonts w:ascii="Arial" w:hAnsi="Arial" w:cs="Arial"/>
        </w:rPr>
        <w:t>centres</w:t>
      </w:r>
      <w:r w:rsidRPr="007B778C">
        <w:rPr>
          <w:rFonts w:ascii="Arial" w:hAnsi="Arial" w:cs="Arial"/>
        </w:rPr>
        <w:t xml:space="preserve"> can not only enhance their performance in terms of wattage but also mitigate electric utility costs equally, given the additional $48.1 billion in IT infrastructure capital spending in 2023. By engaging employees and local communities in waste and reduction initiatives, it engrains sustainability into Amazon's DNA, as well as creating additional cost benefits for Amazon and innovative opportunities.</w:t>
      </w:r>
    </w:p>
    <w:p w14:paraId="3881B63D" w14:textId="3FD14B8F" w:rsidR="007B778C" w:rsidRPr="007B778C" w:rsidRDefault="007B778C" w:rsidP="007B778C">
      <w:pPr>
        <w:spacing w:line="480" w:lineRule="auto"/>
        <w:rPr>
          <w:rFonts w:ascii="Arial" w:hAnsi="Arial" w:cs="Arial"/>
        </w:rPr>
      </w:pPr>
      <w:r w:rsidRPr="007B778C">
        <w:rPr>
          <w:rFonts w:ascii="Arial" w:hAnsi="Arial" w:cs="Arial"/>
        </w:rPr>
        <w:t>If Amazon fully embeds renewable energy, packaging innovation, supply chain resilience, green financing, and circular-economy elements, they could generate meaningful cost-benefits, de-risk their businesses in relation to climate disruption, and cement their leadership position in sustainable and responsible e-commerce for the future.</w:t>
      </w:r>
    </w:p>
    <w:p w14:paraId="1FD76A7A" w14:textId="77777777" w:rsidR="007B778C" w:rsidRPr="00391149" w:rsidRDefault="007B778C" w:rsidP="007B778C">
      <w:pPr>
        <w:spacing w:line="480" w:lineRule="auto"/>
        <w:rPr>
          <w:rFonts w:ascii="Arial" w:hAnsi="Arial" w:cs="Arial"/>
          <w:b/>
          <w:bCs/>
          <w:color w:val="153D63" w:themeColor="text2" w:themeTint="E6"/>
        </w:rPr>
      </w:pPr>
      <w:r w:rsidRPr="00391149">
        <w:rPr>
          <w:rFonts w:ascii="Arial" w:hAnsi="Arial" w:cs="Arial"/>
          <w:b/>
          <w:bCs/>
          <w:color w:val="153D63" w:themeColor="text2" w:themeTint="E6"/>
        </w:rPr>
        <w:t>Conclusion</w:t>
      </w:r>
    </w:p>
    <w:p w14:paraId="78509A63" w14:textId="72C42466" w:rsidR="00292FF3" w:rsidRDefault="007B778C" w:rsidP="007B778C">
      <w:pPr>
        <w:spacing w:line="480" w:lineRule="auto"/>
        <w:rPr>
          <w:rFonts w:ascii="Arial" w:hAnsi="Arial" w:cs="Arial"/>
        </w:rPr>
      </w:pPr>
      <w:r w:rsidRPr="007B778C">
        <w:rPr>
          <w:rFonts w:ascii="Arial" w:hAnsi="Arial" w:cs="Arial"/>
        </w:rPr>
        <w:t xml:space="preserve">Ratio analysis has been particularly valuable in demonstrating the financial rebound of Amazon from 2022 to 2023. The company's current ratio improved from 0.945 to 1.045, indicating that the company transitioned from a liquidity constrained workflow to one where it has some comfort with its level of short-term assets. Its </w:t>
      </w:r>
      <w:r w:rsidR="00292FF3" w:rsidRPr="007B778C">
        <w:rPr>
          <w:rFonts w:ascii="Arial" w:hAnsi="Arial" w:cs="Arial"/>
        </w:rPr>
        <w:t>quick ratio</w:t>
      </w:r>
      <w:r w:rsidRPr="007B778C">
        <w:rPr>
          <w:rFonts w:ascii="Arial" w:hAnsi="Arial" w:cs="Arial"/>
        </w:rPr>
        <w:t xml:space="preserve"> improved similarly from 0.723 to 0.843; showing that the company was in a </w:t>
      </w:r>
      <w:r w:rsidR="00292FF3" w:rsidRPr="007B778C">
        <w:rPr>
          <w:rFonts w:ascii="Arial" w:hAnsi="Arial" w:cs="Arial"/>
        </w:rPr>
        <w:t>much-improved</w:t>
      </w:r>
      <w:r w:rsidRPr="007B778C">
        <w:rPr>
          <w:rFonts w:ascii="Arial" w:hAnsi="Arial" w:cs="Arial"/>
        </w:rPr>
        <w:t xml:space="preserve"> position to pay its short-term liabilities from its existing short-term liquid assets, without the need to use inventory.  </w:t>
      </w:r>
    </w:p>
    <w:p w14:paraId="1F2C08BD" w14:textId="77777777" w:rsidR="00292FF3" w:rsidRDefault="007B778C" w:rsidP="007B778C">
      <w:pPr>
        <w:spacing w:line="480" w:lineRule="auto"/>
        <w:rPr>
          <w:rFonts w:ascii="Arial" w:hAnsi="Arial" w:cs="Arial"/>
        </w:rPr>
      </w:pPr>
      <w:r w:rsidRPr="007B778C">
        <w:rPr>
          <w:rFonts w:ascii="Arial" w:hAnsi="Arial" w:cs="Arial"/>
        </w:rPr>
        <w:lastRenderedPageBreak/>
        <w:t>Profitability ratios showed an even faster signal; its net profit margin improved from -0.5% in 2022 to 5.3% in 2023 demonstrating the combination effect of cost management and greater SSUT revenues. Its efficiency ratios showed a signal in already better performing activity; its inventory turnover improved from 8.6 to 9.0 turns or rotations of inventory, demonstrating a quicker conversion of stock into revenues and reduced carrying costs. Its return on capital employed improved from 4.0% to more than double, at 10.2%, indicating Amazon's improved capacity to generate operating income from its invested capital.</w:t>
      </w:r>
    </w:p>
    <w:p w14:paraId="7E28B098" w14:textId="2C325759" w:rsidR="007B778C" w:rsidRDefault="007B778C" w:rsidP="007B778C">
      <w:pPr>
        <w:spacing w:line="480" w:lineRule="auto"/>
        <w:rPr>
          <w:rFonts w:ascii="Arial" w:hAnsi="Arial" w:cs="Arial"/>
        </w:rPr>
      </w:pPr>
      <w:r w:rsidRPr="007B778C">
        <w:rPr>
          <w:rFonts w:ascii="Arial" w:hAnsi="Arial" w:cs="Arial"/>
        </w:rPr>
        <w:t xml:space="preserve">This can all be measured in value, which is directly relevant to strategic recommendations. Maintaining cash conversion will be an improvement in working capital management that can be increased by a dynamic approach to its </w:t>
      </w:r>
      <w:r w:rsidRPr="007B778C">
        <w:rPr>
          <w:rFonts w:ascii="Arial" w:hAnsi="Arial" w:cs="Arial"/>
        </w:rPr>
        <w:t>receivables and</w:t>
      </w:r>
      <w:r w:rsidRPr="007B778C">
        <w:rPr>
          <w:rFonts w:ascii="Arial" w:hAnsi="Arial" w:cs="Arial"/>
        </w:rPr>
        <w:t xml:space="preserve"> extending terms with payables. Supplier rebate </w:t>
      </w:r>
      <w:r w:rsidRPr="007B778C">
        <w:rPr>
          <w:rFonts w:ascii="Arial" w:hAnsi="Arial" w:cs="Arial"/>
        </w:rPr>
        <w:t>negotiations and</w:t>
      </w:r>
      <w:r w:rsidRPr="007B778C">
        <w:rPr>
          <w:rFonts w:ascii="Arial" w:hAnsi="Arial" w:cs="Arial"/>
        </w:rPr>
        <w:t xml:space="preserve"> optimi</w:t>
      </w:r>
      <w:r w:rsidR="00292FF3">
        <w:rPr>
          <w:rFonts w:ascii="Arial" w:hAnsi="Arial" w:cs="Arial"/>
        </w:rPr>
        <w:t>s</w:t>
      </w:r>
      <w:r w:rsidRPr="007B778C">
        <w:rPr>
          <w:rFonts w:ascii="Arial" w:hAnsi="Arial" w:cs="Arial"/>
        </w:rPr>
        <w:t xml:space="preserve">ed contractual logistics could provide further value by improving gross profit. Sustainability-linked debt structures would have the added benefit of linking the cost of borrowed money to the company's ESG performance. Overall, the ratio analysis not only measured the speed and scale of Amazon's rebound, </w:t>
      </w:r>
      <w:r w:rsidR="00292FF3" w:rsidRPr="007B778C">
        <w:rPr>
          <w:rFonts w:ascii="Arial" w:hAnsi="Arial" w:cs="Arial"/>
        </w:rPr>
        <w:t>but it also</w:t>
      </w:r>
      <w:r w:rsidRPr="007B778C">
        <w:rPr>
          <w:rFonts w:ascii="Arial" w:hAnsi="Arial" w:cs="Arial"/>
        </w:rPr>
        <w:t xml:space="preserve"> provided a clear starter set of action recommendations to account for speed to maintain financial performance, while increasingly integrating longer-term environmental and social goals.</w:t>
      </w:r>
    </w:p>
    <w:p w14:paraId="48F70AA9" w14:textId="77777777" w:rsidR="003A573E" w:rsidRDefault="003A573E" w:rsidP="007B778C">
      <w:pPr>
        <w:spacing w:line="480" w:lineRule="auto"/>
        <w:rPr>
          <w:rFonts w:ascii="Arial" w:hAnsi="Arial" w:cs="Arial"/>
        </w:rPr>
      </w:pPr>
    </w:p>
    <w:p w14:paraId="42A7FD3D" w14:textId="77777777" w:rsidR="003A573E" w:rsidRDefault="003A573E" w:rsidP="007B778C">
      <w:pPr>
        <w:spacing w:line="480" w:lineRule="auto"/>
        <w:rPr>
          <w:rFonts w:ascii="Arial" w:hAnsi="Arial" w:cs="Arial"/>
        </w:rPr>
      </w:pPr>
    </w:p>
    <w:p w14:paraId="55B74DCC" w14:textId="77777777" w:rsidR="003A573E" w:rsidRDefault="003A573E" w:rsidP="007B778C">
      <w:pPr>
        <w:spacing w:line="480" w:lineRule="auto"/>
        <w:rPr>
          <w:rFonts w:ascii="Arial" w:hAnsi="Arial" w:cs="Arial"/>
        </w:rPr>
      </w:pPr>
    </w:p>
    <w:p w14:paraId="0343C5EC" w14:textId="77777777" w:rsidR="003A573E" w:rsidRDefault="003A573E" w:rsidP="007B778C">
      <w:pPr>
        <w:spacing w:line="480" w:lineRule="auto"/>
        <w:rPr>
          <w:rFonts w:ascii="Arial" w:hAnsi="Arial" w:cs="Arial"/>
        </w:rPr>
      </w:pPr>
    </w:p>
    <w:p w14:paraId="0883599D" w14:textId="77777777" w:rsidR="00C132C4" w:rsidRDefault="00C132C4" w:rsidP="007B778C">
      <w:pPr>
        <w:spacing w:line="480" w:lineRule="auto"/>
        <w:rPr>
          <w:rFonts w:ascii="Arial" w:hAnsi="Arial" w:cs="Arial"/>
        </w:rPr>
      </w:pPr>
    </w:p>
    <w:p w14:paraId="6046C2BF" w14:textId="4DA68684" w:rsidR="003A573E" w:rsidRPr="00391149" w:rsidRDefault="003A573E" w:rsidP="007B778C">
      <w:pPr>
        <w:spacing w:line="480" w:lineRule="auto"/>
        <w:rPr>
          <w:rFonts w:ascii="Arial" w:hAnsi="Arial" w:cs="Arial"/>
          <w:b/>
          <w:bCs/>
          <w:color w:val="153D63" w:themeColor="text2" w:themeTint="E6"/>
        </w:rPr>
      </w:pPr>
      <w:r w:rsidRPr="00391149">
        <w:rPr>
          <w:rFonts w:ascii="Arial" w:hAnsi="Arial" w:cs="Arial"/>
          <w:b/>
          <w:bCs/>
          <w:color w:val="153D63" w:themeColor="text2" w:themeTint="E6"/>
        </w:rPr>
        <w:lastRenderedPageBreak/>
        <w:t xml:space="preserve">References </w:t>
      </w:r>
    </w:p>
    <w:p w14:paraId="7FA13AD0" w14:textId="06E0BED5" w:rsidR="003A573E" w:rsidRPr="003A573E" w:rsidRDefault="003A573E" w:rsidP="003A573E">
      <w:pPr>
        <w:spacing w:line="480" w:lineRule="auto"/>
        <w:rPr>
          <w:rFonts w:ascii="Arial" w:hAnsi="Arial" w:cs="Arial"/>
        </w:rPr>
      </w:pPr>
      <w:r w:rsidRPr="003A573E">
        <w:rPr>
          <w:rFonts w:ascii="Arial" w:hAnsi="Arial" w:cs="Arial"/>
        </w:rPr>
        <w:t xml:space="preserve">Amazon.com, Inc. (2023). </w:t>
      </w:r>
      <w:r w:rsidRPr="003A573E">
        <w:rPr>
          <w:rFonts w:ascii="Arial" w:hAnsi="Arial" w:cs="Arial"/>
          <w:i/>
          <w:iCs/>
        </w:rPr>
        <w:t>Annual report 2023 (Form 10-K). U.S.</w:t>
      </w:r>
      <w:r w:rsidRPr="003A573E">
        <w:rPr>
          <w:rFonts w:ascii="Arial" w:hAnsi="Arial" w:cs="Arial"/>
        </w:rPr>
        <w:t xml:space="preserve"> Securities and Exchange Commission. </w:t>
      </w:r>
      <w:hyperlink r:id="rId7" w:history="1">
        <w:r w:rsidRPr="007672A4">
          <w:rPr>
            <w:rStyle w:val="Hyperlink"/>
            <w:rFonts w:ascii="Arial" w:hAnsi="Arial" w:cs="Arial"/>
          </w:rPr>
          <w:t>https://s2.q4cdn.com/299287126/files/doc_financials/2024/ar/Amazon-com-Inc-2023-Annual-Report.pdf</w:t>
        </w:r>
      </w:hyperlink>
      <w:r>
        <w:rPr>
          <w:rFonts w:ascii="Arial" w:hAnsi="Arial" w:cs="Arial"/>
        </w:rPr>
        <w:t xml:space="preserve"> </w:t>
      </w:r>
      <w:r w:rsidRPr="003A573E">
        <w:rPr>
          <w:rFonts w:ascii="Arial" w:hAnsi="Arial" w:cs="Arial"/>
        </w:rPr>
        <w:t xml:space="preserve"> </w:t>
      </w:r>
    </w:p>
    <w:p w14:paraId="675A3898" w14:textId="4D7A9192" w:rsidR="003A573E" w:rsidRPr="003A573E" w:rsidRDefault="003A573E" w:rsidP="003A573E">
      <w:pPr>
        <w:spacing w:line="480" w:lineRule="auto"/>
        <w:rPr>
          <w:rFonts w:ascii="Arial" w:hAnsi="Arial" w:cs="Arial"/>
        </w:rPr>
      </w:pPr>
      <w:r w:rsidRPr="003A573E">
        <w:rPr>
          <w:rFonts w:ascii="Arial" w:hAnsi="Arial" w:cs="Arial"/>
        </w:rPr>
        <w:t xml:space="preserve">Amazon.com, Inc. (2022). </w:t>
      </w:r>
      <w:r w:rsidRPr="003A573E">
        <w:rPr>
          <w:rFonts w:ascii="Arial" w:hAnsi="Arial" w:cs="Arial"/>
          <w:i/>
          <w:iCs/>
        </w:rPr>
        <w:t>Annual report 2022 (Form 10-K). U.S</w:t>
      </w:r>
      <w:r w:rsidRPr="003A573E">
        <w:rPr>
          <w:rFonts w:ascii="Arial" w:hAnsi="Arial" w:cs="Arial"/>
        </w:rPr>
        <w:t xml:space="preserve">. Securities and Exchange Commission. </w:t>
      </w:r>
      <w:hyperlink r:id="rId8" w:history="1">
        <w:r w:rsidRPr="007672A4">
          <w:rPr>
            <w:rStyle w:val="Hyperlink"/>
            <w:rFonts w:ascii="Arial" w:hAnsi="Arial" w:cs="Arial"/>
          </w:rPr>
          <w:t>https://www.annualreports.com/Company/amazoncom-inc</w:t>
        </w:r>
      </w:hyperlink>
      <w:r>
        <w:rPr>
          <w:rFonts w:ascii="Arial" w:hAnsi="Arial" w:cs="Arial"/>
        </w:rPr>
        <w:t xml:space="preserve"> </w:t>
      </w:r>
    </w:p>
    <w:p w14:paraId="0B3A02F4" w14:textId="77777777" w:rsidR="003A573E" w:rsidRDefault="003A573E" w:rsidP="003A573E">
      <w:pPr>
        <w:spacing w:line="480" w:lineRule="auto"/>
        <w:rPr>
          <w:rFonts w:ascii="Arial" w:hAnsi="Arial" w:cs="Arial"/>
          <w:i/>
          <w:iCs/>
        </w:rPr>
      </w:pPr>
      <w:r w:rsidRPr="003A573E">
        <w:rPr>
          <w:rFonts w:ascii="Arial" w:hAnsi="Arial" w:cs="Arial"/>
        </w:rPr>
        <w:t xml:space="preserve">Antonopoulos, D. (2023). </w:t>
      </w:r>
      <w:r w:rsidRPr="003A573E">
        <w:rPr>
          <w:rFonts w:ascii="Arial" w:hAnsi="Arial" w:cs="Arial"/>
          <w:i/>
          <w:iCs/>
        </w:rPr>
        <w:t>Financial performance and strategy for Microsoft and Amazon during Covid-19 pandemic.</w:t>
      </w:r>
    </w:p>
    <w:p w14:paraId="3DEAB8AA" w14:textId="721F8E17" w:rsidR="00C132C4" w:rsidRPr="00C132C4" w:rsidRDefault="00C132C4" w:rsidP="003A573E">
      <w:pPr>
        <w:spacing w:line="480" w:lineRule="auto"/>
        <w:rPr>
          <w:rFonts w:ascii="Arial" w:hAnsi="Arial" w:cs="Arial"/>
        </w:rPr>
      </w:pPr>
      <w:r w:rsidRPr="00C132C4">
        <w:rPr>
          <w:rFonts w:ascii="Arial" w:hAnsi="Arial" w:cs="Arial"/>
        </w:rPr>
        <w:t xml:space="preserve">Brigham, E. F., &amp; Houston, J. F. (2020). </w:t>
      </w:r>
      <w:r w:rsidRPr="00C132C4">
        <w:rPr>
          <w:rFonts w:ascii="Arial" w:hAnsi="Arial" w:cs="Arial"/>
          <w:i/>
          <w:iCs/>
        </w:rPr>
        <w:t>Fundamentals of financial management</w:t>
      </w:r>
      <w:r w:rsidRPr="00C132C4">
        <w:rPr>
          <w:rFonts w:ascii="Arial" w:hAnsi="Arial" w:cs="Arial"/>
        </w:rPr>
        <w:t xml:space="preserve"> (15th ed.). Cengage Learning.</w:t>
      </w:r>
    </w:p>
    <w:p w14:paraId="4B8FF50D" w14:textId="77777777" w:rsidR="003A573E" w:rsidRPr="003A573E" w:rsidRDefault="003A573E" w:rsidP="003A573E">
      <w:pPr>
        <w:spacing w:line="480" w:lineRule="auto"/>
        <w:rPr>
          <w:rFonts w:ascii="Arial" w:hAnsi="Arial" w:cs="Arial"/>
        </w:rPr>
      </w:pPr>
      <w:bookmarkStart w:id="0" w:name="_Hlk202961920"/>
      <w:r w:rsidRPr="003A573E">
        <w:rPr>
          <w:rFonts w:ascii="Arial" w:hAnsi="Arial" w:cs="Arial"/>
        </w:rPr>
        <w:t xml:space="preserve">Charles, I. I., &amp; </w:t>
      </w:r>
      <w:proofErr w:type="spellStart"/>
      <w:r w:rsidRPr="003A573E">
        <w:rPr>
          <w:rFonts w:ascii="Arial" w:hAnsi="Arial" w:cs="Arial"/>
        </w:rPr>
        <w:t>Uford</w:t>
      </w:r>
      <w:proofErr w:type="spellEnd"/>
      <w:r w:rsidRPr="003A573E">
        <w:rPr>
          <w:rFonts w:ascii="Arial" w:hAnsi="Arial" w:cs="Arial"/>
        </w:rPr>
        <w:t>, I. C. (2023)</w:t>
      </w:r>
      <w:bookmarkEnd w:id="0"/>
      <w:r w:rsidRPr="003A573E">
        <w:rPr>
          <w:rFonts w:ascii="Arial" w:hAnsi="Arial" w:cs="Arial"/>
        </w:rPr>
        <w:t xml:space="preserve">. Comparative analysis and evaluation of business and financial performance of Amazon.com: A three-year period critical review of exceptional success. </w:t>
      </w:r>
      <w:r w:rsidRPr="003A573E">
        <w:rPr>
          <w:rFonts w:ascii="Arial" w:hAnsi="Arial" w:cs="Arial"/>
          <w:i/>
          <w:iCs/>
        </w:rPr>
        <w:t>European Journal of Business, Economics and Accountancy, 11(</w:t>
      </w:r>
      <w:r w:rsidRPr="003A573E">
        <w:rPr>
          <w:rFonts w:ascii="Arial" w:hAnsi="Arial" w:cs="Arial"/>
        </w:rPr>
        <w:t>2), 69–92.</w:t>
      </w:r>
    </w:p>
    <w:p w14:paraId="6CB8C637" w14:textId="49F593CF" w:rsidR="003A573E" w:rsidRPr="003A573E" w:rsidRDefault="003A573E" w:rsidP="003A573E">
      <w:pPr>
        <w:spacing w:line="480" w:lineRule="auto"/>
        <w:rPr>
          <w:rFonts w:ascii="Arial" w:hAnsi="Arial" w:cs="Arial"/>
        </w:rPr>
      </w:pPr>
      <w:r w:rsidRPr="003A573E">
        <w:rPr>
          <w:rFonts w:ascii="Arial" w:hAnsi="Arial" w:cs="Arial"/>
        </w:rPr>
        <w:t xml:space="preserve">Cruz Lopez, D. E. (2023). </w:t>
      </w:r>
      <w:r w:rsidRPr="003A573E">
        <w:rPr>
          <w:rFonts w:ascii="Arial" w:hAnsi="Arial" w:cs="Arial"/>
          <w:i/>
          <w:iCs/>
        </w:rPr>
        <w:t>Amazon corporate analysis. SSRN</w:t>
      </w:r>
      <w:r w:rsidRPr="003A573E">
        <w:rPr>
          <w:rFonts w:ascii="Arial" w:hAnsi="Arial" w:cs="Arial"/>
        </w:rPr>
        <w:t xml:space="preserve">. </w:t>
      </w:r>
      <w:hyperlink r:id="rId9" w:history="1">
        <w:r w:rsidRPr="007672A4">
          <w:rPr>
            <w:rStyle w:val="Hyperlink"/>
            <w:rFonts w:ascii="Arial" w:hAnsi="Arial" w:cs="Arial"/>
          </w:rPr>
          <w:t>https://doi.org/10.2139/ssrn.4656587</w:t>
        </w:r>
      </w:hyperlink>
      <w:r>
        <w:rPr>
          <w:rFonts w:ascii="Arial" w:hAnsi="Arial" w:cs="Arial"/>
        </w:rPr>
        <w:t xml:space="preserve"> </w:t>
      </w:r>
    </w:p>
    <w:p w14:paraId="07992BA9" w14:textId="77777777" w:rsidR="003A573E" w:rsidRPr="003A573E" w:rsidRDefault="003A573E" w:rsidP="003A573E">
      <w:pPr>
        <w:spacing w:line="480" w:lineRule="auto"/>
        <w:rPr>
          <w:rFonts w:ascii="Arial" w:hAnsi="Arial" w:cs="Arial"/>
        </w:rPr>
      </w:pPr>
      <w:r w:rsidRPr="003A573E">
        <w:rPr>
          <w:rFonts w:ascii="Arial" w:hAnsi="Arial" w:cs="Arial"/>
        </w:rPr>
        <w:t xml:space="preserve">Damani, A. D., Nadar, D. S., </w:t>
      </w:r>
      <w:proofErr w:type="spellStart"/>
      <w:r w:rsidRPr="003A573E">
        <w:rPr>
          <w:rFonts w:ascii="Arial" w:hAnsi="Arial" w:cs="Arial"/>
        </w:rPr>
        <w:t>Navalkha</w:t>
      </w:r>
      <w:proofErr w:type="spellEnd"/>
      <w:r w:rsidRPr="003A573E">
        <w:rPr>
          <w:rFonts w:ascii="Arial" w:hAnsi="Arial" w:cs="Arial"/>
        </w:rPr>
        <w:t xml:space="preserve">, N. R., &amp; Nair, P. R. (2021). An empirical study of the financial ratios of the Indian Information Technology sector by applying factor analysis and substantiation of the results using cluster analysis. </w:t>
      </w:r>
      <w:r w:rsidRPr="003A573E">
        <w:rPr>
          <w:rFonts w:ascii="Arial" w:hAnsi="Arial" w:cs="Arial"/>
          <w:i/>
          <w:iCs/>
        </w:rPr>
        <w:t>Finance India, 35(</w:t>
      </w:r>
      <w:r w:rsidRPr="003A573E">
        <w:rPr>
          <w:rFonts w:ascii="Arial" w:hAnsi="Arial" w:cs="Arial"/>
        </w:rPr>
        <w:t>1), 1–23.</w:t>
      </w:r>
    </w:p>
    <w:p w14:paraId="1A2CB9A7" w14:textId="50218C8F" w:rsidR="003A573E" w:rsidRPr="003A573E" w:rsidRDefault="003A573E" w:rsidP="003A573E">
      <w:pPr>
        <w:spacing w:line="480" w:lineRule="auto"/>
        <w:rPr>
          <w:rFonts w:ascii="Arial" w:hAnsi="Arial" w:cs="Arial"/>
        </w:rPr>
      </w:pPr>
      <w:r w:rsidRPr="003A573E">
        <w:rPr>
          <w:rFonts w:ascii="Arial" w:hAnsi="Arial" w:cs="Arial"/>
        </w:rPr>
        <w:lastRenderedPageBreak/>
        <w:t xml:space="preserve">Delventhal, S. (2015). </w:t>
      </w:r>
      <w:r w:rsidRPr="003A573E">
        <w:rPr>
          <w:rFonts w:ascii="Arial" w:hAnsi="Arial" w:cs="Arial"/>
          <w:i/>
          <w:iCs/>
        </w:rPr>
        <w:t>Series A, B, C funding: What it all means and how it works</w:t>
      </w:r>
      <w:r w:rsidRPr="003A573E">
        <w:rPr>
          <w:rFonts w:ascii="Arial" w:hAnsi="Arial" w:cs="Arial"/>
        </w:rPr>
        <w:t xml:space="preserve">. Investopedia. </w:t>
      </w:r>
      <w:hyperlink r:id="rId10" w:history="1">
        <w:r w:rsidRPr="007672A4">
          <w:rPr>
            <w:rStyle w:val="Hyperlink"/>
            <w:rFonts w:ascii="Arial" w:hAnsi="Arial" w:cs="Arial"/>
          </w:rPr>
          <w:t>http://www.investopedia.com/articles/personal-finance/102015/series-b-c-funding-what-it-all-means-and-how-it-works.asp#ixzz47FO4KNhd</w:t>
        </w:r>
      </w:hyperlink>
      <w:r>
        <w:rPr>
          <w:rFonts w:ascii="Arial" w:hAnsi="Arial" w:cs="Arial"/>
        </w:rPr>
        <w:t xml:space="preserve"> </w:t>
      </w:r>
    </w:p>
    <w:p w14:paraId="40DB0B8B" w14:textId="77777777" w:rsidR="003A573E" w:rsidRPr="003A573E" w:rsidRDefault="003A573E" w:rsidP="003A573E">
      <w:pPr>
        <w:spacing w:line="480" w:lineRule="auto"/>
        <w:rPr>
          <w:rFonts w:ascii="Arial" w:hAnsi="Arial" w:cs="Arial"/>
        </w:rPr>
      </w:pPr>
      <w:r w:rsidRPr="003A573E">
        <w:rPr>
          <w:rFonts w:ascii="Arial" w:hAnsi="Arial" w:cs="Arial"/>
        </w:rPr>
        <w:t xml:space="preserve">Edison, H. J., Levine, R., Ricci, L., &amp; Sløk, T. (2002). International financial integration and economic growth. </w:t>
      </w:r>
      <w:r w:rsidRPr="003A573E">
        <w:rPr>
          <w:rFonts w:ascii="Arial" w:hAnsi="Arial" w:cs="Arial"/>
          <w:i/>
          <w:iCs/>
        </w:rPr>
        <w:t>Journal of International Money and Finance, 21(</w:t>
      </w:r>
      <w:r w:rsidRPr="003A573E">
        <w:rPr>
          <w:rFonts w:ascii="Arial" w:hAnsi="Arial" w:cs="Arial"/>
        </w:rPr>
        <w:t>6), 749–776.</w:t>
      </w:r>
    </w:p>
    <w:p w14:paraId="2E569F1A" w14:textId="77777777" w:rsidR="003A573E" w:rsidRPr="003A573E" w:rsidRDefault="003A573E" w:rsidP="003A573E">
      <w:pPr>
        <w:spacing w:line="480" w:lineRule="auto"/>
        <w:rPr>
          <w:rFonts w:ascii="Arial" w:hAnsi="Arial" w:cs="Arial"/>
        </w:rPr>
      </w:pPr>
      <w:r w:rsidRPr="003A573E">
        <w:rPr>
          <w:rFonts w:ascii="Arial" w:hAnsi="Arial" w:cs="Arial"/>
        </w:rPr>
        <w:t xml:space="preserve">Garman, E. T., &amp; Forgue, R. E. (2003). </w:t>
      </w:r>
      <w:r w:rsidRPr="003A573E">
        <w:rPr>
          <w:rFonts w:ascii="Arial" w:hAnsi="Arial" w:cs="Arial"/>
          <w:i/>
          <w:iCs/>
        </w:rPr>
        <w:t>Personal finance</w:t>
      </w:r>
      <w:r w:rsidRPr="003A573E">
        <w:rPr>
          <w:rFonts w:ascii="Arial" w:hAnsi="Arial" w:cs="Arial"/>
        </w:rPr>
        <w:t xml:space="preserve"> (7th ed.). Boston: Houghton Mifflin Company.</w:t>
      </w:r>
    </w:p>
    <w:p w14:paraId="4C22667C" w14:textId="724684D2" w:rsidR="003A573E" w:rsidRPr="003A573E" w:rsidRDefault="003A573E" w:rsidP="003A573E">
      <w:pPr>
        <w:spacing w:line="480" w:lineRule="auto"/>
        <w:rPr>
          <w:rFonts w:ascii="Arial" w:hAnsi="Arial" w:cs="Arial"/>
        </w:rPr>
      </w:pPr>
      <w:r w:rsidRPr="003A573E">
        <w:rPr>
          <w:rFonts w:ascii="Arial" w:hAnsi="Arial" w:cs="Arial"/>
        </w:rPr>
        <w:t>Greiner, L. E. (1967). Patterns of organi</w:t>
      </w:r>
      <w:r>
        <w:rPr>
          <w:rFonts w:ascii="Arial" w:hAnsi="Arial" w:cs="Arial"/>
        </w:rPr>
        <w:t>s</w:t>
      </w:r>
      <w:r w:rsidRPr="003A573E">
        <w:rPr>
          <w:rFonts w:ascii="Arial" w:hAnsi="Arial" w:cs="Arial"/>
        </w:rPr>
        <w:t xml:space="preserve">ation change. Harvard Business Review. </w:t>
      </w:r>
      <w:hyperlink r:id="rId11" w:history="1">
        <w:r w:rsidRPr="007672A4">
          <w:rPr>
            <w:rStyle w:val="Hyperlink"/>
            <w:rFonts w:ascii="Arial" w:hAnsi="Arial" w:cs="Arial"/>
          </w:rPr>
          <w:t>https://hbr.org/1967/05/patterns-of-organi</w:t>
        </w:r>
        <w:r w:rsidRPr="007672A4">
          <w:rPr>
            <w:rStyle w:val="Hyperlink"/>
            <w:rFonts w:ascii="Arial" w:hAnsi="Arial" w:cs="Arial"/>
          </w:rPr>
          <w:t>s</w:t>
        </w:r>
        <w:r w:rsidRPr="007672A4">
          <w:rPr>
            <w:rStyle w:val="Hyperlink"/>
            <w:rFonts w:ascii="Arial" w:hAnsi="Arial" w:cs="Arial"/>
          </w:rPr>
          <w:t>ation-change</w:t>
        </w:r>
      </w:hyperlink>
      <w:r>
        <w:rPr>
          <w:rFonts w:ascii="Arial" w:hAnsi="Arial" w:cs="Arial"/>
        </w:rPr>
        <w:t xml:space="preserve"> </w:t>
      </w:r>
    </w:p>
    <w:p w14:paraId="5EC28C2B" w14:textId="77777777" w:rsidR="003A573E" w:rsidRPr="003A573E" w:rsidRDefault="003A573E" w:rsidP="003A573E">
      <w:pPr>
        <w:spacing w:line="480" w:lineRule="auto"/>
        <w:rPr>
          <w:rFonts w:ascii="Arial" w:hAnsi="Arial" w:cs="Arial"/>
        </w:rPr>
      </w:pPr>
      <w:r w:rsidRPr="003A573E">
        <w:rPr>
          <w:rFonts w:ascii="Arial" w:hAnsi="Arial" w:cs="Arial"/>
        </w:rPr>
        <w:t xml:space="preserve">Gupta, M. C., &amp; Huefner, R. J. (1972). A cluster analysis study of financial ratios and industry characteristics. </w:t>
      </w:r>
      <w:r w:rsidRPr="003A573E">
        <w:rPr>
          <w:rFonts w:ascii="Arial" w:hAnsi="Arial" w:cs="Arial"/>
          <w:i/>
          <w:iCs/>
        </w:rPr>
        <w:t>Journal of Accounting Research</w:t>
      </w:r>
      <w:r w:rsidRPr="003A573E">
        <w:rPr>
          <w:rFonts w:ascii="Arial" w:hAnsi="Arial" w:cs="Arial"/>
        </w:rPr>
        <w:t>, 77–95.</w:t>
      </w:r>
    </w:p>
    <w:p w14:paraId="688847C1" w14:textId="1A0EBAA8" w:rsidR="003A573E" w:rsidRPr="003A573E" w:rsidRDefault="003A573E" w:rsidP="003A573E">
      <w:pPr>
        <w:spacing w:line="480" w:lineRule="auto"/>
        <w:rPr>
          <w:rFonts w:ascii="Arial" w:hAnsi="Arial" w:cs="Arial"/>
        </w:rPr>
      </w:pPr>
      <w:r w:rsidRPr="003A573E">
        <w:rPr>
          <w:rFonts w:ascii="Arial" w:hAnsi="Arial" w:cs="Arial"/>
        </w:rPr>
        <w:t xml:space="preserve">Harvard Business Review. (2002). Why business models matter. </w:t>
      </w:r>
      <w:hyperlink r:id="rId12" w:history="1">
        <w:r w:rsidRPr="007672A4">
          <w:rPr>
            <w:rStyle w:val="Hyperlink"/>
            <w:rFonts w:ascii="Arial" w:hAnsi="Arial" w:cs="Arial"/>
          </w:rPr>
          <w:t>https://hbr.org/2002/05/why-business-models-matter</w:t>
        </w:r>
      </w:hyperlink>
      <w:r>
        <w:rPr>
          <w:rFonts w:ascii="Arial" w:hAnsi="Arial" w:cs="Arial"/>
        </w:rPr>
        <w:t xml:space="preserve"> </w:t>
      </w:r>
    </w:p>
    <w:p w14:paraId="4F3593CD" w14:textId="756054CB" w:rsidR="003A573E" w:rsidRPr="003A573E" w:rsidRDefault="003A573E" w:rsidP="003A573E">
      <w:pPr>
        <w:spacing w:line="480" w:lineRule="auto"/>
        <w:rPr>
          <w:rFonts w:ascii="Arial" w:hAnsi="Arial" w:cs="Arial"/>
        </w:rPr>
      </w:pPr>
      <w:r w:rsidRPr="003A573E">
        <w:rPr>
          <w:rFonts w:ascii="Arial" w:hAnsi="Arial" w:cs="Arial"/>
        </w:rPr>
        <w:t xml:space="preserve">Investing Answers. (2016). Gross margin definition &amp; example. </w:t>
      </w:r>
      <w:hyperlink r:id="rId13" w:history="1">
        <w:r w:rsidRPr="007672A4">
          <w:rPr>
            <w:rStyle w:val="Hyperlink"/>
            <w:rFonts w:ascii="Arial" w:hAnsi="Arial" w:cs="Arial"/>
          </w:rPr>
          <w:t>http://www.investinganswers.com/financial-dictionary/financial-statement-analysis/gross-margin-974</w:t>
        </w:r>
      </w:hyperlink>
      <w:r>
        <w:rPr>
          <w:rFonts w:ascii="Arial" w:hAnsi="Arial" w:cs="Arial"/>
        </w:rPr>
        <w:t xml:space="preserve"> </w:t>
      </w:r>
    </w:p>
    <w:p w14:paraId="5573ED66" w14:textId="7AE20EF8" w:rsidR="003A573E" w:rsidRPr="003A573E" w:rsidRDefault="003A573E" w:rsidP="003A573E">
      <w:pPr>
        <w:spacing w:line="480" w:lineRule="auto"/>
        <w:rPr>
          <w:rFonts w:ascii="Arial" w:hAnsi="Arial" w:cs="Arial"/>
        </w:rPr>
      </w:pPr>
      <w:r w:rsidRPr="003A573E">
        <w:rPr>
          <w:rFonts w:ascii="Arial" w:hAnsi="Arial" w:cs="Arial"/>
        </w:rPr>
        <w:t xml:space="preserve">Investing Answers. (2017). Inflation risk definition &amp; example. </w:t>
      </w:r>
      <w:hyperlink r:id="rId14" w:history="1">
        <w:r w:rsidRPr="007672A4">
          <w:rPr>
            <w:rStyle w:val="Hyperlink"/>
            <w:rFonts w:ascii="Arial" w:hAnsi="Arial" w:cs="Arial"/>
          </w:rPr>
          <w:t>http://www.investinganswers.com/inflation-risk-974</w:t>
        </w:r>
      </w:hyperlink>
      <w:r>
        <w:rPr>
          <w:rFonts w:ascii="Arial" w:hAnsi="Arial" w:cs="Arial"/>
        </w:rPr>
        <w:t xml:space="preserve"> </w:t>
      </w:r>
    </w:p>
    <w:p w14:paraId="5B67384C" w14:textId="77777777" w:rsidR="003A573E" w:rsidRDefault="003A573E" w:rsidP="003A573E">
      <w:pPr>
        <w:spacing w:line="480" w:lineRule="auto"/>
        <w:rPr>
          <w:rFonts w:ascii="Arial" w:hAnsi="Arial" w:cs="Arial"/>
        </w:rPr>
      </w:pPr>
      <w:r w:rsidRPr="003A573E">
        <w:rPr>
          <w:rFonts w:ascii="Arial" w:hAnsi="Arial" w:cs="Arial"/>
        </w:rPr>
        <w:t xml:space="preserve">Kapoor, J., </w:t>
      </w:r>
      <w:proofErr w:type="spellStart"/>
      <w:r w:rsidRPr="003A573E">
        <w:rPr>
          <w:rFonts w:ascii="Arial" w:hAnsi="Arial" w:cs="Arial"/>
        </w:rPr>
        <w:t>Dlabay</w:t>
      </w:r>
      <w:proofErr w:type="spellEnd"/>
      <w:r w:rsidRPr="003A573E">
        <w:rPr>
          <w:rFonts w:ascii="Arial" w:hAnsi="Arial" w:cs="Arial"/>
        </w:rPr>
        <w:t xml:space="preserve">, L., &amp; Hughes, R. (2015). </w:t>
      </w:r>
      <w:r w:rsidRPr="003A573E">
        <w:rPr>
          <w:rFonts w:ascii="Arial" w:hAnsi="Arial" w:cs="Arial"/>
          <w:i/>
          <w:iCs/>
        </w:rPr>
        <w:t>Personal finance</w:t>
      </w:r>
      <w:r w:rsidRPr="003A573E">
        <w:rPr>
          <w:rFonts w:ascii="Arial" w:hAnsi="Arial" w:cs="Arial"/>
        </w:rPr>
        <w:t xml:space="preserve"> (11th ed.). Boston: McGraw-Hill/Irwin.</w:t>
      </w:r>
    </w:p>
    <w:p w14:paraId="3C8B9387" w14:textId="7A08DF8C" w:rsidR="00C132C4" w:rsidRPr="003A573E" w:rsidRDefault="00C132C4" w:rsidP="003A573E">
      <w:pPr>
        <w:spacing w:line="480" w:lineRule="auto"/>
        <w:rPr>
          <w:rFonts w:ascii="Arial" w:hAnsi="Arial" w:cs="Arial"/>
        </w:rPr>
      </w:pPr>
      <w:r w:rsidRPr="00C132C4">
        <w:rPr>
          <w:rFonts w:ascii="Arial" w:hAnsi="Arial" w:cs="Arial"/>
        </w:rPr>
        <w:t xml:space="preserve">Krueger, P., Sautner, Z., &amp; Starks, L. T. (2020). The importance of climate risks for institutional investors. </w:t>
      </w:r>
      <w:r w:rsidRPr="00C132C4">
        <w:rPr>
          <w:rFonts w:ascii="Arial" w:hAnsi="Arial" w:cs="Arial"/>
          <w:i/>
          <w:iCs/>
        </w:rPr>
        <w:t>Review of Financial Studies, 33(</w:t>
      </w:r>
      <w:r w:rsidRPr="00C132C4">
        <w:rPr>
          <w:rFonts w:ascii="Arial" w:hAnsi="Arial" w:cs="Arial"/>
        </w:rPr>
        <w:t>3), 1067–1111.</w:t>
      </w:r>
    </w:p>
    <w:p w14:paraId="21E79813" w14:textId="6A921608" w:rsidR="003A573E" w:rsidRDefault="003A573E" w:rsidP="003A573E">
      <w:pPr>
        <w:spacing w:line="480" w:lineRule="auto"/>
        <w:rPr>
          <w:rFonts w:ascii="Arial" w:hAnsi="Arial" w:cs="Arial"/>
        </w:rPr>
      </w:pPr>
      <w:r w:rsidRPr="003A573E">
        <w:rPr>
          <w:rFonts w:ascii="Arial" w:hAnsi="Arial" w:cs="Arial"/>
        </w:rPr>
        <w:lastRenderedPageBreak/>
        <w:t xml:space="preserve">ManagementHelp.org. (2016). </w:t>
      </w:r>
      <w:r w:rsidRPr="003A573E">
        <w:rPr>
          <w:rFonts w:ascii="Arial" w:hAnsi="Arial" w:cs="Arial"/>
          <w:i/>
          <w:iCs/>
        </w:rPr>
        <w:t>All about financial management in business</w:t>
      </w:r>
      <w:r w:rsidRPr="003A573E">
        <w:rPr>
          <w:rFonts w:ascii="Arial" w:hAnsi="Arial" w:cs="Arial"/>
        </w:rPr>
        <w:t xml:space="preserve">. </w:t>
      </w:r>
      <w:hyperlink r:id="rId15" w:history="1">
        <w:r w:rsidRPr="007672A4">
          <w:rPr>
            <w:rStyle w:val="Hyperlink"/>
            <w:rFonts w:ascii="Arial" w:hAnsi="Arial" w:cs="Arial"/>
          </w:rPr>
          <w:t>http://www.managementhelp.org/business-finance/</w:t>
        </w:r>
      </w:hyperlink>
      <w:r>
        <w:rPr>
          <w:rFonts w:ascii="Arial" w:hAnsi="Arial" w:cs="Arial"/>
        </w:rPr>
        <w:t xml:space="preserve"> </w:t>
      </w:r>
    </w:p>
    <w:p w14:paraId="33F929BB" w14:textId="5CEE3D04" w:rsidR="003A573E" w:rsidRPr="003A573E" w:rsidRDefault="003A573E" w:rsidP="003A573E">
      <w:pPr>
        <w:spacing w:line="480" w:lineRule="auto"/>
        <w:rPr>
          <w:rFonts w:ascii="Arial" w:hAnsi="Arial" w:cs="Arial"/>
        </w:rPr>
      </w:pPr>
      <w:r w:rsidRPr="003A573E">
        <w:rPr>
          <w:rFonts w:ascii="Arial" w:hAnsi="Arial" w:cs="Arial"/>
        </w:rPr>
        <w:t xml:space="preserve">McKinsey &amp; Company. (2023). </w:t>
      </w:r>
      <w:r w:rsidRPr="003A573E">
        <w:rPr>
          <w:rFonts w:ascii="Arial" w:hAnsi="Arial" w:cs="Arial"/>
          <w:i/>
          <w:iCs/>
        </w:rPr>
        <w:t>Sustainability’s fast</w:t>
      </w:r>
      <w:r w:rsidRPr="003A573E">
        <w:rPr>
          <w:rFonts w:ascii="Cambria Math" w:hAnsi="Cambria Math" w:cs="Cambria Math"/>
          <w:i/>
          <w:iCs/>
        </w:rPr>
        <w:t>‐</w:t>
      </w:r>
      <w:r w:rsidRPr="003A573E">
        <w:rPr>
          <w:rFonts w:ascii="Arial" w:hAnsi="Arial" w:cs="Arial"/>
          <w:i/>
          <w:iCs/>
        </w:rPr>
        <w:t>start guide: How environmental initiatives drive business value.</w:t>
      </w:r>
      <w:r w:rsidRPr="003A573E">
        <w:rPr>
          <w:rFonts w:ascii="Arial" w:hAnsi="Arial" w:cs="Arial"/>
        </w:rPr>
        <w:t xml:space="preserve"> McKinsey &amp; Company.</w:t>
      </w:r>
    </w:p>
    <w:p w14:paraId="4CC1C9EC" w14:textId="77777777" w:rsidR="003A573E" w:rsidRPr="003A573E" w:rsidRDefault="003A573E" w:rsidP="003A573E">
      <w:pPr>
        <w:spacing w:line="480" w:lineRule="auto"/>
        <w:rPr>
          <w:rFonts w:ascii="Arial" w:hAnsi="Arial" w:cs="Arial"/>
        </w:rPr>
      </w:pPr>
      <w:r w:rsidRPr="003A573E">
        <w:rPr>
          <w:rFonts w:ascii="Arial" w:hAnsi="Arial" w:cs="Arial"/>
        </w:rPr>
        <w:t xml:space="preserve">Ohlson, J. A. (1995). Earnings, book values and dividends in equity valuation. </w:t>
      </w:r>
      <w:r w:rsidRPr="003A573E">
        <w:rPr>
          <w:rFonts w:ascii="Arial" w:hAnsi="Arial" w:cs="Arial"/>
          <w:i/>
          <w:iCs/>
        </w:rPr>
        <w:t>Contemporary Accounting Research, 11(</w:t>
      </w:r>
      <w:r w:rsidRPr="003A573E">
        <w:rPr>
          <w:rFonts w:ascii="Arial" w:hAnsi="Arial" w:cs="Arial"/>
        </w:rPr>
        <w:t>2), 661–688.</w:t>
      </w:r>
    </w:p>
    <w:p w14:paraId="416C4557" w14:textId="77777777" w:rsidR="003A573E" w:rsidRPr="003A573E" w:rsidRDefault="003A573E" w:rsidP="003A573E">
      <w:pPr>
        <w:spacing w:line="480" w:lineRule="auto"/>
        <w:rPr>
          <w:rFonts w:ascii="Arial" w:hAnsi="Arial" w:cs="Arial"/>
        </w:rPr>
      </w:pPr>
      <w:r w:rsidRPr="003A573E">
        <w:rPr>
          <w:rFonts w:ascii="Arial" w:hAnsi="Arial" w:cs="Arial"/>
        </w:rPr>
        <w:t xml:space="preserve">Thomas, J., &amp; </w:t>
      </w:r>
      <w:proofErr w:type="spellStart"/>
      <w:r w:rsidRPr="003A573E">
        <w:rPr>
          <w:rFonts w:ascii="Arial" w:hAnsi="Arial" w:cs="Arial"/>
        </w:rPr>
        <w:t>Rabiyathul</w:t>
      </w:r>
      <w:proofErr w:type="spellEnd"/>
      <w:r w:rsidRPr="003A573E">
        <w:rPr>
          <w:rFonts w:ascii="Arial" w:hAnsi="Arial" w:cs="Arial"/>
        </w:rPr>
        <w:t xml:space="preserve"> </w:t>
      </w:r>
      <w:proofErr w:type="spellStart"/>
      <w:r w:rsidRPr="003A573E">
        <w:rPr>
          <w:rFonts w:ascii="Arial" w:hAnsi="Arial" w:cs="Arial"/>
        </w:rPr>
        <w:t>Basariya</w:t>
      </w:r>
      <w:proofErr w:type="spellEnd"/>
      <w:r w:rsidRPr="003A573E">
        <w:rPr>
          <w:rFonts w:ascii="Arial" w:hAnsi="Arial" w:cs="Arial"/>
        </w:rPr>
        <w:t xml:space="preserve">, S. (2019). A study on the issues of financial ratio analysis. </w:t>
      </w:r>
      <w:r w:rsidRPr="003A573E">
        <w:rPr>
          <w:rFonts w:ascii="Arial" w:hAnsi="Arial" w:cs="Arial"/>
          <w:i/>
          <w:iCs/>
        </w:rPr>
        <w:t>Indian Journal of Public Health Research &amp; Development, 10(</w:t>
      </w:r>
      <w:r w:rsidRPr="003A573E">
        <w:rPr>
          <w:rFonts w:ascii="Arial" w:hAnsi="Arial" w:cs="Arial"/>
        </w:rPr>
        <w:t>3), 407–412.</w:t>
      </w:r>
    </w:p>
    <w:p w14:paraId="71ACF5F1" w14:textId="77777777" w:rsidR="003A573E" w:rsidRPr="003A573E" w:rsidRDefault="003A573E" w:rsidP="003A573E">
      <w:pPr>
        <w:spacing w:line="480" w:lineRule="auto"/>
        <w:rPr>
          <w:rFonts w:ascii="Arial" w:hAnsi="Arial" w:cs="Arial"/>
        </w:rPr>
      </w:pPr>
      <w:r w:rsidRPr="003A573E">
        <w:rPr>
          <w:rFonts w:ascii="Arial" w:hAnsi="Arial" w:cs="Arial"/>
        </w:rPr>
        <w:t xml:space="preserve">Tracy, A. (2012). </w:t>
      </w:r>
      <w:r w:rsidRPr="003A573E">
        <w:rPr>
          <w:rFonts w:ascii="Arial" w:hAnsi="Arial" w:cs="Arial"/>
          <w:i/>
          <w:iCs/>
        </w:rPr>
        <w:t>Ratio analysis fundamentals: How 17 financial ratios can allow you to analyse any business on the planet</w:t>
      </w:r>
      <w:r w:rsidRPr="003A573E">
        <w:rPr>
          <w:rFonts w:ascii="Arial" w:hAnsi="Arial" w:cs="Arial"/>
        </w:rPr>
        <w:t>. RatioAnalysis.net.</w:t>
      </w:r>
    </w:p>
    <w:p w14:paraId="2B5A0330" w14:textId="13640881" w:rsidR="003A573E" w:rsidRPr="007B778C" w:rsidRDefault="003A573E" w:rsidP="003A573E">
      <w:pPr>
        <w:spacing w:line="480" w:lineRule="auto"/>
        <w:rPr>
          <w:rFonts w:ascii="Arial" w:hAnsi="Arial" w:cs="Arial"/>
        </w:rPr>
      </w:pPr>
      <w:r w:rsidRPr="003A573E">
        <w:rPr>
          <w:rFonts w:ascii="Arial" w:hAnsi="Arial" w:cs="Arial"/>
        </w:rPr>
        <w:t xml:space="preserve">Walls, J. L., Berrone, P., &amp; Phan, P. H. (2012). Corporate governance and environmental performance: Is there really a link? </w:t>
      </w:r>
      <w:r w:rsidRPr="003A573E">
        <w:rPr>
          <w:rFonts w:ascii="Arial" w:hAnsi="Arial" w:cs="Arial"/>
          <w:i/>
          <w:iCs/>
        </w:rPr>
        <w:t>Strategic Management Journal, 33(</w:t>
      </w:r>
      <w:r w:rsidRPr="003A573E">
        <w:rPr>
          <w:rFonts w:ascii="Arial" w:hAnsi="Arial" w:cs="Arial"/>
        </w:rPr>
        <w:t>8), 885–913.</w:t>
      </w:r>
    </w:p>
    <w:sectPr w:rsidR="003A573E" w:rsidRPr="007B778C" w:rsidSect="00391149">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A0ECE6" w14:textId="77777777" w:rsidR="00C9659E" w:rsidRDefault="00C9659E" w:rsidP="009D682E">
      <w:pPr>
        <w:spacing w:after="0" w:line="240" w:lineRule="auto"/>
      </w:pPr>
      <w:r>
        <w:separator/>
      </w:r>
    </w:p>
  </w:endnote>
  <w:endnote w:type="continuationSeparator" w:id="0">
    <w:p w14:paraId="69D71C2D" w14:textId="77777777" w:rsidR="00C9659E" w:rsidRDefault="00C9659E" w:rsidP="009D6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77C532" w14:textId="77777777" w:rsidR="00C9659E" w:rsidRDefault="00C9659E" w:rsidP="009D682E">
      <w:pPr>
        <w:spacing w:after="0" w:line="240" w:lineRule="auto"/>
      </w:pPr>
      <w:r>
        <w:separator/>
      </w:r>
    </w:p>
  </w:footnote>
  <w:footnote w:type="continuationSeparator" w:id="0">
    <w:p w14:paraId="213B883B" w14:textId="77777777" w:rsidR="00C9659E" w:rsidRDefault="00C9659E" w:rsidP="009D68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1768716"/>
      <w:docPartObj>
        <w:docPartGallery w:val="Page Numbers (Top of Page)"/>
        <w:docPartUnique/>
      </w:docPartObj>
    </w:sdtPr>
    <w:sdtEndPr>
      <w:rPr>
        <w:noProof/>
      </w:rPr>
    </w:sdtEndPr>
    <w:sdtContent>
      <w:p w14:paraId="7FF81824" w14:textId="61F6FCBC" w:rsidR="009D682E" w:rsidRDefault="009D682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96FFE3A" w14:textId="77777777" w:rsidR="009D682E" w:rsidRDefault="009D68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72083"/>
    <w:multiLevelType w:val="hybridMultilevel"/>
    <w:tmpl w:val="D444D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1562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78C"/>
    <w:rsid w:val="00292FF3"/>
    <w:rsid w:val="00391149"/>
    <w:rsid w:val="003A573E"/>
    <w:rsid w:val="006316C9"/>
    <w:rsid w:val="00695E13"/>
    <w:rsid w:val="007B778C"/>
    <w:rsid w:val="008D5AF5"/>
    <w:rsid w:val="008F6BEE"/>
    <w:rsid w:val="009800F1"/>
    <w:rsid w:val="009D682E"/>
    <w:rsid w:val="00C132C4"/>
    <w:rsid w:val="00C96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3FC18"/>
  <w15:chartTrackingRefBased/>
  <w15:docId w15:val="{0952BC3E-7337-4EB0-902C-8EE768401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77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77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77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77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77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77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77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77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77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7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77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77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77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77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77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77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77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778C"/>
    <w:rPr>
      <w:rFonts w:eastAsiaTheme="majorEastAsia" w:cstheme="majorBidi"/>
      <w:color w:val="272727" w:themeColor="text1" w:themeTint="D8"/>
    </w:rPr>
  </w:style>
  <w:style w:type="paragraph" w:styleId="Title">
    <w:name w:val="Title"/>
    <w:basedOn w:val="Normal"/>
    <w:next w:val="Normal"/>
    <w:link w:val="TitleChar"/>
    <w:uiPriority w:val="10"/>
    <w:qFormat/>
    <w:rsid w:val="007B77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7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7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7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78C"/>
    <w:pPr>
      <w:spacing w:before="160"/>
      <w:jc w:val="center"/>
    </w:pPr>
    <w:rPr>
      <w:i/>
      <w:iCs/>
      <w:color w:val="404040" w:themeColor="text1" w:themeTint="BF"/>
    </w:rPr>
  </w:style>
  <w:style w:type="character" w:customStyle="1" w:styleId="QuoteChar">
    <w:name w:val="Quote Char"/>
    <w:basedOn w:val="DefaultParagraphFont"/>
    <w:link w:val="Quote"/>
    <w:uiPriority w:val="29"/>
    <w:rsid w:val="007B778C"/>
    <w:rPr>
      <w:i/>
      <w:iCs/>
      <w:color w:val="404040" w:themeColor="text1" w:themeTint="BF"/>
    </w:rPr>
  </w:style>
  <w:style w:type="paragraph" w:styleId="ListParagraph">
    <w:name w:val="List Paragraph"/>
    <w:basedOn w:val="Normal"/>
    <w:uiPriority w:val="34"/>
    <w:qFormat/>
    <w:rsid w:val="007B778C"/>
    <w:pPr>
      <w:ind w:left="720"/>
      <w:contextualSpacing/>
    </w:pPr>
  </w:style>
  <w:style w:type="character" w:styleId="IntenseEmphasis">
    <w:name w:val="Intense Emphasis"/>
    <w:basedOn w:val="DefaultParagraphFont"/>
    <w:uiPriority w:val="21"/>
    <w:qFormat/>
    <w:rsid w:val="007B778C"/>
    <w:rPr>
      <w:i/>
      <w:iCs/>
      <w:color w:val="0F4761" w:themeColor="accent1" w:themeShade="BF"/>
    </w:rPr>
  </w:style>
  <w:style w:type="paragraph" w:styleId="IntenseQuote">
    <w:name w:val="Intense Quote"/>
    <w:basedOn w:val="Normal"/>
    <w:next w:val="Normal"/>
    <w:link w:val="IntenseQuoteChar"/>
    <w:uiPriority w:val="30"/>
    <w:qFormat/>
    <w:rsid w:val="007B77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778C"/>
    <w:rPr>
      <w:i/>
      <w:iCs/>
      <w:color w:val="0F4761" w:themeColor="accent1" w:themeShade="BF"/>
    </w:rPr>
  </w:style>
  <w:style w:type="character" w:styleId="IntenseReference">
    <w:name w:val="Intense Reference"/>
    <w:basedOn w:val="DefaultParagraphFont"/>
    <w:uiPriority w:val="32"/>
    <w:qFormat/>
    <w:rsid w:val="007B778C"/>
    <w:rPr>
      <w:b/>
      <w:bCs/>
      <w:smallCaps/>
      <w:color w:val="0F4761" w:themeColor="accent1" w:themeShade="BF"/>
      <w:spacing w:val="5"/>
    </w:rPr>
  </w:style>
  <w:style w:type="character" w:styleId="Hyperlink">
    <w:name w:val="Hyperlink"/>
    <w:basedOn w:val="DefaultParagraphFont"/>
    <w:uiPriority w:val="99"/>
    <w:unhideWhenUsed/>
    <w:rsid w:val="003A573E"/>
    <w:rPr>
      <w:color w:val="467886" w:themeColor="hyperlink"/>
      <w:u w:val="single"/>
    </w:rPr>
  </w:style>
  <w:style w:type="character" w:styleId="UnresolvedMention">
    <w:name w:val="Unresolved Mention"/>
    <w:basedOn w:val="DefaultParagraphFont"/>
    <w:uiPriority w:val="99"/>
    <w:semiHidden/>
    <w:unhideWhenUsed/>
    <w:rsid w:val="003A573E"/>
    <w:rPr>
      <w:color w:val="605E5C"/>
      <w:shd w:val="clear" w:color="auto" w:fill="E1DFDD"/>
    </w:rPr>
  </w:style>
  <w:style w:type="paragraph" w:styleId="NoSpacing">
    <w:name w:val="No Spacing"/>
    <w:link w:val="NoSpacingChar"/>
    <w:uiPriority w:val="1"/>
    <w:qFormat/>
    <w:rsid w:val="0039114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91149"/>
    <w:rPr>
      <w:rFonts w:eastAsiaTheme="minorEastAsia"/>
      <w:kern w:val="0"/>
      <w:sz w:val="22"/>
      <w:szCs w:val="22"/>
      <w:lang w:val="en-US"/>
      <w14:ligatures w14:val="none"/>
    </w:rPr>
  </w:style>
  <w:style w:type="paragraph" w:styleId="Header">
    <w:name w:val="header"/>
    <w:basedOn w:val="Normal"/>
    <w:link w:val="HeaderChar"/>
    <w:uiPriority w:val="99"/>
    <w:unhideWhenUsed/>
    <w:rsid w:val="009D6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82E"/>
  </w:style>
  <w:style w:type="paragraph" w:styleId="Footer">
    <w:name w:val="footer"/>
    <w:basedOn w:val="Normal"/>
    <w:link w:val="FooterChar"/>
    <w:uiPriority w:val="99"/>
    <w:unhideWhenUsed/>
    <w:rsid w:val="009D6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8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174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nualreports.com/Company/amazoncom-inc" TargetMode="External"/><Relationship Id="rId13" Type="http://schemas.openxmlformats.org/officeDocument/2006/relationships/hyperlink" Target="http://www.investinganswers.com/financial-dictionary/financial-statement-analysis/gross-margin-974"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2.q4cdn.com/299287126/files/doc_financials/2024/ar/Amazon-com-Inc-2023-Annual-Report.pdf" TargetMode="External"/><Relationship Id="rId12" Type="http://schemas.openxmlformats.org/officeDocument/2006/relationships/hyperlink" Target="https://hbr.org/2002/05/why-business-models-matter"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1967/05/patterns-of-organisation-change" TargetMode="External"/><Relationship Id="rId5" Type="http://schemas.openxmlformats.org/officeDocument/2006/relationships/footnotes" Target="footnotes.xml"/><Relationship Id="rId15" Type="http://schemas.openxmlformats.org/officeDocument/2006/relationships/hyperlink" Target="http://www.managementhelp.org/business-finance/" TargetMode="External"/><Relationship Id="rId10" Type="http://schemas.openxmlformats.org/officeDocument/2006/relationships/hyperlink" Target="http://www.investopedia.com/articles/personal-finance/102015/series-b-c-funding-what-it-all-means-and-how-it-works.asp#ixzz47FO4KNhd" TargetMode="External"/><Relationship Id="rId4" Type="http://schemas.openxmlformats.org/officeDocument/2006/relationships/webSettings" Target="webSettings.xml"/><Relationship Id="rId9" Type="http://schemas.openxmlformats.org/officeDocument/2006/relationships/hyperlink" Target="https://doi.org/10.2139/ssrn.4656587" TargetMode="External"/><Relationship Id="rId14" Type="http://schemas.openxmlformats.org/officeDocument/2006/relationships/hyperlink" Target="http://www.investinganswers.com/inflation-risk-9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2335</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dc:title>
  <dc:subject/>
  <dc:creator>Mirabela Voican (1907947)</dc:creator>
  <cp:keywords/>
  <dc:description/>
  <cp:lastModifiedBy>Mirabela Voican (1907947)</cp:lastModifiedBy>
  <cp:revision>2</cp:revision>
  <dcterms:created xsi:type="dcterms:W3CDTF">2025-07-09T13:24:00Z</dcterms:created>
  <dcterms:modified xsi:type="dcterms:W3CDTF">2025-07-09T13:24:00Z</dcterms:modified>
</cp:coreProperties>
</file>