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702DA6" w14:textId="77777777" w:rsidR="00DC66AC" w:rsidRDefault="00DC66AC">
      <w:pPr>
        <w:jc w:val="center"/>
        <w:rPr>
          <w:b/>
          <w:bCs/>
          <w:sz w:val="32"/>
          <w:szCs w:val="32"/>
        </w:rPr>
      </w:pPr>
    </w:p>
    <w:p w14:paraId="6993FCAA" w14:textId="77777777" w:rsidR="00DC66AC" w:rsidRDefault="00DC66AC">
      <w:pPr>
        <w:jc w:val="center"/>
        <w:rPr>
          <w:b/>
          <w:bCs/>
          <w:sz w:val="32"/>
          <w:szCs w:val="32"/>
        </w:rPr>
      </w:pPr>
    </w:p>
    <w:p w14:paraId="6D50EAE9" w14:textId="77777777" w:rsidR="00DC66AC" w:rsidRDefault="00DC66AC">
      <w:pPr>
        <w:jc w:val="center"/>
        <w:rPr>
          <w:b/>
          <w:bCs/>
          <w:sz w:val="32"/>
          <w:szCs w:val="32"/>
        </w:rPr>
      </w:pPr>
    </w:p>
    <w:p w14:paraId="5450CEBA" w14:textId="77777777" w:rsidR="00DC66AC" w:rsidRDefault="00DC66AC">
      <w:pPr>
        <w:jc w:val="center"/>
        <w:rPr>
          <w:b/>
          <w:bCs/>
          <w:sz w:val="32"/>
          <w:szCs w:val="32"/>
        </w:rPr>
      </w:pPr>
    </w:p>
    <w:p w14:paraId="3B178692" w14:textId="77777777" w:rsidR="00DC66AC" w:rsidRDefault="00DC66AC">
      <w:pPr>
        <w:jc w:val="center"/>
        <w:rPr>
          <w:b/>
          <w:bCs/>
          <w:sz w:val="32"/>
          <w:szCs w:val="32"/>
        </w:rPr>
      </w:pPr>
    </w:p>
    <w:p w14:paraId="10925014" w14:textId="77777777" w:rsidR="00DC66AC" w:rsidRDefault="00DC66AC">
      <w:pPr>
        <w:jc w:val="center"/>
        <w:rPr>
          <w:b/>
          <w:bCs/>
          <w:sz w:val="32"/>
          <w:szCs w:val="32"/>
        </w:rPr>
      </w:pPr>
    </w:p>
    <w:p w14:paraId="5816DC37" w14:textId="77777777" w:rsidR="00DC66AC" w:rsidRDefault="0079282B">
      <w:pPr>
        <w:jc w:val="center"/>
        <w:rPr>
          <w:b/>
          <w:bCs/>
          <w:sz w:val="32"/>
          <w:szCs w:val="32"/>
        </w:rPr>
      </w:pPr>
      <w:r>
        <w:rPr>
          <w:b/>
          <w:bCs/>
          <w:sz w:val="32"/>
          <w:szCs w:val="32"/>
        </w:rPr>
        <w:t>Master of Business Administration</w:t>
      </w:r>
    </w:p>
    <w:p w14:paraId="000B18BB" w14:textId="77777777" w:rsidR="00DC66AC" w:rsidRDefault="0079282B">
      <w:pPr>
        <w:jc w:val="center"/>
        <w:rPr>
          <w:b/>
          <w:bCs/>
          <w:sz w:val="32"/>
          <w:szCs w:val="32"/>
        </w:rPr>
      </w:pPr>
      <w:r>
        <w:rPr>
          <w:b/>
          <w:bCs/>
          <w:sz w:val="32"/>
          <w:szCs w:val="32"/>
        </w:rPr>
        <w:t>LCMB7003 - Strategic Management</w:t>
      </w:r>
    </w:p>
    <w:p w14:paraId="44C05CE1" w14:textId="77777777" w:rsidR="00DC66AC" w:rsidRDefault="0079282B">
      <w:pPr>
        <w:jc w:val="center"/>
        <w:rPr>
          <w:b/>
          <w:bCs/>
          <w:sz w:val="32"/>
          <w:szCs w:val="32"/>
        </w:rPr>
      </w:pPr>
      <w:r>
        <w:rPr>
          <w:b/>
          <w:bCs/>
          <w:sz w:val="32"/>
          <w:szCs w:val="32"/>
        </w:rPr>
        <w:t>Individual Analytical Report: Organisational Expansion Plan for Airbnb Inc.</w:t>
      </w:r>
    </w:p>
    <w:p w14:paraId="43C30FE4" w14:textId="3035AEE8" w:rsidR="006E5500" w:rsidRDefault="006E5500">
      <w:pPr>
        <w:jc w:val="center"/>
        <w:rPr>
          <w:b/>
          <w:bCs/>
          <w:sz w:val="32"/>
          <w:szCs w:val="32"/>
        </w:rPr>
      </w:pPr>
      <w:r>
        <w:rPr>
          <w:b/>
          <w:bCs/>
          <w:sz w:val="32"/>
          <w:szCs w:val="32"/>
        </w:rPr>
        <w:t>Student Name : Biplob das</w:t>
      </w:r>
    </w:p>
    <w:p w14:paraId="22B7FE41" w14:textId="654D0078" w:rsidR="00DC66AC" w:rsidRDefault="0079282B">
      <w:pPr>
        <w:jc w:val="center"/>
        <w:rPr>
          <w:b/>
          <w:bCs/>
          <w:sz w:val="32"/>
          <w:szCs w:val="32"/>
        </w:rPr>
      </w:pPr>
      <w:r>
        <w:rPr>
          <w:b/>
          <w:bCs/>
          <w:sz w:val="32"/>
          <w:szCs w:val="32"/>
        </w:rPr>
        <w:t xml:space="preserve"> ID:</w:t>
      </w:r>
      <w:r w:rsidR="006E5500">
        <w:rPr>
          <w:b/>
          <w:bCs/>
          <w:sz w:val="32"/>
          <w:szCs w:val="32"/>
        </w:rPr>
        <w:t>2424763</w:t>
      </w:r>
    </w:p>
    <w:p w14:paraId="07A1D4EA" w14:textId="77777777" w:rsidR="00DC66AC" w:rsidRDefault="0079282B">
      <w:pPr>
        <w:jc w:val="center"/>
        <w:rPr>
          <w:b/>
          <w:bCs/>
          <w:sz w:val="32"/>
          <w:szCs w:val="32"/>
        </w:rPr>
      </w:pPr>
      <w:r>
        <w:rPr>
          <w:b/>
          <w:bCs/>
          <w:sz w:val="32"/>
          <w:szCs w:val="32"/>
        </w:rPr>
        <w:t>Word Count: 5013</w:t>
      </w:r>
    </w:p>
    <w:p w14:paraId="6671CB8E" w14:textId="77777777" w:rsidR="00DC66AC" w:rsidRDefault="0079282B">
      <w:pPr>
        <w:jc w:val="center"/>
        <w:rPr>
          <w:b/>
          <w:bCs/>
          <w:sz w:val="32"/>
          <w:szCs w:val="32"/>
        </w:rPr>
      </w:pPr>
      <w:r>
        <w:br w:type="page"/>
      </w:r>
    </w:p>
    <w:p w14:paraId="369AE96B" w14:textId="77777777" w:rsidR="00DC66AC" w:rsidRDefault="0079282B">
      <w:pPr>
        <w:jc w:val="center"/>
      </w:pPr>
      <w:r>
        <w:rPr>
          <w:b/>
          <w:bCs/>
        </w:rPr>
        <w:lastRenderedPageBreak/>
        <w:t>Table of Contents</w:t>
      </w:r>
    </w:p>
    <w:sdt>
      <w:sdtPr>
        <w:id w:val="277034372"/>
        <w:docPartObj>
          <w:docPartGallery w:val="Table of Contents"/>
          <w:docPartUnique/>
        </w:docPartObj>
      </w:sdtPr>
      <w:sdtEndPr/>
      <w:sdtContent>
        <w:p w14:paraId="6FF977BF" w14:textId="77777777" w:rsidR="00DC66AC" w:rsidRDefault="0079282B">
          <w:pPr>
            <w:widowControl w:val="0"/>
            <w:tabs>
              <w:tab w:val="right" w:pos="12000"/>
            </w:tabs>
            <w:spacing w:before="60" w:after="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ading=h.2jgnv2x0mcql">
            <w:r w:rsidR="00DC66AC">
              <w:rPr>
                <w:color w:val="000000"/>
              </w:rPr>
              <w:t>1. Introduction</w:t>
            </w:r>
            <w:r w:rsidR="00DC66AC">
              <w:rPr>
                <w:color w:val="000000"/>
              </w:rPr>
              <w:tab/>
              <w:t>3</w:t>
            </w:r>
          </w:hyperlink>
        </w:p>
        <w:p w14:paraId="5073DE56" w14:textId="77777777" w:rsidR="00DC66AC" w:rsidRDefault="00F22363">
          <w:pPr>
            <w:widowControl w:val="0"/>
            <w:tabs>
              <w:tab w:val="right" w:pos="12000"/>
            </w:tabs>
            <w:spacing w:before="60" w:after="0" w:line="240" w:lineRule="auto"/>
            <w:jc w:val="left"/>
            <w:rPr>
              <w:b/>
              <w:bCs/>
              <w:color w:val="000000"/>
            </w:rPr>
          </w:pPr>
          <w:hyperlink w:anchor="_heading=h.sofly5i6f5ze">
            <w:r w:rsidR="00DC66AC">
              <w:rPr>
                <w:color w:val="000000"/>
              </w:rPr>
              <w:t>2. Organisation and Market Overview</w:t>
            </w:r>
            <w:r w:rsidR="00DC66AC">
              <w:rPr>
                <w:color w:val="000000"/>
              </w:rPr>
              <w:tab/>
              <w:t>3</w:t>
            </w:r>
          </w:hyperlink>
        </w:p>
        <w:p w14:paraId="08255E24" w14:textId="77777777" w:rsidR="00DC66AC" w:rsidRDefault="00F22363">
          <w:pPr>
            <w:widowControl w:val="0"/>
            <w:tabs>
              <w:tab w:val="right" w:pos="12000"/>
            </w:tabs>
            <w:spacing w:before="60" w:after="0" w:line="240" w:lineRule="auto"/>
            <w:ind w:left="360"/>
            <w:jc w:val="left"/>
            <w:rPr>
              <w:color w:val="000000"/>
            </w:rPr>
          </w:pPr>
          <w:hyperlink w:anchor="_heading=h.aru9x8si0xe3">
            <w:r w:rsidR="00DC66AC">
              <w:rPr>
                <w:color w:val="000000"/>
              </w:rPr>
              <w:t>2.1 Justification for choosing Airbnb Inc. as the subject organisation</w:t>
            </w:r>
            <w:r w:rsidR="00DC66AC">
              <w:rPr>
                <w:color w:val="000000"/>
              </w:rPr>
              <w:tab/>
              <w:t>3</w:t>
            </w:r>
          </w:hyperlink>
        </w:p>
        <w:p w14:paraId="1C9936D7" w14:textId="77777777" w:rsidR="00DC66AC" w:rsidRDefault="00F22363">
          <w:pPr>
            <w:widowControl w:val="0"/>
            <w:tabs>
              <w:tab w:val="right" w:pos="12000"/>
            </w:tabs>
            <w:spacing w:before="60" w:after="0" w:line="240" w:lineRule="auto"/>
            <w:ind w:left="360"/>
            <w:jc w:val="left"/>
            <w:rPr>
              <w:color w:val="000000"/>
            </w:rPr>
          </w:pPr>
          <w:hyperlink w:anchor="_heading=h.il752au2gd30">
            <w:r w:rsidR="00DC66AC">
              <w:rPr>
                <w:color w:val="000000"/>
              </w:rPr>
              <w:t>2.2 Justification for choosing Saudi Arabia as the selected market</w:t>
            </w:r>
            <w:r w:rsidR="00DC66AC">
              <w:rPr>
                <w:color w:val="000000"/>
              </w:rPr>
              <w:tab/>
              <w:t>4</w:t>
            </w:r>
          </w:hyperlink>
        </w:p>
        <w:p w14:paraId="3CD98C94" w14:textId="77777777" w:rsidR="00DC66AC" w:rsidRDefault="00F22363">
          <w:pPr>
            <w:widowControl w:val="0"/>
            <w:tabs>
              <w:tab w:val="right" w:pos="12000"/>
            </w:tabs>
            <w:spacing w:before="60" w:after="0" w:line="240" w:lineRule="auto"/>
            <w:jc w:val="left"/>
            <w:rPr>
              <w:b/>
              <w:bCs/>
              <w:color w:val="000000"/>
            </w:rPr>
          </w:pPr>
          <w:hyperlink w:anchor="_heading=h.r91p3wee0whe">
            <w:r w:rsidR="00DC66AC">
              <w:rPr>
                <w:color w:val="000000"/>
              </w:rPr>
              <w:t>3. Comprehensive Strategic Analysis</w:t>
            </w:r>
            <w:r w:rsidR="00DC66AC">
              <w:rPr>
                <w:color w:val="000000"/>
              </w:rPr>
              <w:tab/>
              <w:t>5</w:t>
            </w:r>
          </w:hyperlink>
        </w:p>
        <w:p w14:paraId="00F2E5A2" w14:textId="77777777" w:rsidR="00DC66AC" w:rsidRDefault="00F22363">
          <w:pPr>
            <w:widowControl w:val="0"/>
            <w:tabs>
              <w:tab w:val="right" w:pos="12000"/>
            </w:tabs>
            <w:spacing w:before="60" w:after="0" w:line="240" w:lineRule="auto"/>
            <w:ind w:left="360"/>
            <w:jc w:val="left"/>
            <w:rPr>
              <w:color w:val="000000"/>
            </w:rPr>
          </w:pPr>
          <w:hyperlink w:anchor="_heading=h.e8jfbf23zkle">
            <w:r w:rsidR="00DC66AC">
              <w:rPr>
                <w:color w:val="000000"/>
              </w:rPr>
              <w:t>3.1 PESTLE-based Macro-environment Analysis</w:t>
            </w:r>
            <w:r w:rsidR="00DC66AC">
              <w:rPr>
                <w:color w:val="000000"/>
              </w:rPr>
              <w:tab/>
              <w:t>5</w:t>
            </w:r>
          </w:hyperlink>
        </w:p>
        <w:p w14:paraId="01601F7E" w14:textId="77777777" w:rsidR="00DC66AC" w:rsidRDefault="00F22363">
          <w:pPr>
            <w:widowControl w:val="0"/>
            <w:tabs>
              <w:tab w:val="right" w:pos="12000"/>
            </w:tabs>
            <w:spacing w:before="60" w:after="0" w:line="240" w:lineRule="auto"/>
            <w:ind w:left="360"/>
            <w:jc w:val="left"/>
            <w:rPr>
              <w:color w:val="000000"/>
            </w:rPr>
          </w:pPr>
          <w:hyperlink w:anchor="_heading=h.9t5gf358bmbd">
            <w:r w:rsidR="00DC66AC">
              <w:rPr>
                <w:color w:val="000000"/>
              </w:rPr>
              <w:t>3.2 Porter’s 5 Forces Analysis for Competitive Landscape</w:t>
            </w:r>
            <w:r w:rsidR="00DC66AC">
              <w:rPr>
                <w:color w:val="000000"/>
              </w:rPr>
              <w:tab/>
              <w:t>7</w:t>
            </w:r>
          </w:hyperlink>
        </w:p>
        <w:p w14:paraId="5FA4DB9F" w14:textId="77777777" w:rsidR="00DC66AC" w:rsidRDefault="00F22363">
          <w:pPr>
            <w:widowControl w:val="0"/>
            <w:tabs>
              <w:tab w:val="right" w:pos="12000"/>
            </w:tabs>
            <w:spacing w:before="60" w:after="0" w:line="240" w:lineRule="auto"/>
            <w:ind w:left="360"/>
            <w:jc w:val="left"/>
            <w:rPr>
              <w:color w:val="000000"/>
            </w:rPr>
          </w:pPr>
          <w:hyperlink w:anchor="_heading=h.wvqpzncjfoj4">
            <w:r w:rsidR="00DC66AC">
              <w:rPr>
                <w:color w:val="000000"/>
              </w:rPr>
              <w:t>3.3 SWOT Analysis</w:t>
            </w:r>
            <w:r w:rsidR="00DC66AC">
              <w:rPr>
                <w:color w:val="000000"/>
              </w:rPr>
              <w:tab/>
              <w:t>9</w:t>
            </w:r>
          </w:hyperlink>
        </w:p>
        <w:p w14:paraId="528A469A" w14:textId="77777777" w:rsidR="00DC66AC" w:rsidRDefault="00F22363">
          <w:pPr>
            <w:widowControl w:val="0"/>
            <w:tabs>
              <w:tab w:val="right" w:pos="12000"/>
            </w:tabs>
            <w:spacing w:before="60" w:after="0" w:line="240" w:lineRule="auto"/>
            <w:ind w:left="360"/>
            <w:jc w:val="left"/>
            <w:rPr>
              <w:color w:val="000000"/>
            </w:rPr>
          </w:pPr>
          <w:hyperlink w:anchor="_heading=h.92e4ht2290w">
            <w:r w:rsidR="00DC66AC">
              <w:rPr>
                <w:color w:val="000000"/>
              </w:rPr>
              <w:t>3.4 Evaluation of Effectiveness and Limitations</w:t>
            </w:r>
            <w:r w:rsidR="00DC66AC">
              <w:rPr>
                <w:color w:val="000000"/>
              </w:rPr>
              <w:tab/>
              <w:t>10</w:t>
            </w:r>
          </w:hyperlink>
        </w:p>
        <w:p w14:paraId="1DC35964" w14:textId="77777777" w:rsidR="00DC66AC" w:rsidRDefault="00F22363">
          <w:pPr>
            <w:widowControl w:val="0"/>
            <w:tabs>
              <w:tab w:val="right" w:pos="12000"/>
            </w:tabs>
            <w:spacing w:before="60" w:after="0" w:line="240" w:lineRule="auto"/>
            <w:jc w:val="left"/>
            <w:rPr>
              <w:b/>
              <w:bCs/>
              <w:color w:val="000000"/>
            </w:rPr>
          </w:pPr>
          <w:hyperlink w:anchor="_heading=h.myb7zefvnsng">
            <w:r w:rsidR="00DC66AC">
              <w:rPr>
                <w:color w:val="000000"/>
              </w:rPr>
              <w:t>4. Strategy Development and Formulation</w:t>
            </w:r>
            <w:r w:rsidR="00DC66AC">
              <w:rPr>
                <w:color w:val="000000"/>
              </w:rPr>
              <w:tab/>
              <w:t>11</w:t>
            </w:r>
          </w:hyperlink>
        </w:p>
        <w:p w14:paraId="6A4903D4" w14:textId="77777777" w:rsidR="00DC66AC" w:rsidRDefault="00F22363">
          <w:pPr>
            <w:widowControl w:val="0"/>
            <w:tabs>
              <w:tab w:val="right" w:pos="12000"/>
            </w:tabs>
            <w:spacing w:before="60" w:after="0" w:line="240" w:lineRule="auto"/>
            <w:ind w:left="360"/>
            <w:jc w:val="left"/>
            <w:rPr>
              <w:color w:val="000000"/>
            </w:rPr>
          </w:pPr>
          <w:hyperlink w:anchor="_heading=h.48u5btqvqvuv">
            <w:r w:rsidR="00DC66AC">
              <w:rPr>
                <w:color w:val="000000"/>
              </w:rPr>
              <w:t>4.1 Objectives</w:t>
            </w:r>
            <w:r w:rsidR="00DC66AC">
              <w:rPr>
                <w:color w:val="000000"/>
              </w:rPr>
              <w:tab/>
              <w:t>11</w:t>
            </w:r>
          </w:hyperlink>
        </w:p>
        <w:p w14:paraId="0E24C631" w14:textId="77777777" w:rsidR="00DC66AC" w:rsidRDefault="00F22363">
          <w:pPr>
            <w:widowControl w:val="0"/>
            <w:tabs>
              <w:tab w:val="right" w:pos="12000"/>
            </w:tabs>
            <w:spacing w:before="60" w:after="0" w:line="240" w:lineRule="auto"/>
            <w:ind w:left="360"/>
            <w:jc w:val="left"/>
            <w:rPr>
              <w:color w:val="000000"/>
            </w:rPr>
          </w:pPr>
          <w:hyperlink w:anchor="_heading=h.95dlj6fo49gx">
            <w:r w:rsidR="00DC66AC">
              <w:rPr>
                <w:color w:val="000000"/>
              </w:rPr>
              <w:t>4.2 Ansoff Matrix for Market Expansion Approach</w:t>
            </w:r>
            <w:r w:rsidR="00DC66AC">
              <w:rPr>
                <w:color w:val="000000"/>
              </w:rPr>
              <w:tab/>
              <w:t>12</w:t>
            </w:r>
          </w:hyperlink>
        </w:p>
        <w:p w14:paraId="33D4080A" w14:textId="77777777" w:rsidR="00DC66AC" w:rsidRDefault="00F22363">
          <w:pPr>
            <w:widowControl w:val="0"/>
            <w:tabs>
              <w:tab w:val="right" w:pos="12000"/>
            </w:tabs>
            <w:spacing w:before="60" w:after="0" w:line="240" w:lineRule="auto"/>
            <w:ind w:left="360"/>
            <w:jc w:val="left"/>
            <w:rPr>
              <w:color w:val="000000"/>
            </w:rPr>
          </w:pPr>
          <w:hyperlink w:anchor="_heading=h.q8m7rnwlw0jc">
            <w:r w:rsidR="00DC66AC">
              <w:rPr>
                <w:color w:val="000000"/>
              </w:rPr>
              <w:t>4.3 VRIO Analysis for Competitive Advantage Identification</w:t>
            </w:r>
            <w:r w:rsidR="00DC66AC">
              <w:rPr>
                <w:color w:val="000000"/>
              </w:rPr>
              <w:tab/>
              <w:t>13</w:t>
            </w:r>
          </w:hyperlink>
        </w:p>
        <w:p w14:paraId="684530FC" w14:textId="77777777" w:rsidR="00DC66AC" w:rsidRDefault="00F22363">
          <w:pPr>
            <w:widowControl w:val="0"/>
            <w:tabs>
              <w:tab w:val="right" w:pos="12000"/>
            </w:tabs>
            <w:spacing w:before="60" w:after="0" w:line="240" w:lineRule="auto"/>
            <w:ind w:left="360"/>
            <w:jc w:val="left"/>
            <w:rPr>
              <w:color w:val="000000"/>
            </w:rPr>
          </w:pPr>
          <w:hyperlink w:anchor="_heading=h.maqmnyqwp3bh">
            <w:r w:rsidR="00DC66AC">
              <w:rPr>
                <w:color w:val="000000"/>
              </w:rPr>
              <w:t>4.4 Porter’s Generic Strategies for Market Expansion Strategy usage</w:t>
            </w:r>
            <w:r w:rsidR="00DC66AC">
              <w:rPr>
                <w:color w:val="000000"/>
              </w:rPr>
              <w:tab/>
              <w:t>14</w:t>
            </w:r>
          </w:hyperlink>
        </w:p>
        <w:p w14:paraId="41752D15" w14:textId="77777777" w:rsidR="00DC66AC" w:rsidRDefault="00F22363">
          <w:pPr>
            <w:widowControl w:val="0"/>
            <w:tabs>
              <w:tab w:val="right" w:pos="12000"/>
            </w:tabs>
            <w:spacing w:before="60" w:after="0" w:line="240" w:lineRule="auto"/>
            <w:ind w:left="360"/>
            <w:jc w:val="left"/>
            <w:rPr>
              <w:color w:val="000000"/>
            </w:rPr>
          </w:pPr>
          <w:hyperlink w:anchor="_heading=h.kdl4nrvktti9">
            <w:r w:rsidR="00DC66AC">
              <w:rPr>
                <w:color w:val="000000"/>
              </w:rPr>
              <w:t>4.5 Evaluation of Market Entry Modes</w:t>
            </w:r>
            <w:r w:rsidR="00DC66AC">
              <w:rPr>
                <w:color w:val="000000"/>
              </w:rPr>
              <w:tab/>
              <w:t>15</w:t>
            </w:r>
          </w:hyperlink>
        </w:p>
        <w:p w14:paraId="474F49EF" w14:textId="77777777" w:rsidR="00DC66AC" w:rsidRDefault="00F22363">
          <w:pPr>
            <w:widowControl w:val="0"/>
            <w:tabs>
              <w:tab w:val="right" w:pos="12000"/>
            </w:tabs>
            <w:spacing w:before="60" w:after="0" w:line="240" w:lineRule="auto"/>
            <w:ind w:left="360"/>
            <w:jc w:val="left"/>
            <w:rPr>
              <w:color w:val="000000"/>
            </w:rPr>
          </w:pPr>
          <w:hyperlink w:anchor="_heading=h.3u281dxw4b1g">
            <w:r w:rsidR="00DC66AC">
              <w:rPr>
                <w:color w:val="000000"/>
              </w:rPr>
              <w:t>4.6 Summarised Organisational Expansion Strategy and Action Plan</w:t>
            </w:r>
            <w:r w:rsidR="00DC66AC">
              <w:rPr>
                <w:color w:val="000000"/>
              </w:rPr>
              <w:tab/>
              <w:t>16</w:t>
            </w:r>
          </w:hyperlink>
        </w:p>
        <w:p w14:paraId="47D41E5B" w14:textId="77777777" w:rsidR="00DC66AC" w:rsidRDefault="00F22363">
          <w:pPr>
            <w:widowControl w:val="0"/>
            <w:tabs>
              <w:tab w:val="right" w:pos="12000"/>
            </w:tabs>
            <w:spacing w:before="60" w:after="0" w:line="240" w:lineRule="auto"/>
            <w:jc w:val="left"/>
            <w:rPr>
              <w:b/>
              <w:bCs/>
              <w:color w:val="000000"/>
            </w:rPr>
          </w:pPr>
          <w:hyperlink w:anchor="_heading=h.ngwyiaolm86c">
            <w:r w:rsidR="00DC66AC">
              <w:rPr>
                <w:color w:val="000000"/>
              </w:rPr>
              <w:t>5. Performance Evaluation Framework</w:t>
            </w:r>
            <w:r w:rsidR="00DC66AC">
              <w:rPr>
                <w:color w:val="000000"/>
              </w:rPr>
              <w:tab/>
              <w:t>18</w:t>
            </w:r>
          </w:hyperlink>
        </w:p>
        <w:p w14:paraId="2F9D5C4E" w14:textId="77777777" w:rsidR="00DC66AC" w:rsidRDefault="00F22363">
          <w:pPr>
            <w:widowControl w:val="0"/>
            <w:tabs>
              <w:tab w:val="right" w:pos="12000"/>
            </w:tabs>
            <w:spacing w:before="60" w:after="0" w:line="240" w:lineRule="auto"/>
            <w:jc w:val="left"/>
            <w:rPr>
              <w:b/>
              <w:bCs/>
              <w:color w:val="000000"/>
            </w:rPr>
          </w:pPr>
          <w:hyperlink w:anchor="_heading=h.buekeia73up0">
            <w:r w:rsidR="00DC66AC">
              <w:rPr>
                <w:color w:val="000000"/>
              </w:rPr>
              <w:t>6. Conclusion</w:t>
            </w:r>
            <w:r w:rsidR="00DC66AC">
              <w:rPr>
                <w:color w:val="000000"/>
              </w:rPr>
              <w:tab/>
              <w:t>21</w:t>
            </w:r>
          </w:hyperlink>
        </w:p>
        <w:p w14:paraId="42EAEE9B" w14:textId="77777777" w:rsidR="00DC66AC" w:rsidRDefault="00F22363">
          <w:pPr>
            <w:widowControl w:val="0"/>
            <w:tabs>
              <w:tab w:val="right" w:pos="12000"/>
            </w:tabs>
            <w:spacing w:before="60" w:after="0" w:line="240" w:lineRule="auto"/>
            <w:jc w:val="left"/>
            <w:rPr>
              <w:b/>
              <w:bCs/>
              <w:color w:val="000000"/>
            </w:rPr>
          </w:pPr>
          <w:hyperlink w:anchor="_heading=h.up6xmse1y9ti">
            <w:r w:rsidR="00DC66AC">
              <w:rPr>
                <w:color w:val="000000"/>
              </w:rPr>
              <w:t>7. References</w:t>
            </w:r>
            <w:r w:rsidR="00DC66AC">
              <w:rPr>
                <w:color w:val="000000"/>
              </w:rPr>
              <w:tab/>
              <w:t>22</w:t>
            </w:r>
          </w:hyperlink>
          <w:r w:rsidR="0079282B">
            <w:fldChar w:fldCharType="end"/>
          </w:r>
        </w:p>
      </w:sdtContent>
    </w:sdt>
    <w:p w14:paraId="49D09B15" w14:textId="77777777" w:rsidR="00DC66AC" w:rsidRDefault="00DC66AC"/>
    <w:p w14:paraId="62DA483F" w14:textId="77777777" w:rsidR="00DC66AC" w:rsidRDefault="0079282B">
      <w:r>
        <w:br w:type="page"/>
      </w:r>
    </w:p>
    <w:p w14:paraId="6B128DFF" w14:textId="77777777" w:rsidR="00DC66AC" w:rsidRDefault="0079282B">
      <w:pPr>
        <w:pStyle w:val="Heading1"/>
        <w:rPr>
          <w:highlight w:val="yellow"/>
        </w:rPr>
      </w:pPr>
      <w:bookmarkStart w:id="0" w:name="_heading=h.2jgnv2x0mcql" w:colFirst="0" w:colLast="0"/>
      <w:bookmarkEnd w:id="0"/>
      <w:r>
        <w:lastRenderedPageBreak/>
        <w:t>1. Introduction</w:t>
      </w:r>
    </w:p>
    <w:p w14:paraId="41DE6C2B" w14:textId="77777777" w:rsidR="00DC66AC" w:rsidRDefault="0079282B">
      <w:r>
        <w:t xml:space="preserve">Strategy Development is a part of strategic management which are essential for organisations to achieve goals and monitor performance. The aim of the study is to examine the strategic evaluation of Airbnb Inc. on its expansion within Saudi Arabia. Applying the PESTLE, Porter’s 5 Forces, and SWOT helps to examine the external and internal factors necessary for Airbnb in terms of international expansion. Furthermore, for the market expansion and strategic overview, the application of the Ansoff matrix and Porter’s Generic Strategies is involved, which helps to optimise a proper market expansion plan. The application of the performance evaluation framework helps in offering identification of the key performance indicators necessary to measure the success factors. </w:t>
      </w:r>
    </w:p>
    <w:p w14:paraId="0CE8831E" w14:textId="77777777" w:rsidR="00DC66AC" w:rsidRDefault="0079282B">
      <w:pPr>
        <w:pStyle w:val="Heading1"/>
      </w:pPr>
      <w:bookmarkStart w:id="1" w:name="_heading=h.sofly5i6f5ze" w:colFirst="0" w:colLast="0"/>
      <w:bookmarkEnd w:id="1"/>
      <w:r>
        <w:t>2. Organisation and Market Overview</w:t>
      </w:r>
    </w:p>
    <w:p w14:paraId="4EFAD30A" w14:textId="77777777" w:rsidR="00DC66AC" w:rsidRDefault="0079282B">
      <w:pPr>
        <w:pStyle w:val="Heading2"/>
      </w:pPr>
      <w:bookmarkStart w:id="2" w:name="_heading=h.aru9x8si0xe3" w:colFirst="0" w:colLast="0"/>
      <w:bookmarkEnd w:id="2"/>
      <w:r>
        <w:t>2.1 Justification for choosing Airbnb Inc. as the subject organisation</w:t>
      </w:r>
    </w:p>
    <w:p w14:paraId="077F08DE" w14:textId="77777777" w:rsidR="00DC66AC" w:rsidRDefault="0079282B">
      <w:r>
        <w:rPr>
          <w:noProof/>
          <w:lang w:val="en-US" w:eastAsia="en-US"/>
        </w:rPr>
        <w:drawing>
          <wp:inline distT="114300" distB="114300" distL="114300" distR="114300" wp14:anchorId="2B61E8C7" wp14:editId="662BDDCD">
            <wp:extent cx="5943600" cy="220980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209800"/>
                    </a:xfrm>
                    <a:prstGeom prst="rect">
                      <a:avLst/>
                    </a:prstGeom>
                    <a:ln w="25400">
                      <a:solidFill>
                        <a:srgbClr val="000000"/>
                      </a:solidFill>
                      <a:prstDash val="solid"/>
                    </a:ln>
                  </pic:spPr>
                </pic:pic>
              </a:graphicData>
            </a:graphic>
          </wp:inline>
        </w:drawing>
      </w:r>
    </w:p>
    <w:p w14:paraId="2F83E525" w14:textId="77777777" w:rsidR="00DC66AC" w:rsidRDefault="0079282B">
      <w:pPr>
        <w:jc w:val="center"/>
        <w:rPr>
          <w:b/>
          <w:bCs/>
        </w:rPr>
      </w:pPr>
      <w:r>
        <w:rPr>
          <w:b/>
          <w:bCs/>
        </w:rPr>
        <w:t>Figure 1: Airbnb Fast Facts</w:t>
      </w:r>
    </w:p>
    <w:p w14:paraId="71FA94A1" w14:textId="77777777" w:rsidR="00DC66AC" w:rsidRDefault="0079282B">
      <w:pPr>
        <w:jc w:val="center"/>
      </w:pPr>
      <w:r>
        <w:t>(Source: Airbnb, 2025)</w:t>
      </w:r>
    </w:p>
    <w:p w14:paraId="3524DCAD" w14:textId="77777777" w:rsidR="00DC66AC" w:rsidRDefault="0079282B">
      <w:r>
        <w:t xml:space="preserve">Founded in 2007 by Joe Gabbia, Nathan Blecharczyk, and CEO Brian Chesky, Airbnb, as of 2025, has grown to accommodate more than 8 million active listings by over 5 million hosts in over 150,000 cities in 220+ regions and countries (Airbnb, 2025). The company </w:t>
      </w:r>
      <w:r>
        <w:lastRenderedPageBreak/>
        <w:t>has enabled accommodation of over 2 billion guests globally (Airbnb, 2025). The organisation has in Q3 2025 earned a revenue of US$4.1 billion with a year-on-year increase from Q3 2024 of 10%, while the company has gained a net income of US$1.4 billion, showcasing an income margin of 34% (Airbnb, 2025a). The company, in this regard, has enabled its hosts to earn an all-time cumulative value of over US$300 billion (Airbnb, 2025). This showcases Airbnb as an extremely successful global firm operating in the hospitality marketspace, with presence across over 220 countries and regions, which shows the company's current global market presence. In this regard, the company needs to continue its internationalisation process in order to maintain and develop its current pace of organisational growth. Thus, Airbnb is chosen for this report.</w:t>
      </w:r>
    </w:p>
    <w:p w14:paraId="623299CF" w14:textId="77777777" w:rsidR="00DC66AC" w:rsidRDefault="0079282B">
      <w:pPr>
        <w:pStyle w:val="Heading2"/>
      </w:pPr>
      <w:bookmarkStart w:id="3" w:name="_heading=h.il752au2gd30" w:colFirst="0" w:colLast="0"/>
      <w:bookmarkEnd w:id="3"/>
      <w:r>
        <w:t>2.2 Justification for choosing Saudi Arabia as the selected market</w:t>
      </w:r>
    </w:p>
    <w:p w14:paraId="4A43868C" w14:textId="77777777" w:rsidR="00DC66AC" w:rsidRDefault="0079282B">
      <w:r>
        <w:t xml:space="preserve">Saudi Arabia is the chosen market for Airbnb's expansion. Considering that Airbnb is present in most countries globally, it is also presently operating in the Saudi Arabian market, but with limited market penetration, and only a 29.4% occupancy rate for active listings in major cities like Riyadh (Airroi, 2025). Therefore, the market expansion plan for Airbnb in Saudi Arabia is aimed at improving the market penetration of Airbnb in Saudi Arabia, enabling the company to expand from operating only in major cities to operating in desert regions, cultural heritage sites and other suburban towns. In this regard, Saudi Arabia plans to diversify its revenue streams, reducing overdependence on the oil economy, by prioritising the development of the tourism and hospitality sector within the Vision 2030 plan of the country (KSA Moments, 2025). This, in particular, highlights a significant opportunity for growth of the tourism industry, as well as a subsequent growth in demand for cheaper hospitality arrangements within the country. Expanding in this market will enable Airbnb to leverage this change in the market to enhance its business development. This makes Saudi Arabia, presently in 2025, one of the most appropriate global markets for organisational expansion of Airbnb. </w:t>
      </w:r>
    </w:p>
    <w:p w14:paraId="1B8D755D" w14:textId="77777777" w:rsidR="00DC66AC" w:rsidRDefault="0079282B">
      <w:pPr>
        <w:pStyle w:val="Heading1"/>
      </w:pPr>
      <w:bookmarkStart w:id="4" w:name="_heading=h.r91p3wee0whe" w:colFirst="0" w:colLast="0"/>
      <w:bookmarkEnd w:id="4"/>
      <w:r>
        <w:lastRenderedPageBreak/>
        <w:t>3. Comprehensive Strategic Analysis</w:t>
      </w:r>
    </w:p>
    <w:p w14:paraId="1CDC35B9" w14:textId="77777777" w:rsidR="00DC66AC" w:rsidRDefault="0079282B">
      <w:pPr>
        <w:pStyle w:val="Heading2"/>
      </w:pPr>
      <w:bookmarkStart w:id="5" w:name="_heading=h.e8jfbf23zkle" w:colFirst="0" w:colLast="0"/>
      <w:bookmarkEnd w:id="5"/>
      <w:r>
        <w:t>3.1 PESTLE-based Macro-environment Analysis</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7245"/>
      </w:tblGrid>
      <w:tr w:rsidR="00DC66AC" w14:paraId="6A7C4827" w14:textId="77777777">
        <w:tc>
          <w:tcPr>
            <w:tcW w:w="2115" w:type="dxa"/>
            <w:tcMar>
              <w:top w:w="100" w:type="dxa"/>
              <w:left w:w="100" w:type="dxa"/>
              <w:bottom w:w="100" w:type="dxa"/>
              <w:right w:w="100" w:type="dxa"/>
            </w:tcMar>
          </w:tcPr>
          <w:p w14:paraId="4705B1E1" w14:textId="77777777" w:rsidR="00DC66AC" w:rsidRDefault="0079282B">
            <w:pPr>
              <w:widowControl w:val="0"/>
              <w:pBdr>
                <w:top w:val="nil"/>
                <w:left w:val="nil"/>
                <w:bottom w:val="nil"/>
                <w:right w:val="nil"/>
                <w:between w:val="nil"/>
              </w:pBdr>
              <w:spacing w:before="0" w:after="0" w:line="240" w:lineRule="auto"/>
              <w:jc w:val="left"/>
              <w:rPr>
                <w:b/>
                <w:bCs/>
              </w:rPr>
            </w:pPr>
            <w:r>
              <w:rPr>
                <w:b/>
                <w:bCs/>
              </w:rPr>
              <w:t>PESTLE Factors</w:t>
            </w:r>
          </w:p>
        </w:tc>
        <w:tc>
          <w:tcPr>
            <w:tcW w:w="7245" w:type="dxa"/>
            <w:tcMar>
              <w:top w:w="100" w:type="dxa"/>
              <w:left w:w="100" w:type="dxa"/>
              <w:bottom w:w="100" w:type="dxa"/>
              <w:right w:w="100" w:type="dxa"/>
            </w:tcMar>
          </w:tcPr>
          <w:p w14:paraId="4085DD01" w14:textId="77777777" w:rsidR="00DC66AC" w:rsidRDefault="0079282B">
            <w:pPr>
              <w:widowControl w:val="0"/>
              <w:pBdr>
                <w:top w:val="nil"/>
                <w:left w:val="nil"/>
                <w:bottom w:val="nil"/>
                <w:right w:val="nil"/>
                <w:between w:val="nil"/>
              </w:pBdr>
              <w:spacing w:before="0" w:after="0" w:line="240" w:lineRule="auto"/>
              <w:jc w:val="center"/>
              <w:rPr>
                <w:b/>
                <w:bCs/>
              </w:rPr>
            </w:pPr>
            <w:r>
              <w:rPr>
                <w:b/>
                <w:bCs/>
              </w:rPr>
              <w:t>Saudi Arabia</w:t>
            </w:r>
          </w:p>
        </w:tc>
      </w:tr>
      <w:tr w:rsidR="00DC66AC" w14:paraId="1B7AE6C8" w14:textId="77777777">
        <w:tc>
          <w:tcPr>
            <w:tcW w:w="2115" w:type="dxa"/>
            <w:tcMar>
              <w:top w:w="100" w:type="dxa"/>
              <w:left w:w="100" w:type="dxa"/>
              <w:bottom w:w="100" w:type="dxa"/>
              <w:right w:w="100" w:type="dxa"/>
            </w:tcMar>
          </w:tcPr>
          <w:p w14:paraId="3CE8E360"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Political</w:t>
            </w:r>
          </w:p>
        </w:tc>
        <w:tc>
          <w:tcPr>
            <w:tcW w:w="7245" w:type="dxa"/>
            <w:tcMar>
              <w:top w:w="100" w:type="dxa"/>
              <w:left w:w="100" w:type="dxa"/>
              <w:bottom w:w="100" w:type="dxa"/>
              <w:right w:w="100" w:type="dxa"/>
            </w:tcMar>
          </w:tcPr>
          <w:p w14:paraId="4D67A03B" w14:textId="77777777" w:rsidR="00DC66AC" w:rsidRDefault="0079282B">
            <w:pPr>
              <w:spacing w:before="0" w:after="0" w:line="240" w:lineRule="auto"/>
            </w:pPr>
            <w:r>
              <w:t xml:space="preserve">The political stability index of Saudi Arabia increased from -0.36 in 2022 to -0.21 in 2023 (The Global Economy, 2023). This shows that while the political environment in the country is still slightly unstable, it is rapidly improving towards political stability. This is an </w:t>
            </w:r>
            <w:r>
              <w:rPr>
                <w:b/>
                <w:bCs/>
              </w:rPr>
              <w:t>Opportunity</w:t>
            </w:r>
            <w:r>
              <w:t>.</w:t>
            </w:r>
          </w:p>
        </w:tc>
      </w:tr>
      <w:tr w:rsidR="00DC66AC" w14:paraId="4A51EC29" w14:textId="77777777">
        <w:tc>
          <w:tcPr>
            <w:tcW w:w="2115" w:type="dxa"/>
            <w:tcMar>
              <w:top w:w="100" w:type="dxa"/>
              <w:left w:w="100" w:type="dxa"/>
              <w:bottom w:w="100" w:type="dxa"/>
              <w:right w:w="100" w:type="dxa"/>
            </w:tcMar>
          </w:tcPr>
          <w:p w14:paraId="54F436FC"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Economic</w:t>
            </w:r>
          </w:p>
        </w:tc>
        <w:tc>
          <w:tcPr>
            <w:tcW w:w="7245" w:type="dxa"/>
            <w:tcMar>
              <w:top w:w="100" w:type="dxa"/>
              <w:left w:w="100" w:type="dxa"/>
              <w:bottom w:w="100" w:type="dxa"/>
              <w:right w:w="100" w:type="dxa"/>
            </w:tcMar>
          </w:tcPr>
          <w:p w14:paraId="37EE4175" w14:textId="77777777" w:rsidR="00DC66AC" w:rsidRDefault="0079282B">
            <w:pPr>
              <w:spacing w:before="0" w:after="0" w:line="240" w:lineRule="auto"/>
            </w:pPr>
            <w:r>
              <w:t xml:space="preserve">The growth in real GDP of Saudi Arabia increased from 0.54% in 2023 to 1.81% in 2024 (The Global Economy, 2024). The economic growth in Saudi Arabia is expected to reach a 3.28% annual growth rate in 2030, according to the IMF (The Global Economy, 2025). This shows the growing capability of Saudi Arabia to improve its hospitality infrastructure, supporting the development of the short-term rentals marketplace in the country. </w:t>
            </w:r>
            <w:r>
              <w:rPr>
                <w:b/>
                <w:bCs/>
              </w:rPr>
              <w:t>Opportunity</w:t>
            </w:r>
            <w:r>
              <w:t>.</w:t>
            </w:r>
          </w:p>
        </w:tc>
      </w:tr>
      <w:tr w:rsidR="00DC66AC" w14:paraId="227BC46A" w14:textId="77777777">
        <w:tc>
          <w:tcPr>
            <w:tcW w:w="2115" w:type="dxa"/>
            <w:tcMar>
              <w:top w:w="100" w:type="dxa"/>
              <w:left w:w="100" w:type="dxa"/>
              <w:bottom w:w="100" w:type="dxa"/>
              <w:right w:w="100" w:type="dxa"/>
            </w:tcMar>
          </w:tcPr>
          <w:p w14:paraId="43DDC5C0"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Socio-Cultural</w:t>
            </w:r>
          </w:p>
        </w:tc>
        <w:tc>
          <w:tcPr>
            <w:tcW w:w="7245" w:type="dxa"/>
            <w:tcMar>
              <w:top w:w="100" w:type="dxa"/>
              <w:left w:w="100" w:type="dxa"/>
              <w:bottom w:w="100" w:type="dxa"/>
              <w:right w:w="100" w:type="dxa"/>
            </w:tcMar>
          </w:tcPr>
          <w:p w14:paraId="2DF81CF6" w14:textId="77777777" w:rsidR="00DC66AC" w:rsidRDefault="0079282B">
            <w:pPr>
              <w:spacing w:before="0" w:after="0" w:line="240" w:lineRule="auto"/>
            </w:pPr>
            <w:r>
              <w:t xml:space="preserve">On a social level, the current active listings in one of the major cities of Saudi Arabia, Riyadh, are only occupied up to 29.4% as consumers are mostly not subscribing to the active rental listings in the city (Airroi, 2025). This shows that the current services in the active listings are not adequate to meet customer expectations. </w:t>
            </w:r>
            <w:r>
              <w:rPr>
                <w:b/>
                <w:bCs/>
              </w:rPr>
              <w:t>Threat</w:t>
            </w:r>
            <w:r>
              <w:t>.</w:t>
            </w:r>
          </w:p>
        </w:tc>
      </w:tr>
      <w:tr w:rsidR="00DC66AC" w14:paraId="4144504D" w14:textId="77777777">
        <w:tc>
          <w:tcPr>
            <w:tcW w:w="2115" w:type="dxa"/>
            <w:tcMar>
              <w:top w:w="100" w:type="dxa"/>
              <w:left w:w="100" w:type="dxa"/>
              <w:bottom w:w="100" w:type="dxa"/>
              <w:right w:w="100" w:type="dxa"/>
            </w:tcMar>
          </w:tcPr>
          <w:p w14:paraId="012ACF15"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Technological</w:t>
            </w:r>
          </w:p>
        </w:tc>
        <w:tc>
          <w:tcPr>
            <w:tcW w:w="7245" w:type="dxa"/>
            <w:tcMar>
              <w:top w:w="100" w:type="dxa"/>
              <w:left w:w="100" w:type="dxa"/>
              <w:bottom w:w="100" w:type="dxa"/>
              <w:right w:w="100" w:type="dxa"/>
            </w:tcMar>
          </w:tcPr>
          <w:p w14:paraId="6257116C" w14:textId="77777777" w:rsidR="00DC66AC" w:rsidRDefault="0079282B">
            <w:pPr>
              <w:spacing w:before="0" w:after="0" w:line="240" w:lineRule="auto"/>
            </w:pPr>
            <w:r>
              <w:t xml:space="preserve">Martini (2024) reported that by 2030, the Saudi Arabian Government intends to invest nearly $100 billion in technological infrastructure development through the development of advanced technologies like artificial intelligence (AI), emissions reduction, robotics, semiconductors, and smart cities. This shows that such technologies can be leveraged to develop better services for guests in the country’s hospitality locations. </w:t>
            </w:r>
            <w:r>
              <w:rPr>
                <w:b/>
                <w:bCs/>
              </w:rPr>
              <w:t>Opportunity</w:t>
            </w:r>
            <w:r>
              <w:t>.</w:t>
            </w:r>
          </w:p>
        </w:tc>
      </w:tr>
      <w:tr w:rsidR="00DC66AC" w14:paraId="46D51236" w14:textId="77777777">
        <w:tc>
          <w:tcPr>
            <w:tcW w:w="2115" w:type="dxa"/>
            <w:tcMar>
              <w:top w:w="100" w:type="dxa"/>
              <w:left w:w="100" w:type="dxa"/>
              <w:bottom w:w="100" w:type="dxa"/>
              <w:right w:w="100" w:type="dxa"/>
            </w:tcMar>
          </w:tcPr>
          <w:p w14:paraId="74C966C5"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Environmental</w:t>
            </w:r>
          </w:p>
        </w:tc>
        <w:tc>
          <w:tcPr>
            <w:tcW w:w="7245" w:type="dxa"/>
            <w:tcMar>
              <w:top w:w="100" w:type="dxa"/>
              <w:left w:w="100" w:type="dxa"/>
              <w:bottom w:w="100" w:type="dxa"/>
              <w:right w:w="100" w:type="dxa"/>
            </w:tcMar>
          </w:tcPr>
          <w:p w14:paraId="6D789ABC" w14:textId="77777777" w:rsidR="00DC66AC" w:rsidRDefault="0079282B">
            <w:pPr>
              <w:spacing w:before="0" w:after="0" w:line="240" w:lineRule="auto"/>
              <w:rPr>
                <w:b/>
                <w:bCs/>
              </w:rPr>
            </w:pPr>
            <w:r>
              <w:t xml:space="preserve">The Saudi Green Initiative, as well as Saudi Vision 2030, which was designed to improve tourism businesses in the country, are focused on improving social and environmental sustainability within the country. </w:t>
            </w:r>
            <w:r>
              <w:rPr>
                <w:b/>
                <w:bCs/>
              </w:rPr>
              <w:t>Opportunity</w:t>
            </w:r>
          </w:p>
        </w:tc>
      </w:tr>
      <w:tr w:rsidR="00DC66AC" w14:paraId="2D0DDCBD" w14:textId="77777777">
        <w:tc>
          <w:tcPr>
            <w:tcW w:w="2115" w:type="dxa"/>
            <w:tcMar>
              <w:top w:w="100" w:type="dxa"/>
              <w:left w:w="100" w:type="dxa"/>
              <w:bottom w:w="100" w:type="dxa"/>
              <w:right w:w="100" w:type="dxa"/>
            </w:tcMar>
          </w:tcPr>
          <w:p w14:paraId="77287B74"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Legal</w:t>
            </w:r>
          </w:p>
        </w:tc>
        <w:tc>
          <w:tcPr>
            <w:tcW w:w="7245" w:type="dxa"/>
            <w:tcMar>
              <w:top w:w="100" w:type="dxa"/>
              <w:left w:w="100" w:type="dxa"/>
              <w:bottom w:w="100" w:type="dxa"/>
              <w:right w:w="100" w:type="dxa"/>
            </w:tcMar>
          </w:tcPr>
          <w:p w14:paraId="6715092C" w14:textId="77777777" w:rsidR="00DC66AC" w:rsidRDefault="0079282B">
            <w:pPr>
              <w:spacing w:before="0" w:after="0" w:line="240" w:lineRule="auto"/>
              <w:rPr>
                <w:b/>
                <w:bCs/>
              </w:rPr>
            </w:pPr>
            <w:r>
              <w:t xml:space="preserve">In alignment with the strategic plan of Vision 2030, the Saudi Arabian Government has presented a complete tourism and hospitality sector legal framework to guide hospitality businesses to operate while being in legal compliance with local laws (SA Government, 2025). </w:t>
            </w:r>
            <w:r>
              <w:rPr>
                <w:b/>
                <w:bCs/>
              </w:rPr>
              <w:t>Opportunity</w:t>
            </w:r>
          </w:p>
        </w:tc>
      </w:tr>
    </w:tbl>
    <w:p w14:paraId="07DA0CE4" w14:textId="77777777" w:rsidR="00DC66AC" w:rsidRDefault="0079282B">
      <w:pPr>
        <w:jc w:val="center"/>
        <w:rPr>
          <w:b/>
          <w:bCs/>
        </w:rPr>
      </w:pPr>
      <w:r>
        <w:rPr>
          <w:b/>
          <w:bCs/>
        </w:rPr>
        <w:lastRenderedPageBreak/>
        <w:t>Table 1: PESTLE Analysis of Saudi Arabia</w:t>
      </w:r>
    </w:p>
    <w:p w14:paraId="532D2C37" w14:textId="77777777" w:rsidR="00DC66AC" w:rsidRDefault="0079282B">
      <w:pPr>
        <w:jc w:val="center"/>
      </w:pPr>
      <w:r>
        <w:t>(Source: Self-Developed)</w:t>
      </w:r>
    </w:p>
    <w:p w14:paraId="07062C53" w14:textId="77777777" w:rsidR="00DC66AC" w:rsidRDefault="0079282B">
      <w:r>
        <w:t xml:space="preserve">In Table 1, using the PESTLE Framework, it was found that the political stability index of Saudi Arabia increased from -0.36 in 2022 to -0.21 in 2023 (The Global Economy, 2023). This showed that the political environment of Saudi Arabia, although slightly unstable at present, is rapidly stabilising. This can be attributed to the government’s long-term sustainability vision, portrayed by the emergence of the Saudi Green Initiative and the Saudi Vision 2030, which helps improve the overall sustainability of the nation by reducing its dependence on oil and fossil fuels for economic growth. </w:t>
      </w:r>
    </w:p>
    <w:p w14:paraId="12DF26AD" w14:textId="77777777" w:rsidR="00DC66AC" w:rsidRDefault="0079282B">
      <w:r>
        <w:rPr>
          <w:noProof/>
          <w:lang w:val="en-US" w:eastAsia="en-US"/>
        </w:rPr>
        <w:drawing>
          <wp:inline distT="114300" distB="114300" distL="114300" distR="114300" wp14:anchorId="3BE8F490" wp14:editId="72FB1226">
            <wp:extent cx="5943600" cy="27559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755900"/>
                    </a:xfrm>
                    <a:prstGeom prst="rect">
                      <a:avLst/>
                    </a:prstGeom>
                    <a:ln w="25400">
                      <a:solidFill>
                        <a:srgbClr val="000000"/>
                      </a:solidFill>
                      <a:prstDash val="solid"/>
                    </a:ln>
                  </pic:spPr>
                </pic:pic>
              </a:graphicData>
            </a:graphic>
          </wp:inline>
        </w:drawing>
      </w:r>
    </w:p>
    <w:p w14:paraId="15DB6902" w14:textId="77777777" w:rsidR="00DC66AC" w:rsidRDefault="0079282B">
      <w:pPr>
        <w:jc w:val="center"/>
        <w:rPr>
          <w:b/>
          <w:bCs/>
        </w:rPr>
      </w:pPr>
      <w:r>
        <w:rPr>
          <w:b/>
          <w:bCs/>
        </w:rPr>
        <w:t>Figure 2: Political Stability in Saudi Arabia</w:t>
      </w:r>
    </w:p>
    <w:p w14:paraId="1D582102" w14:textId="77777777" w:rsidR="00DC66AC" w:rsidRDefault="0079282B">
      <w:pPr>
        <w:jc w:val="center"/>
      </w:pPr>
      <w:r>
        <w:t>(Source: The Global Economy, 2023)</w:t>
      </w:r>
    </w:p>
    <w:p w14:paraId="58F714CE" w14:textId="77777777" w:rsidR="00DC66AC" w:rsidRDefault="0079282B">
      <w:r>
        <w:t xml:space="preserve">This further shows that the environmental factors in the macroenvironment of Saudi Arabia are highly beneficial for the sustainable development of a new business. In this regard, the Saudi Government has been found to effectively recreate its tourism and hospitality regulations and policies to align with the Vision 2030 plan, providing a complete legal framework for firms to navigate within the market. This shows that the legal environment is also beneficial for hospitality businesses like Airbnb. Herein, the real GDP </w:t>
      </w:r>
      <w:r>
        <w:lastRenderedPageBreak/>
        <w:t xml:space="preserve">growth of Saudi Arabia increased from 0.54% in 2023 to 1.81% in 2024 and is projected to reach 3.28% in 2030. This shows that the economic environment of the country is stable and progressive enough to support the growing demand for short-term rental businesses like Airbnb. </w:t>
      </w:r>
    </w:p>
    <w:p w14:paraId="19E5FCD4" w14:textId="77777777" w:rsidR="00DC66AC" w:rsidRDefault="0079282B">
      <w:r>
        <w:rPr>
          <w:noProof/>
          <w:lang w:val="en-US" w:eastAsia="en-US"/>
        </w:rPr>
        <w:drawing>
          <wp:inline distT="114300" distB="114300" distL="114300" distR="114300" wp14:anchorId="24F433D7" wp14:editId="4775987F">
            <wp:extent cx="5943600" cy="2768600"/>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768600"/>
                    </a:xfrm>
                    <a:prstGeom prst="rect">
                      <a:avLst/>
                    </a:prstGeom>
                    <a:ln w="25400">
                      <a:solidFill>
                        <a:srgbClr val="000000"/>
                      </a:solidFill>
                      <a:prstDash val="solid"/>
                    </a:ln>
                  </pic:spPr>
                </pic:pic>
              </a:graphicData>
            </a:graphic>
          </wp:inline>
        </w:drawing>
      </w:r>
    </w:p>
    <w:p w14:paraId="27210A43" w14:textId="77777777" w:rsidR="00DC66AC" w:rsidRDefault="0079282B">
      <w:pPr>
        <w:jc w:val="center"/>
        <w:rPr>
          <w:b/>
          <w:bCs/>
        </w:rPr>
      </w:pPr>
      <w:r>
        <w:rPr>
          <w:b/>
          <w:bCs/>
        </w:rPr>
        <w:t>Figure 2: Real GDP Growth in Saudi Arabia</w:t>
      </w:r>
    </w:p>
    <w:p w14:paraId="39937D7D" w14:textId="77777777" w:rsidR="00DC66AC" w:rsidRDefault="0079282B">
      <w:pPr>
        <w:jc w:val="center"/>
      </w:pPr>
      <w:r>
        <w:t>(Source: The Global Economy, 2024)</w:t>
      </w:r>
    </w:p>
    <w:p w14:paraId="6A41F362" w14:textId="77777777" w:rsidR="00DC66AC" w:rsidRDefault="0079282B">
      <w:r>
        <w:t>Moreover, the nation also aims to invest USD100 billion towards improving its technological infrastructure. This, in turn, can allow Airbnb facilities in Saudi Arabia to provide better customer service by integrating advanced technologies. On the other hand, the social aspect of the macroenvironment shows a threatening scenario, which is the low occupancy rate of Airbnbs in Riyadh. This shows the external macroenvironment of Saudi Arabia.</w:t>
      </w:r>
    </w:p>
    <w:p w14:paraId="7F22E1AC" w14:textId="77777777" w:rsidR="00DC66AC" w:rsidRDefault="0079282B">
      <w:pPr>
        <w:pStyle w:val="Heading2"/>
      </w:pPr>
      <w:bookmarkStart w:id="6" w:name="_heading=h.9t5gf358bmbd" w:colFirst="0" w:colLast="0"/>
      <w:bookmarkEnd w:id="6"/>
      <w:r>
        <w:t>3.2 Porter’s 5 Forces Analysis for Competitive Landscape</w:t>
      </w:r>
    </w:p>
    <w:tbl>
      <w:tblPr>
        <w:tblStyle w:val="a6"/>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65"/>
        <w:gridCol w:w="5010"/>
        <w:gridCol w:w="1470"/>
      </w:tblGrid>
      <w:tr w:rsidR="00DC66AC" w14:paraId="40C250B1" w14:textId="77777777">
        <w:tc>
          <w:tcPr>
            <w:tcW w:w="2865" w:type="dxa"/>
            <w:tcMar>
              <w:top w:w="100" w:type="dxa"/>
              <w:left w:w="100" w:type="dxa"/>
              <w:bottom w:w="100" w:type="dxa"/>
              <w:right w:w="100" w:type="dxa"/>
            </w:tcMar>
          </w:tcPr>
          <w:p w14:paraId="783872F9" w14:textId="77777777" w:rsidR="00DC66AC" w:rsidRDefault="0079282B">
            <w:pPr>
              <w:widowControl w:val="0"/>
              <w:spacing w:before="0" w:after="0" w:line="240" w:lineRule="auto"/>
              <w:jc w:val="left"/>
              <w:rPr>
                <w:b/>
                <w:bCs/>
              </w:rPr>
            </w:pPr>
            <w:r>
              <w:rPr>
                <w:b/>
                <w:bCs/>
              </w:rPr>
              <w:t>Porter’s 5 Forces</w:t>
            </w:r>
          </w:p>
        </w:tc>
        <w:tc>
          <w:tcPr>
            <w:tcW w:w="5010" w:type="dxa"/>
            <w:tcMar>
              <w:top w:w="100" w:type="dxa"/>
              <w:left w:w="100" w:type="dxa"/>
              <w:bottom w:w="100" w:type="dxa"/>
              <w:right w:w="100" w:type="dxa"/>
            </w:tcMar>
          </w:tcPr>
          <w:p w14:paraId="289FC573" w14:textId="77777777" w:rsidR="00DC66AC" w:rsidRDefault="0079282B">
            <w:pPr>
              <w:widowControl w:val="0"/>
              <w:spacing w:before="0" w:after="0" w:line="240" w:lineRule="auto"/>
              <w:jc w:val="center"/>
              <w:rPr>
                <w:b/>
                <w:bCs/>
              </w:rPr>
            </w:pPr>
            <w:r>
              <w:rPr>
                <w:b/>
                <w:bCs/>
              </w:rPr>
              <w:t>Saudi Arabia’s Hospitality Industry</w:t>
            </w:r>
          </w:p>
        </w:tc>
        <w:tc>
          <w:tcPr>
            <w:tcW w:w="1470" w:type="dxa"/>
            <w:tcMar>
              <w:top w:w="100" w:type="dxa"/>
              <w:left w:w="100" w:type="dxa"/>
              <w:bottom w:w="100" w:type="dxa"/>
              <w:right w:w="100" w:type="dxa"/>
            </w:tcMar>
          </w:tcPr>
          <w:p w14:paraId="1466A485" w14:textId="77777777" w:rsidR="00DC66AC" w:rsidRDefault="0079282B">
            <w:pPr>
              <w:widowControl w:val="0"/>
              <w:spacing w:before="0" w:after="0" w:line="240" w:lineRule="auto"/>
              <w:jc w:val="center"/>
              <w:rPr>
                <w:b/>
                <w:bCs/>
              </w:rPr>
            </w:pPr>
            <w:r>
              <w:rPr>
                <w:b/>
                <w:bCs/>
              </w:rPr>
              <w:t>Threat</w:t>
            </w:r>
          </w:p>
        </w:tc>
      </w:tr>
      <w:tr w:rsidR="00DC66AC" w14:paraId="14F4EBE7" w14:textId="77777777">
        <w:tc>
          <w:tcPr>
            <w:tcW w:w="2865" w:type="dxa"/>
            <w:tcMar>
              <w:top w:w="100" w:type="dxa"/>
              <w:left w:w="100" w:type="dxa"/>
              <w:bottom w:w="100" w:type="dxa"/>
              <w:right w:w="100" w:type="dxa"/>
            </w:tcMar>
          </w:tcPr>
          <w:p w14:paraId="799E6FFD" w14:textId="77777777" w:rsidR="00DC66AC" w:rsidRDefault="0079282B">
            <w:pPr>
              <w:widowControl w:val="0"/>
              <w:spacing w:before="0" w:after="0" w:line="240" w:lineRule="auto"/>
              <w:jc w:val="left"/>
              <w:rPr>
                <w:b/>
                <w:bCs/>
                <w:i/>
                <w:iCs/>
              </w:rPr>
            </w:pPr>
            <w:r>
              <w:rPr>
                <w:b/>
                <w:bCs/>
                <w:i/>
                <w:iCs/>
              </w:rPr>
              <w:t>Threat of New Entrants</w:t>
            </w:r>
          </w:p>
        </w:tc>
        <w:tc>
          <w:tcPr>
            <w:tcW w:w="5010" w:type="dxa"/>
            <w:tcMar>
              <w:top w:w="100" w:type="dxa"/>
              <w:left w:w="100" w:type="dxa"/>
              <w:bottom w:w="100" w:type="dxa"/>
              <w:right w:w="100" w:type="dxa"/>
            </w:tcMar>
          </w:tcPr>
          <w:p w14:paraId="4E3B2702" w14:textId="77777777" w:rsidR="00DC66AC" w:rsidRDefault="0079282B">
            <w:pPr>
              <w:spacing w:before="0" w:after="0" w:line="240" w:lineRule="auto"/>
            </w:pPr>
            <w:r>
              <w:t xml:space="preserve">The Hospitality Industry in Saudi Arabia is underutilised. For instance, the occupancy rate for short-term rentals in Riyadh of 29.4% </w:t>
            </w:r>
            <w:r>
              <w:lastRenderedPageBreak/>
              <w:t>shows this (Airroi, 2025). Moreover, with the Vision 2030 plan aimed at revitalising the tourism and hospitality industry, new businesses in this space can easily enter the market.</w:t>
            </w:r>
          </w:p>
        </w:tc>
        <w:tc>
          <w:tcPr>
            <w:tcW w:w="1470" w:type="dxa"/>
            <w:tcMar>
              <w:top w:w="100" w:type="dxa"/>
              <w:left w:w="100" w:type="dxa"/>
              <w:bottom w:w="100" w:type="dxa"/>
              <w:right w:w="100" w:type="dxa"/>
            </w:tcMar>
          </w:tcPr>
          <w:p w14:paraId="4E54595C" w14:textId="77777777" w:rsidR="00DC66AC" w:rsidRDefault="0079282B">
            <w:pPr>
              <w:spacing w:before="0" w:after="0" w:line="240" w:lineRule="auto"/>
              <w:jc w:val="center"/>
              <w:rPr>
                <w:b/>
                <w:bCs/>
              </w:rPr>
            </w:pPr>
            <w:r>
              <w:rPr>
                <w:b/>
                <w:bCs/>
              </w:rPr>
              <w:lastRenderedPageBreak/>
              <w:t>High</w:t>
            </w:r>
          </w:p>
        </w:tc>
      </w:tr>
      <w:tr w:rsidR="00DC66AC" w14:paraId="786B2282" w14:textId="77777777">
        <w:tc>
          <w:tcPr>
            <w:tcW w:w="2865" w:type="dxa"/>
            <w:tcMar>
              <w:top w:w="100" w:type="dxa"/>
              <w:left w:w="100" w:type="dxa"/>
              <w:bottom w:w="100" w:type="dxa"/>
              <w:right w:w="100" w:type="dxa"/>
            </w:tcMar>
          </w:tcPr>
          <w:p w14:paraId="130AA95B" w14:textId="77777777" w:rsidR="00DC66AC" w:rsidRDefault="0079282B">
            <w:pPr>
              <w:widowControl w:val="0"/>
              <w:spacing w:before="0" w:after="0" w:line="240" w:lineRule="auto"/>
              <w:jc w:val="left"/>
              <w:rPr>
                <w:b/>
                <w:bCs/>
                <w:i/>
                <w:iCs/>
              </w:rPr>
            </w:pPr>
            <w:r>
              <w:rPr>
                <w:b/>
                <w:bCs/>
                <w:i/>
                <w:iCs/>
              </w:rPr>
              <w:t>Threat of Substitutes</w:t>
            </w:r>
          </w:p>
        </w:tc>
        <w:tc>
          <w:tcPr>
            <w:tcW w:w="5010" w:type="dxa"/>
            <w:tcMar>
              <w:top w:w="100" w:type="dxa"/>
              <w:left w:w="100" w:type="dxa"/>
              <w:bottom w:w="100" w:type="dxa"/>
              <w:right w:w="100" w:type="dxa"/>
            </w:tcMar>
          </w:tcPr>
          <w:p w14:paraId="1B0FB086" w14:textId="77777777" w:rsidR="00DC66AC" w:rsidRDefault="0079282B">
            <w:pPr>
              <w:spacing w:before="0" w:after="0" w:line="240" w:lineRule="auto"/>
            </w:pPr>
            <w:r>
              <w:t>Tourism Stays in Personal Spaces, as well as Large Hotels and Resorts in the Hospitality Industry, can provide substitute services alongside direct competing short-term rental services.</w:t>
            </w:r>
          </w:p>
        </w:tc>
        <w:tc>
          <w:tcPr>
            <w:tcW w:w="1470" w:type="dxa"/>
            <w:tcMar>
              <w:top w:w="100" w:type="dxa"/>
              <w:left w:w="100" w:type="dxa"/>
              <w:bottom w:w="100" w:type="dxa"/>
              <w:right w:w="100" w:type="dxa"/>
            </w:tcMar>
          </w:tcPr>
          <w:p w14:paraId="43F3BB74" w14:textId="77777777" w:rsidR="00DC66AC" w:rsidRDefault="0079282B">
            <w:pPr>
              <w:spacing w:before="0" w:after="0" w:line="240" w:lineRule="auto"/>
              <w:jc w:val="center"/>
              <w:rPr>
                <w:b/>
                <w:bCs/>
              </w:rPr>
            </w:pPr>
            <w:r>
              <w:rPr>
                <w:b/>
                <w:bCs/>
              </w:rPr>
              <w:t>High</w:t>
            </w:r>
          </w:p>
        </w:tc>
      </w:tr>
      <w:tr w:rsidR="00DC66AC" w14:paraId="7444BBCF" w14:textId="77777777">
        <w:tc>
          <w:tcPr>
            <w:tcW w:w="2865" w:type="dxa"/>
            <w:tcMar>
              <w:top w:w="100" w:type="dxa"/>
              <w:left w:w="100" w:type="dxa"/>
              <w:bottom w:w="100" w:type="dxa"/>
              <w:right w:w="100" w:type="dxa"/>
            </w:tcMar>
          </w:tcPr>
          <w:p w14:paraId="4117DF78" w14:textId="77777777" w:rsidR="00DC66AC" w:rsidRDefault="0079282B">
            <w:pPr>
              <w:widowControl w:val="0"/>
              <w:spacing w:before="0" w:after="0" w:line="240" w:lineRule="auto"/>
              <w:jc w:val="left"/>
              <w:rPr>
                <w:b/>
                <w:bCs/>
                <w:i/>
                <w:iCs/>
              </w:rPr>
            </w:pPr>
            <w:r>
              <w:rPr>
                <w:b/>
                <w:bCs/>
                <w:i/>
                <w:iCs/>
              </w:rPr>
              <w:t>Buyer Power</w:t>
            </w:r>
          </w:p>
        </w:tc>
        <w:tc>
          <w:tcPr>
            <w:tcW w:w="5010" w:type="dxa"/>
            <w:tcMar>
              <w:top w:w="100" w:type="dxa"/>
              <w:left w:w="100" w:type="dxa"/>
              <w:bottom w:w="100" w:type="dxa"/>
              <w:right w:w="100" w:type="dxa"/>
            </w:tcMar>
          </w:tcPr>
          <w:p w14:paraId="4BE4DD61" w14:textId="77777777" w:rsidR="00DC66AC" w:rsidRDefault="0079282B">
            <w:pPr>
              <w:spacing w:before="0" w:after="0" w:line="240" w:lineRule="auto"/>
            </w:pPr>
            <w:r>
              <w:t>Due to the presence of multiple options to choose from while staying in Saudi Arabia as tourists, the bargaining power of buyers is high.</w:t>
            </w:r>
          </w:p>
        </w:tc>
        <w:tc>
          <w:tcPr>
            <w:tcW w:w="1470" w:type="dxa"/>
            <w:tcMar>
              <w:top w:w="100" w:type="dxa"/>
              <w:left w:w="100" w:type="dxa"/>
              <w:bottom w:w="100" w:type="dxa"/>
              <w:right w:w="100" w:type="dxa"/>
            </w:tcMar>
          </w:tcPr>
          <w:p w14:paraId="260DA376" w14:textId="77777777" w:rsidR="00DC66AC" w:rsidRDefault="0079282B">
            <w:pPr>
              <w:spacing w:before="0" w:after="0" w:line="240" w:lineRule="auto"/>
              <w:jc w:val="center"/>
              <w:rPr>
                <w:b/>
                <w:bCs/>
              </w:rPr>
            </w:pPr>
            <w:r>
              <w:rPr>
                <w:b/>
                <w:bCs/>
              </w:rPr>
              <w:t>High</w:t>
            </w:r>
          </w:p>
        </w:tc>
      </w:tr>
      <w:tr w:rsidR="00DC66AC" w14:paraId="260AE548" w14:textId="77777777">
        <w:tc>
          <w:tcPr>
            <w:tcW w:w="2865" w:type="dxa"/>
            <w:tcMar>
              <w:top w:w="100" w:type="dxa"/>
              <w:left w:w="100" w:type="dxa"/>
              <w:bottom w:w="100" w:type="dxa"/>
              <w:right w:w="100" w:type="dxa"/>
            </w:tcMar>
          </w:tcPr>
          <w:p w14:paraId="0BE5DB27" w14:textId="77777777" w:rsidR="00DC66AC" w:rsidRDefault="0079282B">
            <w:pPr>
              <w:widowControl w:val="0"/>
              <w:spacing w:before="0" w:after="0" w:line="240" w:lineRule="auto"/>
              <w:jc w:val="left"/>
              <w:rPr>
                <w:b/>
                <w:bCs/>
                <w:i/>
                <w:iCs/>
              </w:rPr>
            </w:pPr>
            <w:r>
              <w:rPr>
                <w:b/>
                <w:bCs/>
                <w:i/>
                <w:iCs/>
              </w:rPr>
              <w:t>Supplier Power</w:t>
            </w:r>
          </w:p>
        </w:tc>
        <w:tc>
          <w:tcPr>
            <w:tcW w:w="5010" w:type="dxa"/>
            <w:tcMar>
              <w:top w:w="100" w:type="dxa"/>
              <w:left w:w="100" w:type="dxa"/>
              <w:bottom w:w="100" w:type="dxa"/>
              <w:right w:w="100" w:type="dxa"/>
            </w:tcMar>
          </w:tcPr>
          <w:p w14:paraId="0C1530AD" w14:textId="77777777" w:rsidR="00DC66AC" w:rsidRDefault="0079282B">
            <w:pPr>
              <w:spacing w:before="0" w:after="0" w:line="240" w:lineRule="auto"/>
            </w:pPr>
            <w:r>
              <w:t xml:space="preserve">There is a multitude of suppliers for Hospitality businesses in the Saudi Arabian Hospitality Value Chain, which reduces the individual bargaining power of the suppliers. </w:t>
            </w:r>
          </w:p>
        </w:tc>
        <w:tc>
          <w:tcPr>
            <w:tcW w:w="1470" w:type="dxa"/>
            <w:tcMar>
              <w:top w:w="100" w:type="dxa"/>
              <w:left w:w="100" w:type="dxa"/>
              <w:bottom w:w="100" w:type="dxa"/>
              <w:right w:w="100" w:type="dxa"/>
            </w:tcMar>
          </w:tcPr>
          <w:p w14:paraId="23F91798" w14:textId="77777777" w:rsidR="00DC66AC" w:rsidRDefault="0079282B">
            <w:pPr>
              <w:spacing w:before="0" w:after="0" w:line="240" w:lineRule="auto"/>
              <w:jc w:val="center"/>
              <w:rPr>
                <w:b/>
                <w:bCs/>
              </w:rPr>
            </w:pPr>
            <w:r>
              <w:rPr>
                <w:b/>
                <w:bCs/>
              </w:rPr>
              <w:t>Low</w:t>
            </w:r>
          </w:p>
        </w:tc>
      </w:tr>
      <w:tr w:rsidR="00DC66AC" w14:paraId="2D165FC5" w14:textId="77777777">
        <w:tc>
          <w:tcPr>
            <w:tcW w:w="2865" w:type="dxa"/>
            <w:tcMar>
              <w:top w:w="100" w:type="dxa"/>
              <w:left w:w="100" w:type="dxa"/>
              <w:bottom w:w="100" w:type="dxa"/>
              <w:right w:w="100" w:type="dxa"/>
            </w:tcMar>
          </w:tcPr>
          <w:p w14:paraId="0B0AC471" w14:textId="77777777" w:rsidR="00DC66AC" w:rsidRDefault="0079282B">
            <w:pPr>
              <w:widowControl w:val="0"/>
              <w:spacing w:before="0" w:after="0" w:line="240" w:lineRule="auto"/>
              <w:jc w:val="left"/>
              <w:rPr>
                <w:b/>
                <w:bCs/>
                <w:i/>
                <w:iCs/>
              </w:rPr>
            </w:pPr>
            <w:r>
              <w:rPr>
                <w:b/>
                <w:bCs/>
                <w:i/>
                <w:iCs/>
              </w:rPr>
              <w:t>Competitive Rivalry</w:t>
            </w:r>
          </w:p>
        </w:tc>
        <w:tc>
          <w:tcPr>
            <w:tcW w:w="5010" w:type="dxa"/>
            <w:tcMar>
              <w:top w:w="100" w:type="dxa"/>
              <w:left w:w="100" w:type="dxa"/>
              <w:bottom w:w="100" w:type="dxa"/>
              <w:right w:w="100" w:type="dxa"/>
            </w:tcMar>
          </w:tcPr>
          <w:p w14:paraId="371EC8E4" w14:textId="77777777" w:rsidR="00DC66AC" w:rsidRDefault="0079282B">
            <w:pPr>
              <w:spacing w:before="0" w:after="0" w:line="240" w:lineRule="auto"/>
            </w:pPr>
            <w:r>
              <w:t>The high buyer power, threats of new businesses and substitute services, increase competition between existing players in the Hospitality Industry. This includes Airbnb, OYO, Wyndham Destinations, Novasol, and 9flats, among others (Grand View Research, 2024).</w:t>
            </w:r>
          </w:p>
        </w:tc>
        <w:tc>
          <w:tcPr>
            <w:tcW w:w="1470" w:type="dxa"/>
            <w:tcMar>
              <w:top w:w="100" w:type="dxa"/>
              <w:left w:w="100" w:type="dxa"/>
              <w:bottom w:w="100" w:type="dxa"/>
              <w:right w:w="100" w:type="dxa"/>
            </w:tcMar>
          </w:tcPr>
          <w:p w14:paraId="330DA241" w14:textId="77777777" w:rsidR="00DC66AC" w:rsidRDefault="0079282B">
            <w:pPr>
              <w:spacing w:before="0" w:after="0" w:line="240" w:lineRule="auto"/>
              <w:jc w:val="center"/>
              <w:rPr>
                <w:b/>
                <w:bCs/>
              </w:rPr>
            </w:pPr>
            <w:r>
              <w:rPr>
                <w:b/>
                <w:bCs/>
              </w:rPr>
              <w:t>High</w:t>
            </w:r>
          </w:p>
        </w:tc>
      </w:tr>
    </w:tbl>
    <w:p w14:paraId="4E64DF55" w14:textId="77777777" w:rsidR="00DC66AC" w:rsidRDefault="0079282B">
      <w:pPr>
        <w:jc w:val="center"/>
        <w:rPr>
          <w:b/>
          <w:bCs/>
        </w:rPr>
      </w:pPr>
      <w:r>
        <w:rPr>
          <w:b/>
          <w:bCs/>
        </w:rPr>
        <w:t>Table 2: Porter’s 5 Forces Analysis of Saudi Arabia’s Hospitality Industry</w:t>
      </w:r>
    </w:p>
    <w:p w14:paraId="0ED8A6C2" w14:textId="77777777" w:rsidR="00DC66AC" w:rsidRDefault="0079282B">
      <w:pPr>
        <w:jc w:val="center"/>
      </w:pPr>
      <w:r>
        <w:t>(Source: Self-Developed)</w:t>
      </w:r>
    </w:p>
    <w:p w14:paraId="28822304" w14:textId="77777777" w:rsidR="00DC66AC" w:rsidRDefault="0079282B">
      <w:r>
        <w:t xml:space="preserve">In Table 2, the industry forces in the Saudi Arabian Hospitality Industry have been assessed using Porter’s 5 forces Framework. Herein, there is a lot of market potential in this industry, which is being particularly revitalised by the Vision 2030 plan of Saudi Arabia. Therefore, the market entry barrier is low, and the attractiveness of the market is high, which can, in turn, invite potential new businesses. Therefore, the threat of new entrants to Airbnb in this market is high. Furthermore, the substitutes in the Saudi Arabian Hospitality market, like other short-term rental services, large hotels and resorts, as well as personal spaces of tourists, like relatives’ residences, can also threaten the position of </w:t>
      </w:r>
      <w:r>
        <w:lastRenderedPageBreak/>
        <w:t>Airbnb services in this market, making this also a major threat for the firm. Moreover, with the implementation of the Vision 2030 plan and the subsequent revitalisation of the Saudi Arabian Tourism Industry, the number of tourists and visitors seeking temporary low-cost accommodations will only increase, as will the number of businesses offering such services, allowing the tourists to choose the most profitable deals for them. This shows that the bargaining power of the buyers in the buyer-firm relationship is high, which threatens the profit margin of the firms. However, in this regard, due to the presence of ample suppliers for the hospitality firms, the bargaining power of individual suppliers in the firm-supplier relationship is very low, which can allow the firms to secure profitable procurement deals, ensuring low operational costs. Based on this, it can be stated that competition from rival companies like OYO, Wyndham Destinations, Novasol, and 9flats can increase tremendously, provided the threats faced by these firms, as well as Airbnb, from the industry forces. In this regard, it can be stated that the competitive landscape of the Saudi Arabian Hospitality Industry has been assessed effectively.</w:t>
      </w:r>
    </w:p>
    <w:p w14:paraId="23860F52" w14:textId="77777777" w:rsidR="00DC66AC" w:rsidRDefault="0079282B">
      <w:pPr>
        <w:pStyle w:val="Heading2"/>
      </w:pPr>
      <w:bookmarkStart w:id="7" w:name="_heading=h.wvqpzncjfoj4" w:colFirst="0" w:colLast="0"/>
      <w:bookmarkEnd w:id="7"/>
      <w:r>
        <w:t>3.3 SWOT Analysis</w:t>
      </w: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90"/>
        <w:gridCol w:w="4770"/>
      </w:tblGrid>
      <w:tr w:rsidR="00DC66AC" w14:paraId="1556DE12" w14:textId="77777777">
        <w:tc>
          <w:tcPr>
            <w:tcW w:w="4590" w:type="dxa"/>
            <w:tcMar>
              <w:top w:w="100" w:type="dxa"/>
              <w:left w:w="100" w:type="dxa"/>
              <w:bottom w:w="100" w:type="dxa"/>
              <w:right w:w="100" w:type="dxa"/>
            </w:tcMar>
          </w:tcPr>
          <w:p w14:paraId="69067F79" w14:textId="77777777" w:rsidR="00DC66AC" w:rsidRDefault="0079282B">
            <w:pPr>
              <w:spacing w:before="0" w:after="0" w:line="240" w:lineRule="auto"/>
              <w:jc w:val="center"/>
              <w:rPr>
                <w:b/>
                <w:bCs/>
              </w:rPr>
            </w:pPr>
            <w:r>
              <w:rPr>
                <w:b/>
                <w:bCs/>
              </w:rPr>
              <w:t>Strengths</w:t>
            </w:r>
          </w:p>
        </w:tc>
        <w:tc>
          <w:tcPr>
            <w:tcW w:w="4770" w:type="dxa"/>
            <w:tcMar>
              <w:top w:w="100" w:type="dxa"/>
              <w:left w:w="100" w:type="dxa"/>
              <w:bottom w:w="100" w:type="dxa"/>
              <w:right w:w="100" w:type="dxa"/>
            </w:tcMar>
          </w:tcPr>
          <w:p w14:paraId="3955381F" w14:textId="77777777" w:rsidR="00DC66AC" w:rsidRDefault="0079282B">
            <w:pPr>
              <w:spacing w:before="0" w:after="0" w:line="240" w:lineRule="auto"/>
              <w:jc w:val="center"/>
              <w:rPr>
                <w:b/>
                <w:bCs/>
              </w:rPr>
            </w:pPr>
            <w:r>
              <w:rPr>
                <w:b/>
                <w:bCs/>
              </w:rPr>
              <w:t>Weaknesses</w:t>
            </w:r>
          </w:p>
        </w:tc>
      </w:tr>
      <w:tr w:rsidR="00DC66AC" w14:paraId="7F1EF825" w14:textId="77777777">
        <w:tc>
          <w:tcPr>
            <w:tcW w:w="4590" w:type="dxa"/>
            <w:tcMar>
              <w:top w:w="100" w:type="dxa"/>
              <w:left w:w="100" w:type="dxa"/>
              <w:bottom w:w="100" w:type="dxa"/>
              <w:right w:w="100" w:type="dxa"/>
            </w:tcMar>
          </w:tcPr>
          <w:p w14:paraId="40922617" w14:textId="77777777" w:rsidR="00DC66AC" w:rsidRDefault="0079282B">
            <w:pPr>
              <w:numPr>
                <w:ilvl w:val="0"/>
                <w:numId w:val="2"/>
              </w:numPr>
              <w:spacing w:before="0" w:after="0" w:line="240" w:lineRule="auto"/>
            </w:pPr>
            <w:r>
              <w:t>Major Global Presence across over 220 countries and regions (Airbnb, 2025).</w:t>
            </w:r>
          </w:p>
          <w:p w14:paraId="41CC1A1F" w14:textId="77777777" w:rsidR="00DC66AC" w:rsidRDefault="0079282B">
            <w:pPr>
              <w:numPr>
                <w:ilvl w:val="0"/>
                <w:numId w:val="2"/>
              </w:numPr>
              <w:spacing w:before="0" w:after="0" w:line="240" w:lineRule="auto"/>
            </w:pPr>
            <w:r>
              <w:t>Over 5 million hosts on Airbnb (Airbnb, 2025).</w:t>
            </w:r>
          </w:p>
          <w:p w14:paraId="4E12E1F7" w14:textId="77777777" w:rsidR="00DC66AC" w:rsidRDefault="0079282B">
            <w:pPr>
              <w:numPr>
                <w:ilvl w:val="0"/>
                <w:numId w:val="2"/>
              </w:numPr>
              <w:spacing w:before="0" w:after="0" w:line="240" w:lineRule="auto"/>
            </w:pPr>
            <w:r>
              <w:t>Strong Financial Resources (Airbnb, 2025a).</w:t>
            </w:r>
          </w:p>
        </w:tc>
        <w:tc>
          <w:tcPr>
            <w:tcW w:w="4770" w:type="dxa"/>
            <w:tcMar>
              <w:top w:w="100" w:type="dxa"/>
              <w:left w:w="100" w:type="dxa"/>
              <w:bottom w:w="100" w:type="dxa"/>
              <w:right w:w="100" w:type="dxa"/>
            </w:tcMar>
          </w:tcPr>
          <w:p w14:paraId="45739E3E" w14:textId="77777777" w:rsidR="00DC66AC" w:rsidRDefault="0079282B">
            <w:pPr>
              <w:numPr>
                <w:ilvl w:val="0"/>
                <w:numId w:val="3"/>
              </w:numPr>
              <w:spacing w:before="0" w:after="0" w:line="240" w:lineRule="auto"/>
            </w:pPr>
            <w:r>
              <w:t>Low Occupancy Rate of Existing Host Facilities in Tier 1 cities like Riyadh (Airroi, 2025).</w:t>
            </w:r>
          </w:p>
          <w:p w14:paraId="7F8A7E5F" w14:textId="77777777" w:rsidR="00DC66AC" w:rsidRDefault="0079282B">
            <w:pPr>
              <w:numPr>
                <w:ilvl w:val="0"/>
                <w:numId w:val="3"/>
              </w:numPr>
              <w:spacing w:before="0" w:after="0" w:line="240" w:lineRule="auto"/>
            </w:pPr>
            <w:r>
              <w:t>Insufficient Market Penetration in existing markets like Saudi Arabia</w:t>
            </w:r>
          </w:p>
        </w:tc>
      </w:tr>
      <w:tr w:rsidR="00DC66AC" w14:paraId="0BB6F475" w14:textId="77777777">
        <w:tc>
          <w:tcPr>
            <w:tcW w:w="4590" w:type="dxa"/>
            <w:tcMar>
              <w:top w:w="100" w:type="dxa"/>
              <w:left w:w="100" w:type="dxa"/>
              <w:bottom w:w="100" w:type="dxa"/>
              <w:right w:w="100" w:type="dxa"/>
            </w:tcMar>
          </w:tcPr>
          <w:p w14:paraId="6222AA63" w14:textId="77777777" w:rsidR="00DC66AC" w:rsidRDefault="0079282B">
            <w:pPr>
              <w:spacing w:before="0" w:after="0" w:line="240" w:lineRule="auto"/>
              <w:jc w:val="center"/>
              <w:rPr>
                <w:b/>
                <w:bCs/>
              </w:rPr>
            </w:pPr>
            <w:r>
              <w:rPr>
                <w:b/>
                <w:bCs/>
              </w:rPr>
              <w:t>Opportunities</w:t>
            </w:r>
          </w:p>
        </w:tc>
        <w:tc>
          <w:tcPr>
            <w:tcW w:w="4770" w:type="dxa"/>
            <w:tcMar>
              <w:top w:w="100" w:type="dxa"/>
              <w:left w:w="100" w:type="dxa"/>
              <w:bottom w:w="100" w:type="dxa"/>
              <w:right w:w="100" w:type="dxa"/>
            </w:tcMar>
          </w:tcPr>
          <w:p w14:paraId="66EF770C" w14:textId="77777777" w:rsidR="00DC66AC" w:rsidRDefault="0079282B">
            <w:pPr>
              <w:spacing w:before="0" w:after="0" w:line="240" w:lineRule="auto"/>
              <w:jc w:val="center"/>
              <w:rPr>
                <w:b/>
                <w:bCs/>
              </w:rPr>
            </w:pPr>
            <w:r>
              <w:rPr>
                <w:b/>
                <w:bCs/>
              </w:rPr>
              <w:t>Threats</w:t>
            </w:r>
          </w:p>
        </w:tc>
      </w:tr>
      <w:tr w:rsidR="00DC66AC" w14:paraId="1AFC5E00" w14:textId="77777777">
        <w:tc>
          <w:tcPr>
            <w:tcW w:w="4590" w:type="dxa"/>
            <w:tcMar>
              <w:top w:w="100" w:type="dxa"/>
              <w:left w:w="100" w:type="dxa"/>
              <w:bottom w:w="100" w:type="dxa"/>
              <w:right w:w="100" w:type="dxa"/>
            </w:tcMar>
          </w:tcPr>
          <w:p w14:paraId="04CCF1F7" w14:textId="77777777" w:rsidR="00DC66AC" w:rsidRDefault="0079282B">
            <w:pPr>
              <w:numPr>
                <w:ilvl w:val="0"/>
                <w:numId w:val="4"/>
              </w:numPr>
              <w:spacing w:before="0" w:after="0" w:line="240" w:lineRule="auto"/>
            </w:pPr>
            <w:r>
              <w:t>Saudi Arabia’s Vision 2030 Plan aims to revitalise Tourism and Hospitality, creating higher demand for low-cost rentals.</w:t>
            </w:r>
          </w:p>
          <w:p w14:paraId="456B52D1" w14:textId="77777777" w:rsidR="00DC66AC" w:rsidRDefault="0079282B">
            <w:pPr>
              <w:numPr>
                <w:ilvl w:val="0"/>
                <w:numId w:val="4"/>
              </w:numPr>
              <w:spacing w:before="0" w:after="0" w:line="240" w:lineRule="auto"/>
            </w:pPr>
            <w:r>
              <w:t>Increased Technological Development supports Hospitality 4.0 integration into facilities.</w:t>
            </w:r>
          </w:p>
          <w:p w14:paraId="4154FDB5" w14:textId="77777777" w:rsidR="00DC66AC" w:rsidRDefault="0079282B">
            <w:pPr>
              <w:numPr>
                <w:ilvl w:val="0"/>
                <w:numId w:val="4"/>
              </w:numPr>
              <w:spacing w:before="0" w:after="0" w:line="240" w:lineRule="auto"/>
            </w:pPr>
            <w:r>
              <w:t>Low Supplier Power reduces Procurement Costs.</w:t>
            </w:r>
          </w:p>
        </w:tc>
        <w:tc>
          <w:tcPr>
            <w:tcW w:w="4770" w:type="dxa"/>
            <w:tcMar>
              <w:top w:w="100" w:type="dxa"/>
              <w:left w:w="100" w:type="dxa"/>
              <w:bottom w:w="100" w:type="dxa"/>
              <w:right w:w="100" w:type="dxa"/>
            </w:tcMar>
          </w:tcPr>
          <w:p w14:paraId="7495E42A" w14:textId="77777777" w:rsidR="00DC66AC" w:rsidRDefault="0079282B">
            <w:pPr>
              <w:numPr>
                <w:ilvl w:val="0"/>
                <w:numId w:val="1"/>
              </w:numPr>
              <w:spacing w:before="0" w:after="0" w:line="240" w:lineRule="auto"/>
            </w:pPr>
            <w:r>
              <w:t>Major competition from firms like OYO, 9flats, Wyndham Destinations, and Novasol.</w:t>
            </w:r>
          </w:p>
          <w:p w14:paraId="355F102D" w14:textId="77777777" w:rsidR="00DC66AC" w:rsidRDefault="0079282B">
            <w:pPr>
              <w:numPr>
                <w:ilvl w:val="0"/>
                <w:numId w:val="1"/>
              </w:numPr>
              <w:spacing w:before="0" w:after="0" w:line="240" w:lineRule="auto"/>
            </w:pPr>
            <w:r>
              <w:t>High threat of new business competitors and substitute hospitality services.</w:t>
            </w:r>
          </w:p>
        </w:tc>
      </w:tr>
    </w:tbl>
    <w:p w14:paraId="5EAEDCB2" w14:textId="77777777" w:rsidR="00DC66AC" w:rsidRDefault="0079282B">
      <w:pPr>
        <w:jc w:val="center"/>
        <w:rPr>
          <w:b/>
          <w:bCs/>
        </w:rPr>
      </w:pPr>
      <w:r>
        <w:rPr>
          <w:b/>
          <w:bCs/>
        </w:rPr>
        <w:lastRenderedPageBreak/>
        <w:t>Table 3: SWOT Analysis of Airbnb in Saudi Arabia</w:t>
      </w:r>
    </w:p>
    <w:p w14:paraId="7555896E" w14:textId="77777777" w:rsidR="00DC66AC" w:rsidRDefault="0079282B">
      <w:pPr>
        <w:jc w:val="center"/>
      </w:pPr>
      <w:r>
        <w:t>(Source: Self-Developed)</w:t>
      </w:r>
    </w:p>
    <w:p w14:paraId="6D8628F5" w14:textId="77777777" w:rsidR="00DC66AC" w:rsidRDefault="0079282B">
      <w:r>
        <w:t>In Table 3, the SWOT Analysis has been conducted to summarise the above research, and present the internal strengths and weaknesses of Airbnb in Saudi Arabia, and the external opportunities and threats that can affect its strategic business management. In this regard, it is identified that the strengths of Airbnb include its Significant Global Presence and relevant brand reputation, as well as the large number of hosts of Airbnb and the strong financial returns of the firm. In terms of weaknesses, Airbnb has demonstrated the low occupancy rate of its existing facilities in Riyadh, which marks a dissatisfactory service standard of these facilities. Moreover, despite its global presence, Airbnb has yet to sufficiently penetrate the Saudi Arabian market. In terms of opportunities, the low bargaining power of the suppliers, as well as the significant financial investment of the nation in technological advancements, as well as the Vision 2030 Plan of the country, provide ample opportunity for Airbnb to effectively penetrate the Saudi Arabian Hospitality market. However, threats from competitors, new businesses, and substitute hospitality services present the current threat to the Saudi Arabian market of Airbnb.</w:t>
      </w:r>
    </w:p>
    <w:p w14:paraId="4EDE43B4" w14:textId="77777777" w:rsidR="00DC66AC" w:rsidRDefault="0079282B">
      <w:pPr>
        <w:pStyle w:val="Heading2"/>
      </w:pPr>
      <w:bookmarkStart w:id="8" w:name="_heading=h.92e4ht2290w" w:colFirst="0" w:colLast="0"/>
      <w:bookmarkEnd w:id="8"/>
      <w:r>
        <w:t>3.4 Evaluation of Effectiveness and Limitations</w:t>
      </w:r>
    </w:p>
    <w:p w14:paraId="3FD81E3E" w14:textId="77777777" w:rsidR="00DC66AC" w:rsidRDefault="0079282B">
      <w:r>
        <w:rPr>
          <w:b/>
          <w:bCs/>
        </w:rPr>
        <w:t>PESTLE Framework</w:t>
      </w:r>
      <w:r>
        <w:t xml:space="preserve">: Rastogi and Trivedi (2016) stated that PESTLE Analysis is one of the most widely used strategic business planning tools, which can be used to track the changes in the external macroenvironment of a business. In this regard, the PESTLE Analysis mainly explores the political, legal, environmental, economic, social and technological dimensions of the external environment. In this report, the PESTLE analysis has been appropriately utilised to gain a better understanding of the external environment within Saudi Arabia, which can provide threats and opportunities to a business like Airbnb. Thus, the effectiveness of the PESTLE Framework was demonstrated in this report. Buye (2021) in their research explains that the PESTLE Framework, as a static framework, wastes resources, time and effort, as the results from one PESTLE Analysis can quickly </w:t>
      </w:r>
      <w:r>
        <w:lastRenderedPageBreak/>
        <w:t>become obsolete, resulting in the need for further PESTLE analyses. This can be considered as the major limitation of the PESTLE Framework.</w:t>
      </w:r>
    </w:p>
    <w:p w14:paraId="610CFFCC" w14:textId="77777777" w:rsidR="00DC66AC" w:rsidRDefault="0079282B">
      <w:r>
        <w:rPr>
          <w:b/>
          <w:bCs/>
        </w:rPr>
        <w:t>Porter’s 5 Forces Framework</w:t>
      </w:r>
      <w:r>
        <w:t xml:space="preserve">: Porter’s 5 Forces Framework, developed by Michael Porter, is dependent on industrial organisation economics, and helps identify the trends in the industrial forces like bargaining power of buyers and suppliers, threats of substitutes and new businesses, as well as competitive rivalry (Pangarkar and Prabhudesai, 2024). In this regard, the present report demonstrates the effectiveness of Porter’s 5 forces framework, as the industrial forces in the Saudi Arabian Hospitality Sector were assessed in this report, based on the five force categories discussed in the framework. However, one of the limitations of Porter’s 5 Forces Framework is that it, much like PESTLE, is a static framework, meaning the validity of the insights is mostly short-lived. In this regard, Porter’s 5 Forces framework is also limited in that its implementation cannot account for the influence of industry forces on major firms which operate in multiple industries. </w:t>
      </w:r>
    </w:p>
    <w:p w14:paraId="4ABE15B1" w14:textId="77777777" w:rsidR="00DC66AC" w:rsidRDefault="0079282B">
      <w:r>
        <w:rPr>
          <w:b/>
          <w:bCs/>
        </w:rPr>
        <w:t>SWOT Analysis Framework</w:t>
      </w:r>
      <w:r>
        <w:t xml:space="preserve">: The SWOT analysis is one of the most widely used strategic management tools, which has a wide range of applicability, and is mainly used by businesses for the identification of strengths and weaknesses of the businesses, as well as the opportunities and threats available in the external environment. In this regard, in the present report, the SWOT Analysis was used to summarise the external opportunities and threats to Airbnb while also identifying the internal strengths and weaknesses of the firm. This shows the effectiveness of the SWOT Analysis in achieving its purpose. </w:t>
      </w:r>
    </w:p>
    <w:p w14:paraId="7953064F" w14:textId="77777777" w:rsidR="00DC66AC" w:rsidRDefault="0079282B">
      <w:pPr>
        <w:pStyle w:val="Heading1"/>
        <w:rPr>
          <w:highlight w:val="yellow"/>
        </w:rPr>
      </w:pPr>
      <w:bookmarkStart w:id="9" w:name="_heading=h.myb7zefvnsng" w:colFirst="0" w:colLast="0"/>
      <w:bookmarkEnd w:id="9"/>
      <w:r>
        <w:t>4. Strategy Development and Formulation</w:t>
      </w:r>
    </w:p>
    <w:p w14:paraId="0125EAD5" w14:textId="77777777" w:rsidR="00DC66AC" w:rsidRDefault="0079282B">
      <w:pPr>
        <w:pStyle w:val="Heading2"/>
      </w:pPr>
      <w:bookmarkStart w:id="10" w:name="_heading=h.48u5btqvqvuv" w:colFirst="0" w:colLast="0"/>
      <w:bookmarkEnd w:id="10"/>
      <w:r>
        <w:t>4.1 Objectives</w:t>
      </w:r>
    </w:p>
    <w:p w14:paraId="26AE90AC" w14:textId="77777777" w:rsidR="00DC66AC" w:rsidRDefault="0079282B">
      <w:r>
        <w:t xml:space="preserve">To ensure the expansion of usage and services within the Saudi market, with a targeted increase in consumer engagement by 25% within 6 months, by using social media marketing and promoting the services of Airbnb by connecting with the local influencers in Saudi Arabia. </w:t>
      </w:r>
    </w:p>
    <w:p w14:paraId="11F0DF2B" w14:textId="77777777" w:rsidR="00DC66AC" w:rsidRDefault="0079282B">
      <w:r>
        <w:lastRenderedPageBreak/>
        <w:t xml:space="preserve">Leveraging the experiences of desert tours, campaigning, and advertising through social media is reliable for the brand to influence the need for the services among the tourists. </w:t>
      </w:r>
    </w:p>
    <w:p w14:paraId="60AE3AF1" w14:textId="77777777" w:rsidR="00DC66AC" w:rsidRDefault="0079282B">
      <w:pPr>
        <w:pStyle w:val="Heading2"/>
      </w:pPr>
      <w:bookmarkStart w:id="11" w:name="_heading=h.95dlj6fo49gx" w:colFirst="0" w:colLast="0"/>
      <w:bookmarkEnd w:id="11"/>
      <w:r>
        <w:t>4.2 Ansoff Matrix for Market Expansion Approach</w:t>
      </w:r>
    </w:p>
    <w:p w14:paraId="1718083B" w14:textId="77777777" w:rsidR="00DC66AC" w:rsidRDefault="0079282B">
      <w:pPr>
        <w:rPr>
          <w:color w:val="0E101A"/>
        </w:rPr>
      </w:pPr>
      <w:r>
        <w:t xml:space="preserve">The Ansoff Matrix assesses the strategic success by analysing the environmental factors and application of the diverse overview of the industry necessary for proper marketing activities (Hortega </w:t>
      </w:r>
      <w:r>
        <w:rPr>
          <w:i/>
          <w:iCs/>
        </w:rPr>
        <w:t>et al</w:t>
      </w:r>
      <w:r>
        <w:t>., 2025). The application the strategic approaches for the market expansion for Airbnb Inc., in the Saudi Arabian market. The Ansoff matrix is divid</w:t>
      </w:r>
      <w:bookmarkStart w:id="12" w:name="_GoBack"/>
      <w:bookmarkEnd w:id="12"/>
      <w:r>
        <w:t xml:space="preserve">ed into four segments: market penetration, market development, product development and diversification. </w:t>
      </w:r>
      <w:r>
        <w:rPr>
          <w:color w:val="0E101A"/>
        </w:rPr>
        <w:t xml:space="preserve">The </w:t>
      </w:r>
      <w:r>
        <w:rPr>
          <w:b/>
          <w:bCs/>
          <w:i/>
          <w:iCs/>
          <w:color w:val="0E101A"/>
        </w:rPr>
        <w:t>marketing penetration</w:t>
      </w:r>
      <w:r>
        <w:rPr>
          <w:color w:val="0E101A"/>
        </w:rPr>
        <w:t xml:space="preserve"> focuses on increasing the use of Airbnb's existing services among the existing consumers who seek to visit Saudi Arabia. The market development determines the necessity of expansion of the Airbnb services in the Saudi market, by entering the urban cities, such as Mecca, Dubai and more. Furthermore, localising a customer support platform, through hiring local employees who are enhanced with local language customer support, helps in adaptation to the culture and tradition and so on. Partnering with the local tourism as well as the property partners helps to develop social enterprises that empower the communities and also foster positive outcomes (Qu</w:t>
      </w:r>
      <w:r>
        <w:rPr>
          <w:i/>
          <w:iCs/>
          <w:color w:val="0E101A"/>
        </w:rPr>
        <w:t xml:space="preserve"> et al</w:t>
      </w:r>
      <w:r>
        <w:rPr>
          <w:color w:val="0E101A"/>
        </w:rPr>
        <w:t xml:space="preserve">., 2022). In terms of the evaluation of the </w:t>
      </w:r>
      <w:r>
        <w:rPr>
          <w:b/>
          <w:bCs/>
          <w:i/>
          <w:iCs/>
          <w:color w:val="0E101A"/>
        </w:rPr>
        <w:t>product development</w:t>
      </w:r>
      <w:r>
        <w:rPr>
          <w:color w:val="0E101A"/>
        </w:rPr>
        <w:t xml:space="preserve">, empathising with the Airbnb services and introducing new services helps to embrace the product development aspects. For instance, offering an experience of the Saudi culture along with the stay targets more international travellers to opt for the Airbnb services. Furthermore, the launch of the premium and luxurious stay leads to influencing the premium pricing evaluation for the guest, which is effective for determining quality services to the target audiences. Haji is considered the fifth pillar of the Islamic tradition, and attracts more than 3 million pilgrim travellers each year without obligation (Al Jahdali, 2021). Hence, presenting services for the Haji travel helps to enrich the experiences of the target audiences. The significant entry into the existing Saudi Arabian market, the </w:t>
      </w:r>
      <w:r>
        <w:rPr>
          <w:b/>
          <w:bCs/>
          <w:i/>
          <w:iCs/>
          <w:color w:val="0E101A"/>
        </w:rPr>
        <w:t xml:space="preserve">diversification, </w:t>
      </w:r>
      <w:r>
        <w:rPr>
          <w:color w:val="0E101A"/>
        </w:rPr>
        <w:t xml:space="preserve">are requires new services or product integration. Therefore, Airbnb must be accessed upon the launch of the new hospitality services such as eco-resorts, hotels and more. Furthermore, the company needs to enhance the experiences of the guest; hence, integration and partnering with the developer helps to derive Airbnb </w:t>
      </w:r>
      <w:r>
        <w:rPr>
          <w:color w:val="0E101A"/>
        </w:rPr>
        <w:lastRenderedPageBreak/>
        <w:t>accommodations. As per the findings of Hillebrand (2022), Airbnb focuses on being aware that the available factors also determine the ecosystem. Hence, the usage of social media marketing is reliable for the brand to achieve effective outcomes. The social media influencer collaboration enriches the awareness regarding the new services provided by the brand.</w:t>
      </w:r>
    </w:p>
    <w:p w14:paraId="1000850C" w14:textId="77777777" w:rsidR="00DC66AC" w:rsidRPr="003A0BED" w:rsidRDefault="0079282B">
      <w:pPr>
        <w:rPr>
          <w:color w:val="000000" w:themeColor="text1"/>
        </w:rPr>
      </w:pPr>
      <w:r>
        <w:rPr>
          <w:color w:val="0E101A"/>
        </w:rPr>
        <w:t xml:space="preserve">The choice of </w:t>
      </w:r>
      <w:r>
        <w:rPr>
          <w:b/>
          <w:bCs/>
          <w:i/>
          <w:iCs/>
          <w:color w:val="0E101A"/>
        </w:rPr>
        <w:t>market penetration</w:t>
      </w:r>
      <w:r>
        <w:rPr>
          <w:color w:val="0E101A"/>
        </w:rPr>
        <w:t xml:space="preserve"> is essential for Airbnb, as in the existing market, the expansion towards different cities is important for the brand. </w:t>
      </w:r>
      <w:r w:rsidRPr="003A0BED">
        <w:rPr>
          <w:color w:val="000000" w:themeColor="text1"/>
        </w:rPr>
        <w:t>This is further supported by the current low penetration of Airbnb in the Saudi Arabian market. For instance, with over 3000 active Airbnb Listings in Riyadh, the occupancy rate is at 28,7% (Airroi, 2025). On the other hand, in Jeddah, the occupancy rate among over 1500 active listings is still 28.7% (Airroi, 2025a). This shows that with Saudi Arabia as its existing market, and its services being providing affordable tourist accommodation, Airbnb should enter the Saudi Arabian market through market penetration, expanding to major cities and sub-urban regions in search for new customer acquisition and customer base expansion. The promotion of Airbnb's repeat visitors helps to determine the satisfaction of the service users, which leads to engagement with Airbnb. The organisation focuses on the attribution of the user’s post-purchase influences and emotions, which are connected with the location, and presenting effective services allows for enhancing successful operation by Airbnb (Lee</w:t>
      </w:r>
      <w:r w:rsidRPr="003A0BED">
        <w:rPr>
          <w:i/>
          <w:iCs/>
          <w:color w:val="000000" w:themeColor="text1"/>
        </w:rPr>
        <w:t xml:space="preserve"> et al</w:t>
      </w:r>
      <w:r w:rsidRPr="003A0BED">
        <w:rPr>
          <w:color w:val="000000" w:themeColor="text1"/>
        </w:rPr>
        <w:t xml:space="preserve">., 2022). Furthermore, the brand must focus on increasing bookings through its own website and mobile application. </w:t>
      </w:r>
    </w:p>
    <w:p w14:paraId="7EFCC704" w14:textId="77777777" w:rsidR="00DC66AC" w:rsidRPr="003A0BED" w:rsidRDefault="0079282B">
      <w:pPr>
        <w:pStyle w:val="Heading2"/>
        <w:rPr>
          <w:color w:val="000000" w:themeColor="text1"/>
        </w:rPr>
      </w:pPr>
      <w:bookmarkStart w:id="13" w:name="_heading=h.q8m7rnwlw0jc" w:colFirst="0" w:colLast="0"/>
      <w:bookmarkEnd w:id="13"/>
      <w:r w:rsidRPr="003A0BED">
        <w:rPr>
          <w:color w:val="000000" w:themeColor="text1"/>
        </w:rPr>
        <w:t>4.3 VRIO Analysis for Competitive Advantage Identification</w:t>
      </w:r>
    </w:p>
    <w:tbl>
      <w:tblPr>
        <w:tblStyle w:val="a8"/>
        <w:tblW w:w="95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200"/>
        <w:gridCol w:w="825"/>
        <w:gridCol w:w="1020"/>
        <w:gridCol w:w="1410"/>
        <w:gridCol w:w="3495"/>
      </w:tblGrid>
      <w:tr w:rsidR="00DC66AC" w:rsidRPr="003A0BED" w14:paraId="59801EF0" w14:textId="77777777">
        <w:tc>
          <w:tcPr>
            <w:tcW w:w="1560" w:type="dxa"/>
            <w:tcMar>
              <w:top w:w="100" w:type="dxa"/>
              <w:left w:w="100" w:type="dxa"/>
              <w:bottom w:w="100" w:type="dxa"/>
              <w:right w:w="100" w:type="dxa"/>
            </w:tcMar>
          </w:tcPr>
          <w:p w14:paraId="426BE45B"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Resources</w:t>
            </w:r>
          </w:p>
        </w:tc>
        <w:tc>
          <w:tcPr>
            <w:tcW w:w="1200" w:type="dxa"/>
            <w:tcMar>
              <w:top w:w="100" w:type="dxa"/>
              <w:left w:w="100" w:type="dxa"/>
              <w:bottom w:w="100" w:type="dxa"/>
              <w:right w:w="100" w:type="dxa"/>
            </w:tcMar>
          </w:tcPr>
          <w:p w14:paraId="4024534C"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Valuable (V)</w:t>
            </w:r>
          </w:p>
        </w:tc>
        <w:tc>
          <w:tcPr>
            <w:tcW w:w="825" w:type="dxa"/>
            <w:tcMar>
              <w:top w:w="100" w:type="dxa"/>
              <w:left w:w="100" w:type="dxa"/>
              <w:bottom w:w="100" w:type="dxa"/>
              <w:right w:w="100" w:type="dxa"/>
            </w:tcMar>
          </w:tcPr>
          <w:p w14:paraId="4C9C5516"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Rare (R)</w:t>
            </w:r>
          </w:p>
        </w:tc>
        <w:tc>
          <w:tcPr>
            <w:tcW w:w="1020" w:type="dxa"/>
            <w:tcMar>
              <w:top w:w="100" w:type="dxa"/>
              <w:left w:w="100" w:type="dxa"/>
              <w:bottom w:w="100" w:type="dxa"/>
              <w:right w:w="100" w:type="dxa"/>
            </w:tcMar>
          </w:tcPr>
          <w:p w14:paraId="24791BF7"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Inimitate (I)</w:t>
            </w:r>
          </w:p>
        </w:tc>
        <w:tc>
          <w:tcPr>
            <w:tcW w:w="1410" w:type="dxa"/>
            <w:tcMar>
              <w:top w:w="100" w:type="dxa"/>
              <w:left w:w="100" w:type="dxa"/>
              <w:bottom w:w="100" w:type="dxa"/>
              <w:right w:w="100" w:type="dxa"/>
            </w:tcMar>
          </w:tcPr>
          <w:p w14:paraId="55328694"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Organised (O)</w:t>
            </w:r>
          </w:p>
        </w:tc>
        <w:tc>
          <w:tcPr>
            <w:tcW w:w="3495" w:type="dxa"/>
            <w:tcMar>
              <w:top w:w="100" w:type="dxa"/>
              <w:left w:w="100" w:type="dxa"/>
              <w:bottom w:w="100" w:type="dxa"/>
              <w:right w:w="100" w:type="dxa"/>
            </w:tcMar>
          </w:tcPr>
          <w:p w14:paraId="0E61D048" w14:textId="77777777" w:rsidR="00DC66AC" w:rsidRPr="003A0BED" w:rsidRDefault="0079282B">
            <w:pPr>
              <w:widowControl w:val="0"/>
              <w:pBdr>
                <w:top w:val="nil"/>
                <w:left w:val="nil"/>
                <w:bottom w:val="nil"/>
                <w:right w:val="nil"/>
                <w:between w:val="nil"/>
              </w:pBdr>
              <w:spacing w:before="0" w:after="0"/>
              <w:jc w:val="left"/>
              <w:rPr>
                <w:b/>
                <w:bCs/>
                <w:color w:val="000000" w:themeColor="text1"/>
              </w:rPr>
            </w:pPr>
            <w:r w:rsidRPr="003A0BED">
              <w:rPr>
                <w:b/>
                <w:bCs/>
                <w:color w:val="000000" w:themeColor="text1"/>
              </w:rPr>
              <w:t>Sustainable competitive advantages</w:t>
            </w:r>
          </w:p>
        </w:tc>
      </w:tr>
      <w:tr w:rsidR="00DC66AC" w:rsidRPr="003A0BED" w14:paraId="24268A2E" w14:textId="77777777">
        <w:tc>
          <w:tcPr>
            <w:tcW w:w="1560" w:type="dxa"/>
            <w:tcMar>
              <w:top w:w="100" w:type="dxa"/>
              <w:left w:w="100" w:type="dxa"/>
              <w:bottom w:w="100" w:type="dxa"/>
              <w:right w:w="100" w:type="dxa"/>
            </w:tcMar>
          </w:tcPr>
          <w:p w14:paraId="232FD3A7"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Global recognition of the brand</w:t>
            </w:r>
          </w:p>
        </w:tc>
        <w:tc>
          <w:tcPr>
            <w:tcW w:w="1200" w:type="dxa"/>
            <w:tcMar>
              <w:top w:w="100" w:type="dxa"/>
              <w:left w:w="100" w:type="dxa"/>
              <w:bottom w:w="100" w:type="dxa"/>
              <w:right w:w="100" w:type="dxa"/>
            </w:tcMar>
          </w:tcPr>
          <w:p w14:paraId="7CD767CF"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825" w:type="dxa"/>
            <w:tcMar>
              <w:top w:w="100" w:type="dxa"/>
              <w:left w:w="100" w:type="dxa"/>
              <w:bottom w:w="100" w:type="dxa"/>
              <w:right w:w="100" w:type="dxa"/>
            </w:tcMar>
          </w:tcPr>
          <w:p w14:paraId="6EB66E9A"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1020" w:type="dxa"/>
            <w:tcMar>
              <w:top w:w="100" w:type="dxa"/>
              <w:left w:w="100" w:type="dxa"/>
              <w:bottom w:w="100" w:type="dxa"/>
              <w:right w:w="100" w:type="dxa"/>
            </w:tcMar>
          </w:tcPr>
          <w:p w14:paraId="67BDF444"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No</w:t>
            </w:r>
          </w:p>
        </w:tc>
        <w:tc>
          <w:tcPr>
            <w:tcW w:w="1410" w:type="dxa"/>
            <w:tcMar>
              <w:top w:w="100" w:type="dxa"/>
              <w:left w:w="100" w:type="dxa"/>
              <w:bottom w:w="100" w:type="dxa"/>
              <w:right w:w="100" w:type="dxa"/>
            </w:tcMar>
          </w:tcPr>
          <w:p w14:paraId="7D50CB50"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3495" w:type="dxa"/>
            <w:tcMar>
              <w:top w:w="100" w:type="dxa"/>
              <w:left w:w="100" w:type="dxa"/>
              <w:bottom w:w="100" w:type="dxa"/>
              <w:right w:w="100" w:type="dxa"/>
            </w:tcMar>
          </w:tcPr>
          <w:p w14:paraId="1F94AA82"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Temporary Competitive Advantage</w:t>
            </w:r>
          </w:p>
          <w:p w14:paraId="255E0D07" w14:textId="77777777" w:rsidR="00DC66AC" w:rsidRPr="003A0BED" w:rsidRDefault="00DC66AC">
            <w:pPr>
              <w:widowControl w:val="0"/>
              <w:pBdr>
                <w:top w:val="nil"/>
                <w:left w:val="nil"/>
                <w:bottom w:val="nil"/>
                <w:right w:val="nil"/>
                <w:between w:val="nil"/>
              </w:pBdr>
              <w:spacing w:before="0" w:after="0"/>
              <w:jc w:val="left"/>
              <w:rPr>
                <w:color w:val="000000" w:themeColor="text1"/>
              </w:rPr>
            </w:pPr>
          </w:p>
        </w:tc>
      </w:tr>
      <w:tr w:rsidR="00DC66AC" w:rsidRPr="003A0BED" w14:paraId="24F65535" w14:textId="77777777">
        <w:tc>
          <w:tcPr>
            <w:tcW w:w="1560" w:type="dxa"/>
            <w:tcMar>
              <w:top w:w="100" w:type="dxa"/>
              <w:left w:w="100" w:type="dxa"/>
              <w:bottom w:w="100" w:type="dxa"/>
              <w:right w:w="100" w:type="dxa"/>
            </w:tcMar>
          </w:tcPr>
          <w:p w14:paraId="758FC8DF"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 xml:space="preserve">Airbnb </w:t>
            </w:r>
            <w:r w:rsidRPr="003A0BED">
              <w:rPr>
                <w:color w:val="000000" w:themeColor="text1"/>
              </w:rPr>
              <w:lastRenderedPageBreak/>
              <w:t>Experiences</w:t>
            </w:r>
          </w:p>
        </w:tc>
        <w:tc>
          <w:tcPr>
            <w:tcW w:w="1200" w:type="dxa"/>
            <w:tcMar>
              <w:top w:w="100" w:type="dxa"/>
              <w:left w:w="100" w:type="dxa"/>
              <w:bottom w:w="100" w:type="dxa"/>
              <w:right w:w="100" w:type="dxa"/>
            </w:tcMar>
          </w:tcPr>
          <w:p w14:paraId="2819FBC3"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lastRenderedPageBreak/>
              <w:t>Yes</w:t>
            </w:r>
          </w:p>
        </w:tc>
        <w:tc>
          <w:tcPr>
            <w:tcW w:w="825" w:type="dxa"/>
            <w:tcMar>
              <w:top w:w="100" w:type="dxa"/>
              <w:left w:w="100" w:type="dxa"/>
              <w:bottom w:w="100" w:type="dxa"/>
              <w:right w:w="100" w:type="dxa"/>
            </w:tcMar>
          </w:tcPr>
          <w:p w14:paraId="07DC3F23"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 xml:space="preserve">No </w:t>
            </w:r>
          </w:p>
        </w:tc>
        <w:tc>
          <w:tcPr>
            <w:tcW w:w="1020" w:type="dxa"/>
            <w:tcMar>
              <w:top w:w="100" w:type="dxa"/>
              <w:left w:w="100" w:type="dxa"/>
              <w:bottom w:w="100" w:type="dxa"/>
              <w:right w:w="100" w:type="dxa"/>
            </w:tcMar>
          </w:tcPr>
          <w:p w14:paraId="276EC648"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 xml:space="preserve">No </w:t>
            </w:r>
          </w:p>
        </w:tc>
        <w:tc>
          <w:tcPr>
            <w:tcW w:w="1410" w:type="dxa"/>
            <w:tcMar>
              <w:top w:w="100" w:type="dxa"/>
              <w:left w:w="100" w:type="dxa"/>
              <w:bottom w:w="100" w:type="dxa"/>
              <w:right w:w="100" w:type="dxa"/>
            </w:tcMar>
          </w:tcPr>
          <w:p w14:paraId="5FB98435"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No</w:t>
            </w:r>
          </w:p>
        </w:tc>
        <w:tc>
          <w:tcPr>
            <w:tcW w:w="3495" w:type="dxa"/>
            <w:tcMar>
              <w:top w:w="100" w:type="dxa"/>
              <w:left w:w="100" w:type="dxa"/>
              <w:bottom w:w="100" w:type="dxa"/>
              <w:right w:w="100" w:type="dxa"/>
            </w:tcMar>
          </w:tcPr>
          <w:p w14:paraId="6B11CD1A"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Competitive Parity</w:t>
            </w:r>
          </w:p>
        </w:tc>
      </w:tr>
      <w:tr w:rsidR="00DC66AC" w:rsidRPr="003A0BED" w14:paraId="5BB8CEDD" w14:textId="77777777">
        <w:tc>
          <w:tcPr>
            <w:tcW w:w="1560" w:type="dxa"/>
            <w:tcMar>
              <w:top w:w="100" w:type="dxa"/>
              <w:left w:w="100" w:type="dxa"/>
              <w:bottom w:w="100" w:type="dxa"/>
              <w:right w:w="100" w:type="dxa"/>
            </w:tcMar>
          </w:tcPr>
          <w:p w14:paraId="192FA859"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Customer Reviews and trust</w:t>
            </w:r>
          </w:p>
        </w:tc>
        <w:tc>
          <w:tcPr>
            <w:tcW w:w="1200" w:type="dxa"/>
            <w:tcMar>
              <w:top w:w="100" w:type="dxa"/>
              <w:left w:w="100" w:type="dxa"/>
              <w:bottom w:w="100" w:type="dxa"/>
              <w:right w:w="100" w:type="dxa"/>
            </w:tcMar>
          </w:tcPr>
          <w:p w14:paraId="545A2CDB"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825" w:type="dxa"/>
            <w:tcMar>
              <w:top w:w="100" w:type="dxa"/>
              <w:left w:w="100" w:type="dxa"/>
              <w:bottom w:w="100" w:type="dxa"/>
              <w:right w:w="100" w:type="dxa"/>
            </w:tcMar>
          </w:tcPr>
          <w:p w14:paraId="2277B530"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No</w:t>
            </w:r>
          </w:p>
        </w:tc>
        <w:tc>
          <w:tcPr>
            <w:tcW w:w="1020" w:type="dxa"/>
            <w:tcMar>
              <w:top w:w="100" w:type="dxa"/>
              <w:left w:w="100" w:type="dxa"/>
              <w:bottom w:w="100" w:type="dxa"/>
              <w:right w:w="100" w:type="dxa"/>
            </w:tcMar>
          </w:tcPr>
          <w:p w14:paraId="656EADEE"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1410" w:type="dxa"/>
            <w:tcMar>
              <w:top w:w="100" w:type="dxa"/>
              <w:left w:w="100" w:type="dxa"/>
              <w:bottom w:w="100" w:type="dxa"/>
              <w:right w:w="100" w:type="dxa"/>
            </w:tcMar>
          </w:tcPr>
          <w:p w14:paraId="621365D7"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3495" w:type="dxa"/>
            <w:tcMar>
              <w:top w:w="100" w:type="dxa"/>
              <w:left w:w="100" w:type="dxa"/>
              <w:bottom w:w="100" w:type="dxa"/>
              <w:right w:w="100" w:type="dxa"/>
            </w:tcMar>
          </w:tcPr>
          <w:p w14:paraId="1D36D5E7"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Competitive Parity</w:t>
            </w:r>
          </w:p>
        </w:tc>
      </w:tr>
      <w:tr w:rsidR="00DC66AC" w:rsidRPr="003A0BED" w14:paraId="29E8A979" w14:textId="77777777">
        <w:tc>
          <w:tcPr>
            <w:tcW w:w="1560" w:type="dxa"/>
            <w:tcMar>
              <w:top w:w="100" w:type="dxa"/>
              <w:left w:w="100" w:type="dxa"/>
              <w:bottom w:w="100" w:type="dxa"/>
              <w:right w:w="100" w:type="dxa"/>
            </w:tcMar>
          </w:tcPr>
          <w:p w14:paraId="5BE4ED38"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Financial Strength</w:t>
            </w:r>
          </w:p>
        </w:tc>
        <w:tc>
          <w:tcPr>
            <w:tcW w:w="1200" w:type="dxa"/>
            <w:tcMar>
              <w:top w:w="100" w:type="dxa"/>
              <w:left w:w="100" w:type="dxa"/>
              <w:bottom w:w="100" w:type="dxa"/>
              <w:right w:w="100" w:type="dxa"/>
            </w:tcMar>
          </w:tcPr>
          <w:p w14:paraId="786D5DA0"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825" w:type="dxa"/>
            <w:tcMar>
              <w:top w:w="100" w:type="dxa"/>
              <w:left w:w="100" w:type="dxa"/>
              <w:bottom w:w="100" w:type="dxa"/>
              <w:right w:w="100" w:type="dxa"/>
            </w:tcMar>
          </w:tcPr>
          <w:p w14:paraId="16ADACA0"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Yes</w:t>
            </w:r>
          </w:p>
        </w:tc>
        <w:tc>
          <w:tcPr>
            <w:tcW w:w="1020" w:type="dxa"/>
            <w:tcMar>
              <w:top w:w="100" w:type="dxa"/>
              <w:left w:w="100" w:type="dxa"/>
              <w:bottom w:w="100" w:type="dxa"/>
              <w:right w:w="100" w:type="dxa"/>
            </w:tcMar>
          </w:tcPr>
          <w:p w14:paraId="1FC44660"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No</w:t>
            </w:r>
          </w:p>
        </w:tc>
        <w:tc>
          <w:tcPr>
            <w:tcW w:w="1410" w:type="dxa"/>
            <w:tcMar>
              <w:top w:w="100" w:type="dxa"/>
              <w:left w:w="100" w:type="dxa"/>
              <w:bottom w:w="100" w:type="dxa"/>
              <w:right w:w="100" w:type="dxa"/>
            </w:tcMar>
          </w:tcPr>
          <w:p w14:paraId="47CC98F5"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No</w:t>
            </w:r>
          </w:p>
        </w:tc>
        <w:tc>
          <w:tcPr>
            <w:tcW w:w="3495" w:type="dxa"/>
            <w:tcMar>
              <w:top w:w="100" w:type="dxa"/>
              <w:left w:w="100" w:type="dxa"/>
              <w:bottom w:w="100" w:type="dxa"/>
              <w:right w:w="100" w:type="dxa"/>
            </w:tcMar>
          </w:tcPr>
          <w:p w14:paraId="0F14BECE" w14:textId="77777777" w:rsidR="00DC66AC" w:rsidRPr="003A0BED" w:rsidRDefault="0079282B">
            <w:pPr>
              <w:widowControl w:val="0"/>
              <w:pBdr>
                <w:top w:val="nil"/>
                <w:left w:val="nil"/>
                <w:bottom w:val="nil"/>
                <w:right w:val="nil"/>
                <w:between w:val="nil"/>
              </w:pBdr>
              <w:spacing w:before="0" w:after="0"/>
              <w:jc w:val="left"/>
              <w:rPr>
                <w:color w:val="000000" w:themeColor="text1"/>
              </w:rPr>
            </w:pPr>
            <w:r w:rsidRPr="003A0BED">
              <w:rPr>
                <w:color w:val="000000" w:themeColor="text1"/>
              </w:rPr>
              <w:t>Temporary Competitive Advantage</w:t>
            </w:r>
          </w:p>
        </w:tc>
      </w:tr>
    </w:tbl>
    <w:p w14:paraId="5DBA491E" w14:textId="77777777" w:rsidR="00DC66AC" w:rsidRPr="003A0BED" w:rsidRDefault="0079282B">
      <w:pPr>
        <w:jc w:val="center"/>
        <w:rPr>
          <w:b/>
          <w:bCs/>
          <w:color w:val="000000" w:themeColor="text1"/>
        </w:rPr>
      </w:pPr>
      <w:r w:rsidRPr="003A0BED">
        <w:rPr>
          <w:b/>
          <w:bCs/>
          <w:color w:val="000000" w:themeColor="text1"/>
        </w:rPr>
        <w:t>Table 4: VRIO Analysis</w:t>
      </w:r>
    </w:p>
    <w:p w14:paraId="4E93ECA6" w14:textId="77777777" w:rsidR="00DC66AC" w:rsidRPr="003A0BED" w:rsidRDefault="0079282B">
      <w:pPr>
        <w:jc w:val="center"/>
        <w:rPr>
          <w:color w:val="000000" w:themeColor="text1"/>
        </w:rPr>
      </w:pPr>
      <w:r w:rsidRPr="003A0BED">
        <w:rPr>
          <w:color w:val="000000" w:themeColor="text1"/>
        </w:rPr>
        <w:t>(Source: Self-created)</w:t>
      </w:r>
    </w:p>
    <w:p w14:paraId="1BEA7399" w14:textId="77777777" w:rsidR="00DC66AC" w:rsidRPr="003A0BED" w:rsidRDefault="0079282B">
      <w:pPr>
        <w:rPr>
          <w:color w:val="000000" w:themeColor="text1"/>
        </w:rPr>
      </w:pPr>
      <w:r w:rsidRPr="003A0BED">
        <w:rPr>
          <w:b/>
          <w:bCs/>
          <w:i/>
          <w:iCs/>
          <w:color w:val="000000" w:themeColor="text1"/>
        </w:rPr>
        <w:t xml:space="preserve">Valuable (V): </w:t>
      </w:r>
      <w:r w:rsidRPr="003A0BED">
        <w:rPr>
          <w:color w:val="000000" w:themeColor="text1"/>
        </w:rPr>
        <w:t xml:space="preserve">The global recognition of Airbnb Inc. helps expand into Saudi Arabia as tourism in the country is rising, which adds credibility for the new entrance in the target market. Under the current regulation, no expatriate cannot authorised as a legal host on Airbnb in Saudi Arabia (Sands Of Wealth, 2025). However, the potential financial strength helps the brand expand in the existing market of Saudi Arabia. </w:t>
      </w:r>
    </w:p>
    <w:p w14:paraId="0C617F84" w14:textId="77777777" w:rsidR="00DC66AC" w:rsidRPr="003A0BED" w:rsidRDefault="0079282B">
      <w:pPr>
        <w:rPr>
          <w:color w:val="000000" w:themeColor="text1"/>
        </w:rPr>
      </w:pPr>
      <w:r w:rsidRPr="003A0BED">
        <w:rPr>
          <w:b/>
          <w:bCs/>
          <w:i/>
          <w:iCs/>
          <w:color w:val="000000" w:themeColor="text1"/>
        </w:rPr>
        <w:t xml:space="preserve">Rare (R): </w:t>
      </w:r>
      <w:r w:rsidRPr="003A0BED">
        <w:rPr>
          <w:color w:val="000000" w:themeColor="text1"/>
        </w:rPr>
        <w:t>Authorising with the unique local experiences is low, hence the company requires access to desert tourism, and a relevant packaging system allows the determination of differentiation in achieving competitiveness. Airbnb accessed with different negative reviews, which increases the concern for the company to achieve growth (Hati</w:t>
      </w:r>
      <w:r w:rsidRPr="003A0BED">
        <w:rPr>
          <w:i/>
          <w:iCs/>
          <w:color w:val="000000" w:themeColor="text1"/>
        </w:rPr>
        <w:t xml:space="preserve"> et al</w:t>
      </w:r>
      <w:r w:rsidRPr="003A0BED">
        <w:rPr>
          <w:color w:val="000000" w:themeColor="text1"/>
        </w:rPr>
        <w:t xml:space="preserve">., 2021). </w:t>
      </w:r>
    </w:p>
    <w:p w14:paraId="136590A5" w14:textId="77777777" w:rsidR="00DC66AC" w:rsidRPr="003A0BED" w:rsidRDefault="0079282B">
      <w:pPr>
        <w:rPr>
          <w:color w:val="000000" w:themeColor="text1"/>
        </w:rPr>
      </w:pPr>
      <w:r w:rsidRPr="003A0BED">
        <w:rPr>
          <w:b/>
          <w:bCs/>
          <w:i/>
          <w:iCs/>
          <w:color w:val="000000" w:themeColor="text1"/>
        </w:rPr>
        <w:t>Imitate (I):</w:t>
      </w:r>
      <w:r w:rsidRPr="003A0BED">
        <w:rPr>
          <w:color w:val="000000" w:themeColor="text1"/>
        </w:rPr>
        <w:t xml:space="preserve"> The reputation system is the key aspect for Airbnb to enhance its market entry towards Saudi Arabia. Connecting with the traditional and cultural access allows to embrace effective competitive advantages. Global recognition is accessed with high financial aspects, where proper marketing is essential, which might access effective long-term competitive outcomes. Partnering with the local tourism is reliable as it helps to access differentiation operators</w:t>
      </w:r>
    </w:p>
    <w:p w14:paraId="3A6ACB6E" w14:textId="77777777" w:rsidR="00DC66AC" w:rsidRPr="003A0BED" w:rsidRDefault="0079282B">
      <w:pPr>
        <w:rPr>
          <w:color w:val="000000" w:themeColor="text1"/>
        </w:rPr>
      </w:pPr>
      <w:r w:rsidRPr="003A0BED">
        <w:rPr>
          <w:b/>
          <w:bCs/>
          <w:i/>
          <w:iCs/>
          <w:color w:val="000000" w:themeColor="text1"/>
        </w:rPr>
        <w:t xml:space="preserve">Organised (O): </w:t>
      </w:r>
      <w:r w:rsidRPr="003A0BED">
        <w:rPr>
          <w:color w:val="000000" w:themeColor="text1"/>
        </w:rPr>
        <w:t xml:space="preserve">Global recognition and effective consumer reviews are an efficient process to target more consumers, and it is entitled to direct the international strategic </w:t>
      </w:r>
      <w:r w:rsidRPr="003A0BED">
        <w:rPr>
          <w:color w:val="000000" w:themeColor="text1"/>
        </w:rPr>
        <w:lastRenderedPageBreak/>
        <w:t xml:space="preserve">approaches to expand in the existing market of Saudi Arabia. The global legal aid to adopt the rental regulations within Saudi Arabia and other countries, which are associated with different phenomena which helps the company to generate property rental facilities for tourists. </w:t>
      </w:r>
    </w:p>
    <w:p w14:paraId="2E0B0B5C" w14:textId="77777777" w:rsidR="00DC66AC" w:rsidRPr="003A0BED" w:rsidRDefault="0079282B">
      <w:pPr>
        <w:pStyle w:val="Heading2"/>
        <w:rPr>
          <w:color w:val="000000" w:themeColor="text1"/>
        </w:rPr>
      </w:pPr>
      <w:bookmarkStart w:id="14" w:name="_heading=h.maqmnyqwp3bh" w:colFirst="0" w:colLast="0"/>
      <w:bookmarkEnd w:id="14"/>
      <w:r w:rsidRPr="003A0BED">
        <w:rPr>
          <w:color w:val="000000" w:themeColor="text1"/>
        </w:rPr>
        <w:t>4.4 Porter’s Generic Strategies for Market Expansion Strategy usage</w:t>
      </w:r>
    </w:p>
    <w:p w14:paraId="78BF9E70" w14:textId="77777777" w:rsidR="00DC66AC" w:rsidRPr="003A0BED" w:rsidRDefault="0079282B">
      <w:pPr>
        <w:rPr>
          <w:color w:val="000000" w:themeColor="text1"/>
        </w:rPr>
      </w:pPr>
      <w:r w:rsidRPr="003A0BED">
        <w:rPr>
          <w:color w:val="000000" w:themeColor="text1"/>
        </w:rPr>
        <w:t xml:space="preserve">The Porter’s generic strategies are a part of a model which focuses on analysing competitiveness, by outlining three segments: cost leadership, focus and differentiation (Ali and Anwar, 2021). The positioning of airbnb is important; it is essential to represent with the unique and cultural adaptability, allowing it to sustain in the competitive market in Saudi Arabia. Providing the differentiation, the authentic local states are reliable for the brand, which allows the Travellers to experience the cultural evaluation and the traditional process in the hotels within Saudi Arabia.  Saudi Arabia is connected with the Saudi Vision 2030, which is based on the creation of a vibrant society and pursuing the passion for providing values to the cultural traditions, modern amenities and the national pride (Saudi Vision 2030, 2024). Connecting the values with the Saudi Vision 2030 helps to embrace the cultural tourism activities, supporting heritages and diversified entertainment. Development of the Airbnb experiences, such as desert safari, camping, culinary sessions and religious tourism, followed by expansion to the different cities such as Mecca, Dubai and more, helps the firm to achieve effective outcomes. Focusing on the differentiation strategy, the enrichment of the luxury travelling and offering customised services such as female-friendly accommodations, verified property owner listing and more. </w:t>
      </w:r>
    </w:p>
    <w:p w14:paraId="6A2E1C9B" w14:textId="77777777" w:rsidR="00DC66AC" w:rsidRPr="003A0BED" w:rsidRDefault="0079282B">
      <w:pPr>
        <w:rPr>
          <w:color w:val="000000" w:themeColor="text1"/>
        </w:rPr>
      </w:pPr>
      <w:r w:rsidRPr="003A0BED">
        <w:rPr>
          <w:color w:val="000000" w:themeColor="text1"/>
        </w:rPr>
        <w:t xml:space="preserve">The determination of the cost leadership strategy focuses on the low-cost provider, and the application of the affordable strategy helps to attract demographic audiences. Furthermore, the use of the dynamic pricing algorithm is effective in terms of evaluating the competitive pricing, which helps to enrich the shared spaces, which are effective for the affordable conscious travellers. Dynamic pricing, in this regard, can be defined as a pricing strategy wherein the service prices are adjusted in real-time based on a number of peripheral factors, like fixed supply and variable demand (Infosys BPM, 2025). For </w:t>
      </w:r>
      <w:r w:rsidRPr="003A0BED">
        <w:rPr>
          <w:color w:val="000000" w:themeColor="text1"/>
        </w:rPr>
        <w:lastRenderedPageBreak/>
        <w:t xml:space="preserve">instance, in the Saudi Hospitality Sector, the demand for hotel rooms and tourist accommodation increases during cultural events, international events, religious tours, and other seasonal tourism attractions. In such scenarios dynamic pricing can help businesses effectively attract customers without losing profits. Airbnb needs to enrich this strategy for the expansion within Saudi Arabia, as it helps to target the niche leadership initiation. Under the overview, budget accommodation in the secondary regions such as Taif, Abha and more determines the economic validation. Furthermore, it is reliable for maintaining basic quality and standardisation. </w:t>
      </w:r>
    </w:p>
    <w:p w14:paraId="060C5222" w14:textId="77777777" w:rsidR="00DC66AC" w:rsidRPr="003A0BED" w:rsidRDefault="0079282B">
      <w:pPr>
        <w:pStyle w:val="Heading2"/>
        <w:rPr>
          <w:color w:val="000000" w:themeColor="text1"/>
        </w:rPr>
      </w:pPr>
      <w:bookmarkStart w:id="15" w:name="_heading=h.kdl4nrvktti9" w:colFirst="0" w:colLast="0"/>
      <w:bookmarkEnd w:id="15"/>
      <w:r w:rsidRPr="003A0BED">
        <w:rPr>
          <w:color w:val="000000" w:themeColor="text1"/>
        </w:rPr>
        <w:t>4.5 Evaluation of Market Entry Modes</w:t>
      </w:r>
    </w:p>
    <w:p w14:paraId="21B7A471" w14:textId="77777777" w:rsidR="00DC66AC" w:rsidRDefault="0079282B">
      <w:r w:rsidRPr="003A0BED">
        <w:rPr>
          <w:color w:val="000000" w:themeColor="text1"/>
        </w:rPr>
        <w:t xml:space="preserve">The evaluation of </w:t>
      </w:r>
      <w:r w:rsidRPr="003A0BED">
        <w:rPr>
          <w:b/>
          <w:bCs/>
          <w:i/>
          <w:iCs/>
          <w:color w:val="000000" w:themeColor="text1"/>
        </w:rPr>
        <w:t xml:space="preserve">partnering </w:t>
      </w:r>
      <w:r w:rsidRPr="003A0BED">
        <w:rPr>
          <w:color w:val="000000" w:themeColor="text1"/>
        </w:rPr>
        <w:t xml:space="preserve">with the local firm is effective for Airbnb to validate the shared ownership and access control over the profit. The partnership law in Saudi Arabia is regulated by the Saudi Companies Regulation, which has been issued under the Royal Decree Number M/3 in 2015 (Ammar and Saud Aldawsari  2019). The key validation of the partnership law involves the joint liability for the partners, which allows the ability to form a partnership firm with international companies. Strategic alliance partnership requires access to the stakeholders such as tourism sectors, real estate and event management, which helps to offer local and traditional evaluation to the international travellers. In spite of building trust and establishing a regulatory compliance linkage, the company was able to gain control throughout the partnership operations. On the other hand, the authorisation of the </w:t>
      </w:r>
      <w:r w:rsidRPr="003A0BED">
        <w:rPr>
          <w:b/>
          <w:bCs/>
          <w:i/>
          <w:iCs/>
          <w:color w:val="000000" w:themeColor="text1"/>
        </w:rPr>
        <w:t>Joint Venture (JV)</w:t>
      </w:r>
      <w:r w:rsidRPr="003A0BED">
        <w:rPr>
          <w:color w:val="000000" w:themeColor="text1"/>
        </w:rPr>
        <w:t xml:space="preserve"> is reliable for Airbnb partnering with the local brand, which helps to mitigate the risk and investment and empowers them with stronger market knowledge. Join Venture entities, which are owned by Saudi Investors and Foreign investors, are accessed under the Saudi Companies Law (Sama.gov.sa, 2021). Under the complex management as well as the profit shared, they are essential for the economic growth of the country and also evaluate the cultural and strategic conflicts. In this regard, the case of Al-Tahaluf, a major Saudi-American joint venture between Hovnanian USA and Hamad Bin Saeden Real Estate Company, is an example of the support provided by the Saudi Arabian Government, towards the compliant JVs within the country, which is crucial for its eventual success in the Saudi Market (PIF, 2025). The </w:t>
      </w:r>
      <w:r w:rsidRPr="003A0BED">
        <w:rPr>
          <w:b/>
          <w:bCs/>
          <w:i/>
          <w:iCs/>
          <w:color w:val="000000" w:themeColor="text1"/>
        </w:rPr>
        <w:t>licensing or franchising</w:t>
      </w:r>
      <w:r w:rsidRPr="003A0BED">
        <w:rPr>
          <w:color w:val="000000" w:themeColor="text1"/>
        </w:rPr>
        <w:t xml:space="preserve"> mode for Airbnb helps to enhance the licenses for </w:t>
      </w:r>
      <w:r w:rsidRPr="003A0BED">
        <w:rPr>
          <w:color w:val="000000" w:themeColor="text1"/>
        </w:rPr>
        <w:lastRenderedPageBreak/>
        <w:t xml:space="preserve">the brand to operate within the local market in different segments of Airbnb. Furthermore, under the validation of reduction of the legal risk factors, licensing plays an important role, which helps to maintain proper regulation while operating (Praise </w:t>
      </w:r>
      <w:r w:rsidRPr="003A0BED">
        <w:rPr>
          <w:i/>
          <w:iCs/>
          <w:color w:val="000000" w:themeColor="text1"/>
        </w:rPr>
        <w:t>et al</w:t>
      </w:r>
      <w:r w:rsidRPr="003A0BED">
        <w:rPr>
          <w:color w:val="000000" w:themeColor="text1"/>
        </w:rPr>
        <w:t>., 2022). SAMA licensing law has directed the applicants who enrich the capacity to conduct banking, which requires the compet</w:t>
      </w:r>
      <w:r>
        <w:t xml:space="preserve">encies and followed registration under the Commercial Ministry of Commerce (trade.gov, 2022). </w:t>
      </w:r>
    </w:p>
    <w:p w14:paraId="1D2C3E79" w14:textId="77777777" w:rsidR="00DC66AC" w:rsidRDefault="0079282B">
      <w:r>
        <w:t xml:space="preserve">Analysing the three modes of entry, the application of the </w:t>
      </w:r>
      <w:r>
        <w:rPr>
          <w:b/>
          <w:bCs/>
          <w:i/>
          <w:iCs/>
        </w:rPr>
        <w:t>Joint Venture</w:t>
      </w:r>
      <w:r>
        <w:t xml:space="preserve"> is reliable for Airbnb, which helps the organisation to enrich with the local engagement, which is essential to expand the branches in different tier 1 and tier 2 countries in Saudi Arabia. Moreover, the availability of shared expertise and the easier regulation with reduced legal risks are effective for Airbnb to sustain in the Saudi Arabia market and enrich with effective competitive advantages. </w:t>
      </w:r>
    </w:p>
    <w:p w14:paraId="45655D02" w14:textId="77777777" w:rsidR="00DC66AC" w:rsidRDefault="0079282B">
      <w:pPr>
        <w:pStyle w:val="Heading2"/>
      </w:pPr>
      <w:bookmarkStart w:id="16" w:name="_heading=h.3u281dxw4b1g" w:colFirst="0" w:colLast="0"/>
      <w:bookmarkEnd w:id="16"/>
      <w:r>
        <w:t>4.6 Summarised Organisational Expansion Strategy and Action Plan</w:t>
      </w:r>
    </w:p>
    <w:p w14:paraId="5CADE047" w14:textId="77777777" w:rsidR="00DC66AC" w:rsidRDefault="0079282B">
      <w:r>
        <w:rPr>
          <w:b/>
          <w:bCs/>
          <w:i/>
          <w:iCs/>
        </w:rPr>
        <w:t>Ansoff matrix:</w:t>
      </w:r>
      <w:r>
        <w:t xml:space="preserve"> The application of the model involves the market penetration approaches, where sustaining in the existing market is hard, hence promotion of the Airbnb repeat visitors strategies with satisfactory strategies is effective for the company. Furthermore, the company has targets to enter into cities such as Mecca, Dubai and more, which helps to enhance the heritage embracing and exploring the cultural evaluation. Furthermore, concerning on the digitalised booking from the Airbnb website and mobile application is also valuable for the consumers as it helps to formulate personalised services to the target audiences.  </w:t>
      </w:r>
    </w:p>
    <w:p w14:paraId="1581F9BC" w14:textId="77777777" w:rsidR="00DC66AC" w:rsidRDefault="0079282B">
      <w:r>
        <w:rPr>
          <w:b/>
          <w:bCs/>
          <w:i/>
          <w:iCs/>
        </w:rPr>
        <w:t>VRIO Model:</w:t>
      </w:r>
      <w:r>
        <w:t xml:space="preserve"> The VRIO model embraces the partial competitiveness and the temporary competitiveness, as the brand is associated with low customer reviews and financial strengths. However, empathising with tour packaging and embracing the traditional and heritage values, Airbnb can able to validate sustainable competitiveness in Saudi Arabia. </w:t>
      </w:r>
    </w:p>
    <w:p w14:paraId="36565107" w14:textId="77777777" w:rsidR="00DC66AC" w:rsidRDefault="0079282B">
      <w:r>
        <w:rPr>
          <w:b/>
          <w:bCs/>
          <w:i/>
          <w:iCs/>
        </w:rPr>
        <w:t>Porter’s Generic Strategy:</w:t>
      </w:r>
      <w:r>
        <w:t xml:space="preserve"> Adaptation of the cost leadership strategies is reliable as Airbnb focuses on the low-cost activities as well as the dynamic pricing, which helps to target a wide demographic of consumers throughout the globe. Moreover, the budget </w:t>
      </w:r>
      <w:r>
        <w:lastRenderedPageBreak/>
        <w:t xml:space="preserve">accommodation towards the secondary cities, for instance, Abha and more, helps to enable the traveller to access the experiences of Saudi Arabia in budget-friendly locations. </w:t>
      </w:r>
    </w:p>
    <w:p w14:paraId="286F4812" w14:textId="77777777" w:rsidR="00DC66AC" w:rsidRDefault="0079282B">
      <w:pPr>
        <w:rPr>
          <w:b/>
          <w:bCs/>
          <w:i/>
          <w:iCs/>
        </w:rPr>
      </w:pPr>
      <w:r>
        <w:rPr>
          <w:b/>
          <w:bCs/>
          <w:i/>
          <w:iCs/>
        </w:rPr>
        <w:t>Action Plan for Market Expansion</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1"/>
        <w:gridCol w:w="2680"/>
        <w:gridCol w:w="1999"/>
        <w:gridCol w:w="2340"/>
      </w:tblGrid>
      <w:tr w:rsidR="00DC66AC" w14:paraId="67F2A7DB" w14:textId="77777777">
        <w:tc>
          <w:tcPr>
            <w:tcW w:w="2341" w:type="dxa"/>
            <w:tcMar>
              <w:top w:w="100" w:type="dxa"/>
              <w:left w:w="100" w:type="dxa"/>
              <w:bottom w:w="100" w:type="dxa"/>
              <w:right w:w="100" w:type="dxa"/>
            </w:tcMar>
          </w:tcPr>
          <w:p w14:paraId="502C9BCD" w14:textId="77777777" w:rsidR="00DC66AC" w:rsidRDefault="0079282B">
            <w:pPr>
              <w:widowControl w:val="0"/>
              <w:pBdr>
                <w:top w:val="nil"/>
                <w:left w:val="nil"/>
                <w:bottom w:val="nil"/>
                <w:right w:val="nil"/>
                <w:between w:val="nil"/>
              </w:pBdr>
              <w:spacing w:before="0" w:after="0" w:line="240" w:lineRule="auto"/>
              <w:jc w:val="left"/>
              <w:rPr>
                <w:b/>
                <w:bCs/>
              </w:rPr>
            </w:pPr>
            <w:r>
              <w:rPr>
                <w:b/>
                <w:bCs/>
              </w:rPr>
              <w:t>Phases</w:t>
            </w:r>
          </w:p>
        </w:tc>
        <w:tc>
          <w:tcPr>
            <w:tcW w:w="2680" w:type="dxa"/>
            <w:tcMar>
              <w:top w:w="100" w:type="dxa"/>
              <w:left w:w="100" w:type="dxa"/>
              <w:bottom w:w="100" w:type="dxa"/>
              <w:right w:w="100" w:type="dxa"/>
            </w:tcMar>
          </w:tcPr>
          <w:p w14:paraId="5A61E954" w14:textId="77777777" w:rsidR="00DC66AC" w:rsidRDefault="0079282B">
            <w:pPr>
              <w:widowControl w:val="0"/>
              <w:pBdr>
                <w:top w:val="nil"/>
                <w:left w:val="nil"/>
                <w:bottom w:val="nil"/>
                <w:right w:val="nil"/>
                <w:between w:val="nil"/>
              </w:pBdr>
              <w:spacing w:before="0" w:after="0" w:line="240" w:lineRule="auto"/>
              <w:jc w:val="left"/>
              <w:rPr>
                <w:b/>
                <w:bCs/>
              </w:rPr>
            </w:pPr>
            <w:r>
              <w:rPr>
                <w:b/>
                <w:bCs/>
              </w:rPr>
              <w:t xml:space="preserve">Key Action </w:t>
            </w:r>
          </w:p>
        </w:tc>
        <w:tc>
          <w:tcPr>
            <w:tcW w:w="1999" w:type="dxa"/>
            <w:tcMar>
              <w:top w:w="100" w:type="dxa"/>
              <w:left w:w="100" w:type="dxa"/>
              <w:bottom w:w="100" w:type="dxa"/>
              <w:right w:w="100" w:type="dxa"/>
            </w:tcMar>
          </w:tcPr>
          <w:p w14:paraId="79411DE5" w14:textId="77777777" w:rsidR="00DC66AC" w:rsidRDefault="0079282B">
            <w:pPr>
              <w:widowControl w:val="0"/>
              <w:pBdr>
                <w:top w:val="nil"/>
                <w:left w:val="nil"/>
                <w:bottom w:val="nil"/>
                <w:right w:val="nil"/>
                <w:between w:val="nil"/>
              </w:pBdr>
              <w:spacing w:before="0" w:after="0" w:line="240" w:lineRule="auto"/>
              <w:jc w:val="left"/>
              <w:rPr>
                <w:b/>
                <w:bCs/>
              </w:rPr>
            </w:pPr>
            <w:r>
              <w:rPr>
                <w:b/>
                <w:bCs/>
              </w:rPr>
              <w:t>Responsible authorities</w:t>
            </w:r>
          </w:p>
        </w:tc>
        <w:tc>
          <w:tcPr>
            <w:tcW w:w="2340" w:type="dxa"/>
            <w:tcMar>
              <w:top w:w="100" w:type="dxa"/>
              <w:left w:w="100" w:type="dxa"/>
              <w:bottom w:w="100" w:type="dxa"/>
              <w:right w:w="100" w:type="dxa"/>
            </w:tcMar>
          </w:tcPr>
          <w:p w14:paraId="5224C6FD" w14:textId="77777777" w:rsidR="00DC66AC" w:rsidRDefault="0079282B">
            <w:pPr>
              <w:widowControl w:val="0"/>
              <w:pBdr>
                <w:top w:val="nil"/>
                <w:left w:val="nil"/>
                <w:bottom w:val="nil"/>
                <w:right w:val="nil"/>
                <w:between w:val="nil"/>
              </w:pBdr>
              <w:spacing w:before="0" w:after="0" w:line="240" w:lineRule="auto"/>
              <w:jc w:val="left"/>
              <w:rPr>
                <w:b/>
                <w:bCs/>
              </w:rPr>
            </w:pPr>
            <w:r>
              <w:rPr>
                <w:b/>
                <w:bCs/>
              </w:rPr>
              <w:t>Time-bound</w:t>
            </w:r>
          </w:p>
        </w:tc>
      </w:tr>
      <w:tr w:rsidR="00DC66AC" w14:paraId="0F59041C" w14:textId="77777777">
        <w:tc>
          <w:tcPr>
            <w:tcW w:w="2341" w:type="dxa"/>
            <w:tcMar>
              <w:top w:w="100" w:type="dxa"/>
              <w:left w:w="100" w:type="dxa"/>
              <w:bottom w:w="100" w:type="dxa"/>
              <w:right w:w="100" w:type="dxa"/>
            </w:tcMar>
          </w:tcPr>
          <w:p w14:paraId="631E757E" w14:textId="77777777" w:rsidR="00DC66AC" w:rsidRDefault="0079282B">
            <w:pPr>
              <w:widowControl w:val="0"/>
              <w:pBdr>
                <w:top w:val="nil"/>
                <w:left w:val="nil"/>
                <w:bottom w:val="nil"/>
                <w:right w:val="nil"/>
                <w:between w:val="nil"/>
              </w:pBdr>
              <w:spacing w:before="0" w:after="0" w:line="240" w:lineRule="auto"/>
            </w:pPr>
            <w:r>
              <w:t>Market localisation</w:t>
            </w:r>
          </w:p>
        </w:tc>
        <w:tc>
          <w:tcPr>
            <w:tcW w:w="2680" w:type="dxa"/>
            <w:tcMar>
              <w:top w:w="100" w:type="dxa"/>
              <w:left w:w="100" w:type="dxa"/>
              <w:bottom w:w="100" w:type="dxa"/>
              <w:right w:w="100" w:type="dxa"/>
            </w:tcMar>
          </w:tcPr>
          <w:p w14:paraId="228E430F" w14:textId="77777777" w:rsidR="00DC66AC" w:rsidRDefault="0079282B">
            <w:pPr>
              <w:widowControl w:val="0"/>
              <w:pBdr>
                <w:top w:val="nil"/>
                <w:left w:val="nil"/>
                <w:bottom w:val="nil"/>
                <w:right w:val="nil"/>
                <w:between w:val="nil"/>
              </w:pBdr>
              <w:spacing w:before="0" w:after="0" w:line="240" w:lineRule="auto"/>
            </w:pPr>
            <w:r>
              <w:t xml:space="preserve">Launching of the Arabic platform, which helps to align with the local markets and is linked with Saudi Vision 2030. Partnership with the local authorities is crucial for Airbnb to understand the cultural validation and traditional importance of the location. </w:t>
            </w:r>
          </w:p>
        </w:tc>
        <w:tc>
          <w:tcPr>
            <w:tcW w:w="1999" w:type="dxa"/>
            <w:tcMar>
              <w:top w:w="100" w:type="dxa"/>
              <w:left w:w="100" w:type="dxa"/>
              <w:bottom w:w="100" w:type="dxa"/>
              <w:right w:w="100" w:type="dxa"/>
            </w:tcMar>
          </w:tcPr>
          <w:p w14:paraId="46AF5996" w14:textId="77777777" w:rsidR="00DC66AC" w:rsidRDefault="0079282B">
            <w:pPr>
              <w:widowControl w:val="0"/>
              <w:pBdr>
                <w:top w:val="nil"/>
                <w:left w:val="nil"/>
                <w:bottom w:val="nil"/>
                <w:right w:val="nil"/>
                <w:between w:val="nil"/>
              </w:pBdr>
              <w:spacing w:before="0" w:after="0" w:line="240" w:lineRule="auto"/>
            </w:pPr>
            <w:r>
              <w:t>Marketing and Legal team</w:t>
            </w:r>
          </w:p>
        </w:tc>
        <w:tc>
          <w:tcPr>
            <w:tcW w:w="2340" w:type="dxa"/>
            <w:tcMar>
              <w:top w:w="100" w:type="dxa"/>
              <w:left w:w="100" w:type="dxa"/>
              <w:bottom w:w="100" w:type="dxa"/>
              <w:right w:w="100" w:type="dxa"/>
            </w:tcMar>
          </w:tcPr>
          <w:p w14:paraId="500C9FBD" w14:textId="77777777" w:rsidR="00DC66AC" w:rsidRDefault="0079282B">
            <w:pPr>
              <w:widowControl w:val="0"/>
              <w:pBdr>
                <w:top w:val="nil"/>
                <w:left w:val="nil"/>
                <w:bottom w:val="nil"/>
                <w:right w:val="nil"/>
                <w:between w:val="nil"/>
              </w:pBdr>
              <w:spacing w:before="0" w:after="0" w:line="240" w:lineRule="auto"/>
            </w:pPr>
            <w:r>
              <w:t>2 years</w:t>
            </w:r>
          </w:p>
        </w:tc>
      </w:tr>
      <w:tr w:rsidR="00DC66AC" w14:paraId="716D8DC6" w14:textId="77777777">
        <w:tc>
          <w:tcPr>
            <w:tcW w:w="2341" w:type="dxa"/>
            <w:tcMar>
              <w:top w:w="100" w:type="dxa"/>
              <w:left w:w="100" w:type="dxa"/>
              <w:bottom w:w="100" w:type="dxa"/>
              <w:right w:w="100" w:type="dxa"/>
            </w:tcMar>
          </w:tcPr>
          <w:p w14:paraId="64FF4F9B" w14:textId="77777777" w:rsidR="00DC66AC" w:rsidRDefault="0079282B">
            <w:pPr>
              <w:widowControl w:val="0"/>
              <w:pBdr>
                <w:top w:val="nil"/>
                <w:left w:val="nil"/>
                <w:bottom w:val="nil"/>
                <w:right w:val="nil"/>
                <w:between w:val="nil"/>
              </w:pBdr>
              <w:spacing w:before="0" w:after="0" w:line="240" w:lineRule="auto"/>
            </w:pPr>
            <w:r>
              <w:t>Partnership</w:t>
            </w:r>
          </w:p>
        </w:tc>
        <w:tc>
          <w:tcPr>
            <w:tcW w:w="2680" w:type="dxa"/>
            <w:tcMar>
              <w:top w:w="100" w:type="dxa"/>
              <w:left w:w="100" w:type="dxa"/>
              <w:bottom w:w="100" w:type="dxa"/>
              <w:right w:w="100" w:type="dxa"/>
            </w:tcMar>
          </w:tcPr>
          <w:p w14:paraId="319DD84F" w14:textId="77777777" w:rsidR="00DC66AC" w:rsidRDefault="0079282B">
            <w:pPr>
              <w:widowControl w:val="0"/>
              <w:pBdr>
                <w:top w:val="nil"/>
                <w:left w:val="nil"/>
                <w:bottom w:val="nil"/>
                <w:right w:val="nil"/>
                <w:between w:val="nil"/>
              </w:pBdr>
              <w:spacing w:before="0" w:after="0" w:line="240" w:lineRule="auto"/>
            </w:pPr>
            <w:r>
              <w:t xml:space="preserve">Empathising with the joint venture approaches, it is essential to connect with the hospitality sector. Furthermore, embracing the Arabian experiences and services by validating Desert camping and more. </w:t>
            </w:r>
          </w:p>
        </w:tc>
        <w:tc>
          <w:tcPr>
            <w:tcW w:w="1999" w:type="dxa"/>
            <w:tcMar>
              <w:top w:w="100" w:type="dxa"/>
              <w:left w:w="100" w:type="dxa"/>
              <w:bottom w:w="100" w:type="dxa"/>
              <w:right w:w="100" w:type="dxa"/>
            </w:tcMar>
          </w:tcPr>
          <w:p w14:paraId="0F8010DD" w14:textId="77777777" w:rsidR="00DC66AC" w:rsidRDefault="0079282B">
            <w:pPr>
              <w:widowControl w:val="0"/>
              <w:pBdr>
                <w:top w:val="nil"/>
                <w:left w:val="nil"/>
                <w:bottom w:val="nil"/>
                <w:right w:val="nil"/>
                <w:between w:val="nil"/>
              </w:pBdr>
              <w:spacing w:before="0" w:after="0" w:line="240" w:lineRule="auto"/>
            </w:pPr>
            <w:r>
              <w:t>Marketing and local partnership team</w:t>
            </w:r>
          </w:p>
        </w:tc>
        <w:tc>
          <w:tcPr>
            <w:tcW w:w="2340" w:type="dxa"/>
            <w:tcMar>
              <w:top w:w="100" w:type="dxa"/>
              <w:left w:w="100" w:type="dxa"/>
              <w:bottom w:w="100" w:type="dxa"/>
              <w:right w:w="100" w:type="dxa"/>
            </w:tcMar>
          </w:tcPr>
          <w:p w14:paraId="3F13B0AC" w14:textId="77777777" w:rsidR="00DC66AC" w:rsidRDefault="0079282B">
            <w:pPr>
              <w:widowControl w:val="0"/>
              <w:pBdr>
                <w:top w:val="nil"/>
                <w:left w:val="nil"/>
                <w:bottom w:val="nil"/>
                <w:right w:val="nil"/>
                <w:between w:val="nil"/>
              </w:pBdr>
              <w:spacing w:before="0" w:after="0" w:line="240" w:lineRule="auto"/>
            </w:pPr>
            <w:r>
              <w:t>1 year</w:t>
            </w:r>
          </w:p>
        </w:tc>
      </w:tr>
      <w:tr w:rsidR="00DC66AC" w14:paraId="639CA306" w14:textId="77777777">
        <w:tc>
          <w:tcPr>
            <w:tcW w:w="2341" w:type="dxa"/>
            <w:tcMar>
              <w:top w:w="100" w:type="dxa"/>
              <w:left w:w="100" w:type="dxa"/>
              <w:bottom w:w="100" w:type="dxa"/>
              <w:right w:w="100" w:type="dxa"/>
            </w:tcMar>
          </w:tcPr>
          <w:p w14:paraId="12E4D639" w14:textId="77777777" w:rsidR="00DC66AC" w:rsidRDefault="0079282B">
            <w:pPr>
              <w:widowControl w:val="0"/>
              <w:pBdr>
                <w:top w:val="nil"/>
                <w:left w:val="nil"/>
                <w:bottom w:val="nil"/>
                <w:right w:val="nil"/>
                <w:between w:val="nil"/>
              </w:pBdr>
              <w:spacing w:before="0" w:after="0" w:line="240" w:lineRule="auto"/>
            </w:pPr>
            <w:r>
              <w:t>Market expansion</w:t>
            </w:r>
          </w:p>
        </w:tc>
        <w:tc>
          <w:tcPr>
            <w:tcW w:w="2680" w:type="dxa"/>
            <w:tcMar>
              <w:top w:w="100" w:type="dxa"/>
              <w:left w:w="100" w:type="dxa"/>
              <w:bottom w:w="100" w:type="dxa"/>
              <w:right w:w="100" w:type="dxa"/>
            </w:tcMar>
          </w:tcPr>
          <w:p w14:paraId="6FFB14C2" w14:textId="77777777" w:rsidR="00DC66AC" w:rsidRDefault="0079282B">
            <w:pPr>
              <w:widowControl w:val="0"/>
              <w:pBdr>
                <w:top w:val="nil"/>
                <w:left w:val="nil"/>
                <w:bottom w:val="nil"/>
                <w:right w:val="nil"/>
                <w:between w:val="nil"/>
              </w:pBdr>
              <w:spacing w:before="0" w:after="0" w:line="240" w:lineRule="auto"/>
            </w:pPr>
            <w:r>
              <w:t>Regional operational hub expansion in different sectors such as Mecca, Riyadh and more. Furthermore, optimisation with the premium services and products introduced by Airbnb.</w:t>
            </w:r>
          </w:p>
        </w:tc>
        <w:tc>
          <w:tcPr>
            <w:tcW w:w="1999" w:type="dxa"/>
            <w:tcMar>
              <w:top w:w="100" w:type="dxa"/>
              <w:left w:w="100" w:type="dxa"/>
              <w:bottom w:w="100" w:type="dxa"/>
              <w:right w:w="100" w:type="dxa"/>
            </w:tcMar>
          </w:tcPr>
          <w:p w14:paraId="0E583E55" w14:textId="77777777" w:rsidR="00DC66AC" w:rsidRDefault="0079282B">
            <w:pPr>
              <w:widowControl w:val="0"/>
              <w:pBdr>
                <w:top w:val="nil"/>
                <w:left w:val="nil"/>
                <w:bottom w:val="nil"/>
                <w:right w:val="nil"/>
                <w:between w:val="nil"/>
              </w:pBdr>
              <w:spacing w:before="0" w:after="0" w:line="240" w:lineRule="auto"/>
            </w:pPr>
            <w:r>
              <w:t>Management and regional sectors</w:t>
            </w:r>
          </w:p>
        </w:tc>
        <w:tc>
          <w:tcPr>
            <w:tcW w:w="2340" w:type="dxa"/>
            <w:tcMar>
              <w:top w:w="100" w:type="dxa"/>
              <w:left w:w="100" w:type="dxa"/>
              <w:bottom w:w="100" w:type="dxa"/>
              <w:right w:w="100" w:type="dxa"/>
            </w:tcMar>
          </w:tcPr>
          <w:p w14:paraId="6A5BECE9" w14:textId="77777777" w:rsidR="00DC66AC" w:rsidRDefault="0079282B">
            <w:pPr>
              <w:widowControl w:val="0"/>
              <w:pBdr>
                <w:top w:val="nil"/>
                <w:left w:val="nil"/>
                <w:bottom w:val="nil"/>
                <w:right w:val="nil"/>
                <w:between w:val="nil"/>
              </w:pBdr>
              <w:spacing w:before="0" w:after="0" w:line="240" w:lineRule="auto"/>
            </w:pPr>
            <w:r>
              <w:t>2 years</w:t>
            </w:r>
          </w:p>
        </w:tc>
      </w:tr>
    </w:tbl>
    <w:p w14:paraId="0B270B1A" w14:textId="77777777" w:rsidR="00DC66AC" w:rsidRDefault="0079282B">
      <w:pPr>
        <w:jc w:val="center"/>
        <w:rPr>
          <w:b/>
          <w:bCs/>
        </w:rPr>
      </w:pPr>
      <w:r>
        <w:rPr>
          <w:b/>
          <w:bCs/>
        </w:rPr>
        <w:t>Table 5: Action Plan</w:t>
      </w:r>
    </w:p>
    <w:p w14:paraId="73E1A9D3" w14:textId="77777777" w:rsidR="00DC66AC" w:rsidRDefault="0079282B">
      <w:pPr>
        <w:jc w:val="center"/>
      </w:pPr>
      <w:r>
        <w:lastRenderedPageBreak/>
        <w:t>(Source: Self-created)</w:t>
      </w:r>
    </w:p>
    <w:p w14:paraId="333D0B80" w14:textId="77777777" w:rsidR="00DC66AC" w:rsidRDefault="0079282B">
      <w:pPr>
        <w:pStyle w:val="Heading1"/>
      </w:pPr>
      <w:bookmarkStart w:id="17" w:name="_heading=h.ngwyiaolm86c" w:colFirst="0" w:colLast="0"/>
      <w:bookmarkEnd w:id="17"/>
      <w:r>
        <w:t>5. Performance Evaluation Framework</w:t>
      </w:r>
    </w:p>
    <w:p w14:paraId="47EEED1D" w14:textId="77777777" w:rsidR="00DC66AC" w:rsidRDefault="0079282B">
      <w:r>
        <w:t>Afshar and Shah (2025), in their study, explain that the Balanced Scorecard Framework is a tactical tool for performance management, which is used to measure the company’s strategic direction and its alignment with the organisational goals. Afshar and Shah (2025), in this regard, further identified that the Balanced Scorecard Framework explores the four aspects of Financial Performance, Customer Perspectives, Internal Processes, and Learning and Growth. Herein, the Balanced Scorecard Framework for measuring the performance of the above strategy for organisational expansion of Airbnb in the Saudi Arabia region is presented below.</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C66AC" w14:paraId="45F5B9AE" w14:textId="77777777">
        <w:tc>
          <w:tcPr>
            <w:tcW w:w="1872" w:type="dxa"/>
            <w:tcMar>
              <w:top w:w="100" w:type="dxa"/>
              <w:left w:w="100" w:type="dxa"/>
              <w:bottom w:w="100" w:type="dxa"/>
              <w:right w:w="100" w:type="dxa"/>
            </w:tcMar>
          </w:tcPr>
          <w:p w14:paraId="340B538B" w14:textId="77777777" w:rsidR="00DC66AC" w:rsidRDefault="0079282B">
            <w:pPr>
              <w:widowControl w:val="0"/>
              <w:pBdr>
                <w:top w:val="nil"/>
                <w:left w:val="nil"/>
                <w:bottom w:val="nil"/>
                <w:right w:val="nil"/>
                <w:between w:val="nil"/>
              </w:pBdr>
              <w:spacing w:before="0" w:after="0" w:line="240" w:lineRule="auto"/>
              <w:jc w:val="center"/>
              <w:rPr>
                <w:b/>
                <w:bCs/>
              </w:rPr>
            </w:pPr>
            <w:r>
              <w:rPr>
                <w:b/>
                <w:bCs/>
              </w:rPr>
              <w:t>Perspectives</w:t>
            </w:r>
          </w:p>
        </w:tc>
        <w:tc>
          <w:tcPr>
            <w:tcW w:w="1872" w:type="dxa"/>
            <w:tcMar>
              <w:top w:w="100" w:type="dxa"/>
              <w:left w:w="100" w:type="dxa"/>
              <w:bottom w:w="100" w:type="dxa"/>
              <w:right w:w="100" w:type="dxa"/>
            </w:tcMar>
          </w:tcPr>
          <w:p w14:paraId="3190C574" w14:textId="77777777" w:rsidR="00DC66AC" w:rsidRDefault="0079282B">
            <w:pPr>
              <w:widowControl w:val="0"/>
              <w:pBdr>
                <w:top w:val="nil"/>
                <w:left w:val="nil"/>
                <w:bottom w:val="nil"/>
                <w:right w:val="nil"/>
                <w:between w:val="nil"/>
              </w:pBdr>
              <w:spacing w:before="0" w:after="0" w:line="240" w:lineRule="auto"/>
              <w:jc w:val="center"/>
              <w:rPr>
                <w:b/>
                <w:bCs/>
              </w:rPr>
            </w:pPr>
            <w:r>
              <w:rPr>
                <w:b/>
                <w:bCs/>
              </w:rPr>
              <w:t>Strategic Objectives</w:t>
            </w:r>
          </w:p>
        </w:tc>
        <w:tc>
          <w:tcPr>
            <w:tcW w:w="1872" w:type="dxa"/>
            <w:tcMar>
              <w:top w:w="100" w:type="dxa"/>
              <w:left w:w="100" w:type="dxa"/>
              <w:bottom w:w="100" w:type="dxa"/>
              <w:right w:w="100" w:type="dxa"/>
            </w:tcMar>
          </w:tcPr>
          <w:p w14:paraId="19F3B155" w14:textId="77777777" w:rsidR="00DC66AC" w:rsidRDefault="0079282B">
            <w:pPr>
              <w:widowControl w:val="0"/>
              <w:pBdr>
                <w:top w:val="nil"/>
                <w:left w:val="nil"/>
                <w:bottom w:val="nil"/>
                <w:right w:val="nil"/>
                <w:between w:val="nil"/>
              </w:pBdr>
              <w:spacing w:before="0" w:after="0" w:line="240" w:lineRule="auto"/>
              <w:jc w:val="center"/>
              <w:rPr>
                <w:b/>
                <w:bCs/>
              </w:rPr>
            </w:pPr>
            <w:r>
              <w:rPr>
                <w:b/>
                <w:bCs/>
              </w:rPr>
              <w:t>KPI</w:t>
            </w:r>
          </w:p>
        </w:tc>
        <w:tc>
          <w:tcPr>
            <w:tcW w:w="1872" w:type="dxa"/>
            <w:tcMar>
              <w:top w:w="100" w:type="dxa"/>
              <w:left w:w="100" w:type="dxa"/>
              <w:bottom w:w="100" w:type="dxa"/>
              <w:right w:w="100" w:type="dxa"/>
            </w:tcMar>
          </w:tcPr>
          <w:p w14:paraId="34E6DA94" w14:textId="77777777" w:rsidR="00DC66AC" w:rsidRDefault="0079282B">
            <w:pPr>
              <w:widowControl w:val="0"/>
              <w:pBdr>
                <w:top w:val="nil"/>
                <w:left w:val="nil"/>
                <w:bottom w:val="nil"/>
                <w:right w:val="nil"/>
                <w:between w:val="nil"/>
              </w:pBdr>
              <w:spacing w:before="0" w:after="0" w:line="240" w:lineRule="auto"/>
              <w:jc w:val="center"/>
              <w:rPr>
                <w:b/>
                <w:bCs/>
              </w:rPr>
            </w:pPr>
            <w:r>
              <w:rPr>
                <w:b/>
                <w:bCs/>
              </w:rPr>
              <w:t>Target</w:t>
            </w:r>
          </w:p>
        </w:tc>
        <w:tc>
          <w:tcPr>
            <w:tcW w:w="1872" w:type="dxa"/>
            <w:tcMar>
              <w:top w:w="100" w:type="dxa"/>
              <w:left w:w="100" w:type="dxa"/>
              <w:bottom w:w="100" w:type="dxa"/>
              <w:right w:w="100" w:type="dxa"/>
            </w:tcMar>
          </w:tcPr>
          <w:p w14:paraId="175C2B4C" w14:textId="77777777" w:rsidR="00DC66AC" w:rsidRDefault="0079282B">
            <w:pPr>
              <w:widowControl w:val="0"/>
              <w:pBdr>
                <w:top w:val="nil"/>
                <w:left w:val="nil"/>
                <w:bottom w:val="nil"/>
                <w:right w:val="nil"/>
                <w:between w:val="nil"/>
              </w:pBdr>
              <w:spacing w:before="0" w:after="0" w:line="240" w:lineRule="auto"/>
              <w:jc w:val="center"/>
              <w:rPr>
                <w:b/>
                <w:bCs/>
              </w:rPr>
            </w:pPr>
            <w:r>
              <w:rPr>
                <w:b/>
                <w:bCs/>
              </w:rPr>
              <w:t>Method of Measurement</w:t>
            </w:r>
          </w:p>
        </w:tc>
      </w:tr>
      <w:tr w:rsidR="00DC66AC" w14:paraId="5D620802" w14:textId="77777777">
        <w:trPr>
          <w:trHeight w:val="440"/>
        </w:trPr>
        <w:tc>
          <w:tcPr>
            <w:tcW w:w="1872" w:type="dxa"/>
            <w:vMerge w:val="restart"/>
            <w:tcMar>
              <w:top w:w="100" w:type="dxa"/>
              <w:left w:w="100" w:type="dxa"/>
              <w:bottom w:w="100" w:type="dxa"/>
              <w:right w:w="100" w:type="dxa"/>
            </w:tcMar>
          </w:tcPr>
          <w:p w14:paraId="7EE13574"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Financial Performance Perspectives</w:t>
            </w:r>
          </w:p>
        </w:tc>
        <w:tc>
          <w:tcPr>
            <w:tcW w:w="1872" w:type="dxa"/>
            <w:tcMar>
              <w:top w:w="100" w:type="dxa"/>
              <w:left w:w="100" w:type="dxa"/>
              <w:bottom w:w="100" w:type="dxa"/>
              <w:right w:w="100" w:type="dxa"/>
            </w:tcMar>
          </w:tcPr>
          <w:p w14:paraId="20CC9CE7" w14:textId="77777777" w:rsidR="00DC66AC" w:rsidRDefault="0079282B">
            <w:pPr>
              <w:widowControl w:val="0"/>
              <w:pBdr>
                <w:top w:val="nil"/>
                <w:left w:val="nil"/>
                <w:bottom w:val="nil"/>
                <w:right w:val="nil"/>
                <w:between w:val="nil"/>
              </w:pBdr>
              <w:spacing w:before="0" w:after="0" w:line="240" w:lineRule="auto"/>
            </w:pPr>
            <w:r>
              <w:t>Increasing revenue generation from Saudi operations</w:t>
            </w:r>
          </w:p>
        </w:tc>
        <w:tc>
          <w:tcPr>
            <w:tcW w:w="1872" w:type="dxa"/>
            <w:tcMar>
              <w:top w:w="100" w:type="dxa"/>
              <w:left w:w="100" w:type="dxa"/>
              <w:bottom w:w="100" w:type="dxa"/>
              <w:right w:w="100" w:type="dxa"/>
            </w:tcMar>
          </w:tcPr>
          <w:p w14:paraId="64AC03D6" w14:textId="77777777" w:rsidR="00DC66AC" w:rsidRDefault="0079282B">
            <w:pPr>
              <w:widowControl w:val="0"/>
              <w:pBdr>
                <w:top w:val="nil"/>
                <w:left w:val="nil"/>
                <w:bottom w:val="nil"/>
                <w:right w:val="nil"/>
                <w:between w:val="nil"/>
              </w:pBdr>
              <w:spacing w:before="0" w:after="0" w:line="240" w:lineRule="auto"/>
            </w:pPr>
            <w:r>
              <w:t>Revenue Growth Rate</w:t>
            </w:r>
          </w:p>
        </w:tc>
        <w:tc>
          <w:tcPr>
            <w:tcW w:w="1872" w:type="dxa"/>
            <w:tcMar>
              <w:top w:w="100" w:type="dxa"/>
              <w:left w:w="100" w:type="dxa"/>
              <w:bottom w:w="100" w:type="dxa"/>
              <w:right w:w="100" w:type="dxa"/>
            </w:tcMar>
          </w:tcPr>
          <w:p w14:paraId="361C123E" w14:textId="77777777" w:rsidR="00DC66AC" w:rsidRDefault="0079282B">
            <w:pPr>
              <w:widowControl w:val="0"/>
              <w:pBdr>
                <w:top w:val="nil"/>
                <w:left w:val="nil"/>
                <w:bottom w:val="nil"/>
                <w:right w:val="nil"/>
                <w:between w:val="nil"/>
              </w:pBdr>
              <w:spacing w:before="0" w:after="0" w:line="240" w:lineRule="auto"/>
            </w:pPr>
            <w:r>
              <w:t>Y-o-Y 15% increase</w:t>
            </w:r>
          </w:p>
        </w:tc>
        <w:tc>
          <w:tcPr>
            <w:tcW w:w="1872" w:type="dxa"/>
            <w:tcMar>
              <w:top w:w="100" w:type="dxa"/>
              <w:left w:w="100" w:type="dxa"/>
              <w:bottom w:w="100" w:type="dxa"/>
              <w:right w:w="100" w:type="dxa"/>
            </w:tcMar>
          </w:tcPr>
          <w:p w14:paraId="6DF4A4C5" w14:textId="77777777" w:rsidR="00DC66AC" w:rsidRDefault="0079282B">
            <w:pPr>
              <w:widowControl w:val="0"/>
              <w:pBdr>
                <w:top w:val="nil"/>
                <w:left w:val="nil"/>
                <w:bottom w:val="nil"/>
                <w:right w:val="nil"/>
                <w:between w:val="nil"/>
              </w:pBdr>
              <w:spacing w:before="0" w:after="0" w:line="240" w:lineRule="auto"/>
            </w:pPr>
            <w:r>
              <w:t>Financial Reports</w:t>
            </w:r>
          </w:p>
        </w:tc>
      </w:tr>
      <w:tr w:rsidR="00DC66AC" w14:paraId="6C7AB7E0" w14:textId="77777777">
        <w:trPr>
          <w:trHeight w:val="440"/>
        </w:trPr>
        <w:tc>
          <w:tcPr>
            <w:tcW w:w="1872" w:type="dxa"/>
            <w:vMerge/>
            <w:tcMar>
              <w:top w:w="100" w:type="dxa"/>
              <w:left w:w="100" w:type="dxa"/>
              <w:bottom w:w="100" w:type="dxa"/>
              <w:right w:w="100" w:type="dxa"/>
            </w:tcMar>
          </w:tcPr>
          <w:p w14:paraId="14DA2AE4"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10AC3177" w14:textId="77777777" w:rsidR="00DC66AC" w:rsidRDefault="0079282B">
            <w:pPr>
              <w:widowControl w:val="0"/>
              <w:pBdr>
                <w:top w:val="nil"/>
                <w:left w:val="nil"/>
                <w:bottom w:val="nil"/>
                <w:right w:val="nil"/>
                <w:between w:val="nil"/>
              </w:pBdr>
              <w:spacing w:before="0" w:after="0" w:line="240" w:lineRule="auto"/>
            </w:pPr>
            <w:r>
              <w:t>Enhancing Occupancy Rate</w:t>
            </w:r>
          </w:p>
        </w:tc>
        <w:tc>
          <w:tcPr>
            <w:tcW w:w="1872" w:type="dxa"/>
            <w:tcMar>
              <w:top w:w="100" w:type="dxa"/>
              <w:left w:w="100" w:type="dxa"/>
              <w:bottom w:w="100" w:type="dxa"/>
              <w:right w:w="100" w:type="dxa"/>
            </w:tcMar>
          </w:tcPr>
          <w:p w14:paraId="38F26465" w14:textId="77777777" w:rsidR="00DC66AC" w:rsidRDefault="0079282B">
            <w:pPr>
              <w:widowControl w:val="0"/>
              <w:pBdr>
                <w:top w:val="nil"/>
                <w:left w:val="nil"/>
                <w:bottom w:val="nil"/>
                <w:right w:val="nil"/>
                <w:between w:val="nil"/>
              </w:pBdr>
              <w:spacing w:before="0" w:after="0" w:line="240" w:lineRule="auto"/>
            </w:pPr>
            <w:r>
              <w:t>Average Occupancy Rate in all Tier 1 and Tier 2 cities</w:t>
            </w:r>
          </w:p>
        </w:tc>
        <w:tc>
          <w:tcPr>
            <w:tcW w:w="1872" w:type="dxa"/>
            <w:tcMar>
              <w:top w:w="100" w:type="dxa"/>
              <w:left w:w="100" w:type="dxa"/>
              <w:bottom w:w="100" w:type="dxa"/>
              <w:right w:w="100" w:type="dxa"/>
            </w:tcMar>
          </w:tcPr>
          <w:p w14:paraId="46023914" w14:textId="77777777" w:rsidR="00DC66AC" w:rsidRDefault="0079282B">
            <w:pPr>
              <w:widowControl w:val="0"/>
              <w:pBdr>
                <w:top w:val="nil"/>
                <w:left w:val="nil"/>
                <w:bottom w:val="nil"/>
                <w:right w:val="nil"/>
                <w:between w:val="nil"/>
              </w:pBdr>
              <w:spacing w:before="0" w:after="0" w:line="240" w:lineRule="auto"/>
            </w:pPr>
            <w:r>
              <w:t>&gt;50% occupancy rate</w:t>
            </w:r>
          </w:p>
        </w:tc>
        <w:tc>
          <w:tcPr>
            <w:tcW w:w="1872" w:type="dxa"/>
            <w:tcMar>
              <w:top w:w="100" w:type="dxa"/>
              <w:left w:w="100" w:type="dxa"/>
              <w:bottom w:w="100" w:type="dxa"/>
              <w:right w:w="100" w:type="dxa"/>
            </w:tcMar>
          </w:tcPr>
          <w:p w14:paraId="5E548B8E" w14:textId="77777777" w:rsidR="00DC66AC" w:rsidRDefault="0079282B">
            <w:pPr>
              <w:widowControl w:val="0"/>
              <w:pBdr>
                <w:top w:val="nil"/>
                <w:left w:val="nil"/>
                <w:bottom w:val="nil"/>
                <w:right w:val="nil"/>
                <w:between w:val="nil"/>
              </w:pBdr>
              <w:spacing w:before="0" w:after="0" w:line="240" w:lineRule="auto"/>
            </w:pPr>
            <w:r>
              <w:t>Booking Records</w:t>
            </w:r>
          </w:p>
        </w:tc>
      </w:tr>
      <w:tr w:rsidR="00DC66AC" w14:paraId="1DC60A9B" w14:textId="77777777">
        <w:trPr>
          <w:trHeight w:val="440"/>
        </w:trPr>
        <w:tc>
          <w:tcPr>
            <w:tcW w:w="1872" w:type="dxa"/>
            <w:vMerge/>
            <w:tcMar>
              <w:top w:w="100" w:type="dxa"/>
              <w:left w:w="100" w:type="dxa"/>
              <w:bottom w:w="100" w:type="dxa"/>
              <w:right w:w="100" w:type="dxa"/>
            </w:tcMar>
          </w:tcPr>
          <w:p w14:paraId="3AECFECB"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30F7734F" w14:textId="77777777" w:rsidR="00DC66AC" w:rsidRDefault="0079282B">
            <w:pPr>
              <w:widowControl w:val="0"/>
              <w:pBdr>
                <w:top w:val="nil"/>
                <w:left w:val="nil"/>
                <w:bottom w:val="nil"/>
                <w:right w:val="nil"/>
                <w:between w:val="nil"/>
              </w:pBdr>
              <w:spacing w:before="0" w:after="0" w:line="240" w:lineRule="auto"/>
            </w:pPr>
            <w:r>
              <w:t>Optimising Cost Structure</w:t>
            </w:r>
          </w:p>
        </w:tc>
        <w:tc>
          <w:tcPr>
            <w:tcW w:w="1872" w:type="dxa"/>
            <w:tcMar>
              <w:top w:w="100" w:type="dxa"/>
              <w:left w:w="100" w:type="dxa"/>
              <w:bottom w:w="100" w:type="dxa"/>
              <w:right w:w="100" w:type="dxa"/>
            </w:tcMar>
          </w:tcPr>
          <w:p w14:paraId="200F7511" w14:textId="77777777" w:rsidR="00DC66AC" w:rsidRDefault="0079282B">
            <w:pPr>
              <w:widowControl w:val="0"/>
              <w:pBdr>
                <w:top w:val="nil"/>
                <w:left w:val="nil"/>
                <w:bottom w:val="nil"/>
                <w:right w:val="nil"/>
                <w:between w:val="nil"/>
              </w:pBdr>
              <w:spacing w:before="0" w:after="0" w:line="240" w:lineRule="auto"/>
            </w:pPr>
            <w:r>
              <w:t xml:space="preserve">Cost per Customer Acquisition </w:t>
            </w:r>
          </w:p>
        </w:tc>
        <w:tc>
          <w:tcPr>
            <w:tcW w:w="1872" w:type="dxa"/>
            <w:tcMar>
              <w:top w:w="100" w:type="dxa"/>
              <w:left w:w="100" w:type="dxa"/>
              <w:bottom w:w="100" w:type="dxa"/>
              <w:right w:w="100" w:type="dxa"/>
            </w:tcMar>
          </w:tcPr>
          <w:p w14:paraId="0C0ADF13" w14:textId="77777777" w:rsidR="00DC66AC" w:rsidRDefault="0079282B">
            <w:pPr>
              <w:widowControl w:val="0"/>
              <w:pBdr>
                <w:top w:val="nil"/>
                <w:left w:val="nil"/>
                <w:bottom w:val="nil"/>
                <w:right w:val="nil"/>
                <w:between w:val="nil"/>
              </w:pBdr>
              <w:spacing w:before="0" w:after="0" w:line="240" w:lineRule="auto"/>
            </w:pPr>
            <w:r>
              <w:t>&lt;$25</w:t>
            </w:r>
          </w:p>
        </w:tc>
        <w:tc>
          <w:tcPr>
            <w:tcW w:w="1872" w:type="dxa"/>
            <w:tcMar>
              <w:top w:w="100" w:type="dxa"/>
              <w:left w:w="100" w:type="dxa"/>
              <w:bottom w:w="100" w:type="dxa"/>
              <w:right w:w="100" w:type="dxa"/>
            </w:tcMar>
          </w:tcPr>
          <w:p w14:paraId="181CA3D6" w14:textId="77777777" w:rsidR="00DC66AC" w:rsidRDefault="0079282B">
            <w:pPr>
              <w:widowControl w:val="0"/>
              <w:pBdr>
                <w:top w:val="nil"/>
                <w:left w:val="nil"/>
                <w:bottom w:val="nil"/>
                <w:right w:val="nil"/>
                <w:between w:val="nil"/>
              </w:pBdr>
              <w:spacing w:before="0" w:after="0" w:line="240" w:lineRule="auto"/>
            </w:pPr>
            <w:r>
              <w:t>Number of New Users/ $100</w:t>
            </w:r>
          </w:p>
        </w:tc>
      </w:tr>
      <w:tr w:rsidR="00DC66AC" w14:paraId="69BE475E" w14:textId="77777777">
        <w:trPr>
          <w:trHeight w:val="440"/>
        </w:trPr>
        <w:tc>
          <w:tcPr>
            <w:tcW w:w="1872" w:type="dxa"/>
            <w:vMerge/>
            <w:tcMar>
              <w:top w:w="100" w:type="dxa"/>
              <w:left w:w="100" w:type="dxa"/>
              <w:bottom w:w="100" w:type="dxa"/>
              <w:right w:w="100" w:type="dxa"/>
            </w:tcMar>
          </w:tcPr>
          <w:p w14:paraId="5191A92F"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5C1457D9" w14:textId="77777777" w:rsidR="00DC66AC" w:rsidRDefault="0079282B">
            <w:pPr>
              <w:widowControl w:val="0"/>
              <w:pBdr>
                <w:top w:val="nil"/>
                <w:left w:val="nil"/>
                <w:bottom w:val="nil"/>
                <w:right w:val="nil"/>
                <w:between w:val="nil"/>
              </w:pBdr>
              <w:spacing w:before="0" w:after="0" w:line="240" w:lineRule="auto"/>
            </w:pPr>
            <w:r>
              <w:t>Improving Profitability</w:t>
            </w:r>
          </w:p>
        </w:tc>
        <w:tc>
          <w:tcPr>
            <w:tcW w:w="1872" w:type="dxa"/>
            <w:tcMar>
              <w:top w:w="100" w:type="dxa"/>
              <w:left w:w="100" w:type="dxa"/>
              <w:bottom w:w="100" w:type="dxa"/>
              <w:right w:w="100" w:type="dxa"/>
            </w:tcMar>
          </w:tcPr>
          <w:p w14:paraId="137B0FA1" w14:textId="77777777" w:rsidR="00DC66AC" w:rsidRDefault="0079282B">
            <w:pPr>
              <w:widowControl w:val="0"/>
              <w:pBdr>
                <w:top w:val="nil"/>
                <w:left w:val="nil"/>
                <w:bottom w:val="nil"/>
                <w:right w:val="nil"/>
                <w:between w:val="nil"/>
              </w:pBdr>
              <w:spacing w:before="0" w:after="0" w:line="240" w:lineRule="auto"/>
            </w:pPr>
            <w:r>
              <w:t>Net Profit Margin in Saudi Arabia</w:t>
            </w:r>
          </w:p>
        </w:tc>
        <w:tc>
          <w:tcPr>
            <w:tcW w:w="1872" w:type="dxa"/>
            <w:tcMar>
              <w:top w:w="100" w:type="dxa"/>
              <w:left w:w="100" w:type="dxa"/>
              <w:bottom w:w="100" w:type="dxa"/>
              <w:right w:w="100" w:type="dxa"/>
            </w:tcMar>
          </w:tcPr>
          <w:p w14:paraId="73134743" w14:textId="77777777" w:rsidR="00DC66AC" w:rsidRDefault="0079282B">
            <w:pPr>
              <w:widowControl w:val="0"/>
              <w:pBdr>
                <w:top w:val="nil"/>
                <w:left w:val="nil"/>
                <w:bottom w:val="nil"/>
                <w:right w:val="nil"/>
                <w:between w:val="nil"/>
              </w:pBdr>
              <w:spacing w:before="0" w:after="0" w:line="240" w:lineRule="auto"/>
            </w:pPr>
            <w:r>
              <w:t>&gt;30%</w:t>
            </w:r>
          </w:p>
        </w:tc>
        <w:tc>
          <w:tcPr>
            <w:tcW w:w="1872" w:type="dxa"/>
            <w:tcMar>
              <w:top w:w="100" w:type="dxa"/>
              <w:left w:w="100" w:type="dxa"/>
              <w:bottom w:w="100" w:type="dxa"/>
              <w:right w:w="100" w:type="dxa"/>
            </w:tcMar>
          </w:tcPr>
          <w:p w14:paraId="45A1C2E3" w14:textId="77777777" w:rsidR="00DC66AC" w:rsidRDefault="0079282B">
            <w:pPr>
              <w:widowControl w:val="0"/>
              <w:pBdr>
                <w:top w:val="nil"/>
                <w:left w:val="nil"/>
                <w:bottom w:val="nil"/>
                <w:right w:val="nil"/>
                <w:between w:val="nil"/>
              </w:pBdr>
              <w:spacing w:before="0" w:after="0" w:line="240" w:lineRule="auto"/>
            </w:pPr>
            <w:r>
              <w:t>Quarterly Financial Statements</w:t>
            </w:r>
          </w:p>
        </w:tc>
      </w:tr>
      <w:tr w:rsidR="00DC66AC" w14:paraId="075D64F6" w14:textId="77777777">
        <w:trPr>
          <w:trHeight w:val="440"/>
        </w:trPr>
        <w:tc>
          <w:tcPr>
            <w:tcW w:w="1872" w:type="dxa"/>
            <w:vMerge w:val="restart"/>
            <w:tcMar>
              <w:top w:w="100" w:type="dxa"/>
              <w:left w:w="100" w:type="dxa"/>
              <w:bottom w:w="100" w:type="dxa"/>
              <w:right w:w="100" w:type="dxa"/>
            </w:tcMar>
          </w:tcPr>
          <w:p w14:paraId="43C4D73C"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Customer Perspectives</w:t>
            </w:r>
          </w:p>
        </w:tc>
        <w:tc>
          <w:tcPr>
            <w:tcW w:w="1872" w:type="dxa"/>
            <w:tcMar>
              <w:top w:w="100" w:type="dxa"/>
              <w:left w:w="100" w:type="dxa"/>
              <w:bottom w:w="100" w:type="dxa"/>
              <w:right w:w="100" w:type="dxa"/>
            </w:tcMar>
          </w:tcPr>
          <w:p w14:paraId="7181FCD3" w14:textId="77777777" w:rsidR="00DC66AC" w:rsidRDefault="0079282B">
            <w:pPr>
              <w:widowControl w:val="0"/>
              <w:pBdr>
                <w:top w:val="nil"/>
                <w:left w:val="nil"/>
                <w:bottom w:val="nil"/>
                <w:right w:val="nil"/>
                <w:between w:val="nil"/>
              </w:pBdr>
              <w:spacing w:before="0" w:after="0" w:line="240" w:lineRule="auto"/>
            </w:pPr>
            <w:r>
              <w:t>Increasing Customer Engagement</w:t>
            </w:r>
          </w:p>
        </w:tc>
        <w:tc>
          <w:tcPr>
            <w:tcW w:w="1872" w:type="dxa"/>
            <w:tcMar>
              <w:top w:w="100" w:type="dxa"/>
              <w:left w:w="100" w:type="dxa"/>
              <w:bottom w:w="100" w:type="dxa"/>
              <w:right w:w="100" w:type="dxa"/>
            </w:tcMar>
          </w:tcPr>
          <w:p w14:paraId="22CD174D" w14:textId="77777777" w:rsidR="00DC66AC" w:rsidRDefault="0079282B">
            <w:pPr>
              <w:widowControl w:val="0"/>
              <w:pBdr>
                <w:top w:val="nil"/>
                <w:left w:val="nil"/>
                <w:bottom w:val="nil"/>
                <w:right w:val="nil"/>
                <w:between w:val="nil"/>
              </w:pBdr>
              <w:spacing w:before="0" w:after="0" w:line="240" w:lineRule="auto"/>
            </w:pPr>
            <w:r>
              <w:t>Social Media Engagements</w:t>
            </w:r>
          </w:p>
        </w:tc>
        <w:tc>
          <w:tcPr>
            <w:tcW w:w="1872" w:type="dxa"/>
            <w:tcMar>
              <w:top w:w="100" w:type="dxa"/>
              <w:left w:w="100" w:type="dxa"/>
              <w:bottom w:w="100" w:type="dxa"/>
              <w:right w:w="100" w:type="dxa"/>
            </w:tcMar>
          </w:tcPr>
          <w:p w14:paraId="3103A6FC" w14:textId="77777777" w:rsidR="00DC66AC" w:rsidRDefault="0079282B">
            <w:pPr>
              <w:widowControl w:val="0"/>
              <w:pBdr>
                <w:top w:val="nil"/>
                <w:left w:val="nil"/>
                <w:bottom w:val="nil"/>
                <w:right w:val="nil"/>
                <w:between w:val="nil"/>
              </w:pBdr>
              <w:spacing w:before="0" w:after="0" w:line="240" w:lineRule="auto"/>
            </w:pPr>
            <w:r>
              <w:t>+25% achievement in 6 months</w:t>
            </w:r>
          </w:p>
        </w:tc>
        <w:tc>
          <w:tcPr>
            <w:tcW w:w="1872" w:type="dxa"/>
            <w:tcMar>
              <w:top w:w="100" w:type="dxa"/>
              <w:left w:w="100" w:type="dxa"/>
              <w:bottom w:w="100" w:type="dxa"/>
              <w:right w:w="100" w:type="dxa"/>
            </w:tcMar>
          </w:tcPr>
          <w:p w14:paraId="7429EC5B" w14:textId="77777777" w:rsidR="00DC66AC" w:rsidRDefault="0079282B">
            <w:pPr>
              <w:widowControl w:val="0"/>
              <w:pBdr>
                <w:top w:val="nil"/>
                <w:left w:val="nil"/>
                <w:bottom w:val="nil"/>
                <w:right w:val="nil"/>
                <w:between w:val="nil"/>
              </w:pBdr>
              <w:spacing w:before="0" w:after="0" w:line="240" w:lineRule="auto"/>
            </w:pPr>
            <w:r>
              <w:t>Social Media Analytics</w:t>
            </w:r>
          </w:p>
        </w:tc>
      </w:tr>
      <w:tr w:rsidR="00DC66AC" w14:paraId="75B6146F" w14:textId="77777777">
        <w:trPr>
          <w:trHeight w:val="440"/>
        </w:trPr>
        <w:tc>
          <w:tcPr>
            <w:tcW w:w="1872" w:type="dxa"/>
            <w:vMerge/>
            <w:tcMar>
              <w:top w:w="100" w:type="dxa"/>
              <w:left w:w="100" w:type="dxa"/>
              <w:bottom w:w="100" w:type="dxa"/>
              <w:right w:w="100" w:type="dxa"/>
            </w:tcMar>
          </w:tcPr>
          <w:p w14:paraId="24F6D543"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2C601F0B" w14:textId="77777777" w:rsidR="00DC66AC" w:rsidRDefault="0079282B">
            <w:pPr>
              <w:widowControl w:val="0"/>
              <w:pBdr>
                <w:top w:val="nil"/>
                <w:left w:val="nil"/>
                <w:bottom w:val="nil"/>
                <w:right w:val="nil"/>
                <w:between w:val="nil"/>
              </w:pBdr>
              <w:spacing w:before="0" w:after="0" w:line="240" w:lineRule="auto"/>
            </w:pPr>
            <w:r>
              <w:t xml:space="preserve">Improving guest </w:t>
            </w:r>
            <w:r>
              <w:lastRenderedPageBreak/>
              <w:t>satisfaction</w:t>
            </w:r>
          </w:p>
        </w:tc>
        <w:tc>
          <w:tcPr>
            <w:tcW w:w="1872" w:type="dxa"/>
            <w:tcMar>
              <w:top w:w="100" w:type="dxa"/>
              <w:left w:w="100" w:type="dxa"/>
              <w:bottom w:w="100" w:type="dxa"/>
              <w:right w:w="100" w:type="dxa"/>
            </w:tcMar>
          </w:tcPr>
          <w:p w14:paraId="7E93A935" w14:textId="77777777" w:rsidR="00DC66AC" w:rsidRDefault="0079282B">
            <w:pPr>
              <w:widowControl w:val="0"/>
              <w:pBdr>
                <w:top w:val="nil"/>
                <w:left w:val="nil"/>
                <w:bottom w:val="nil"/>
                <w:right w:val="nil"/>
                <w:between w:val="nil"/>
              </w:pBdr>
              <w:spacing w:before="0" w:after="0" w:line="240" w:lineRule="auto"/>
            </w:pPr>
            <w:r>
              <w:lastRenderedPageBreak/>
              <w:t>Guest Ratings</w:t>
            </w:r>
          </w:p>
        </w:tc>
        <w:tc>
          <w:tcPr>
            <w:tcW w:w="1872" w:type="dxa"/>
            <w:tcMar>
              <w:top w:w="100" w:type="dxa"/>
              <w:left w:w="100" w:type="dxa"/>
              <w:bottom w:w="100" w:type="dxa"/>
              <w:right w:w="100" w:type="dxa"/>
            </w:tcMar>
          </w:tcPr>
          <w:p w14:paraId="01CF49A6" w14:textId="77777777" w:rsidR="00DC66AC" w:rsidRDefault="0079282B">
            <w:pPr>
              <w:widowControl w:val="0"/>
              <w:pBdr>
                <w:top w:val="nil"/>
                <w:left w:val="nil"/>
                <w:bottom w:val="nil"/>
                <w:right w:val="nil"/>
                <w:between w:val="nil"/>
              </w:pBdr>
              <w:spacing w:before="0" w:after="0" w:line="240" w:lineRule="auto"/>
            </w:pPr>
            <w:r>
              <w:t>Over 4/5</w:t>
            </w:r>
          </w:p>
        </w:tc>
        <w:tc>
          <w:tcPr>
            <w:tcW w:w="1872" w:type="dxa"/>
            <w:tcMar>
              <w:top w:w="100" w:type="dxa"/>
              <w:left w:w="100" w:type="dxa"/>
              <w:bottom w:w="100" w:type="dxa"/>
              <w:right w:w="100" w:type="dxa"/>
            </w:tcMar>
          </w:tcPr>
          <w:p w14:paraId="08490E4B" w14:textId="77777777" w:rsidR="00DC66AC" w:rsidRDefault="0079282B">
            <w:pPr>
              <w:widowControl w:val="0"/>
              <w:pBdr>
                <w:top w:val="nil"/>
                <w:left w:val="nil"/>
                <w:bottom w:val="nil"/>
                <w:right w:val="nil"/>
                <w:between w:val="nil"/>
              </w:pBdr>
              <w:spacing w:before="0" w:after="0" w:line="240" w:lineRule="auto"/>
            </w:pPr>
            <w:r>
              <w:t>Guest Reviews</w:t>
            </w:r>
          </w:p>
        </w:tc>
      </w:tr>
      <w:tr w:rsidR="00DC66AC" w14:paraId="7D1B7FBA" w14:textId="77777777">
        <w:trPr>
          <w:trHeight w:val="440"/>
        </w:trPr>
        <w:tc>
          <w:tcPr>
            <w:tcW w:w="1872" w:type="dxa"/>
            <w:vMerge/>
            <w:tcMar>
              <w:top w:w="100" w:type="dxa"/>
              <w:left w:w="100" w:type="dxa"/>
              <w:bottom w:w="100" w:type="dxa"/>
              <w:right w:w="100" w:type="dxa"/>
            </w:tcMar>
          </w:tcPr>
          <w:p w14:paraId="653AD834"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1D853768" w14:textId="77777777" w:rsidR="00DC66AC" w:rsidRDefault="0079282B">
            <w:pPr>
              <w:widowControl w:val="0"/>
              <w:pBdr>
                <w:top w:val="nil"/>
                <w:left w:val="nil"/>
                <w:bottom w:val="nil"/>
                <w:right w:val="nil"/>
                <w:between w:val="nil"/>
              </w:pBdr>
              <w:spacing w:before="0" w:after="0" w:line="240" w:lineRule="auto"/>
            </w:pPr>
            <w:r>
              <w:t>Expanding Market Reach</w:t>
            </w:r>
          </w:p>
        </w:tc>
        <w:tc>
          <w:tcPr>
            <w:tcW w:w="1872" w:type="dxa"/>
            <w:tcMar>
              <w:top w:w="100" w:type="dxa"/>
              <w:left w:w="100" w:type="dxa"/>
              <w:bottom w:w="100" w:type="dxa"/>
              <w:right w:w="100" w:type="dxa"/>
            </w:tcMar>
          </w:tcPr>
          <w:p w14:paraId="1AAB5591" w14:textId="77777777" w:rsidR="00DC66AC" w:rsidRDefault="0079282B">
            <w:pPr>
              <w:widowControl w:val="0"/>
              <w:pBdr>
                <w:top w:val="nil"/>
                <w:left w:val="nil"/>
                <w:bottom w:val="nil"/>
                <w:right w:val="nil"/>
                <w:between w:val="nil"/>
              </w:pBdr>
              <w:spacing w:before="0" w:after="0" w:line="240" w:lineRule="auto"/>
            </w:pPr>
            <w:r>
              <w:t>Number of Active Listings at new sites</w:t>
            </w:r>
          </w:p>
        </w:tc>
        <w:tc>
          <w:tcPr>
            <w:tcW w:w="1872" w:type="dxa"/>
            <w:tcMar>
              <w:top w:w="100" w:type="dxa"/>
              <w:left w:w="100" w:type="dxa"/>
              <w:bottom w:w="100" w:type="dxa"/>
              <w:right w:w="100" w:type="dxa"/>
            </w:tcMar>
          </w:tcPr>
          <w:p w14:paraId="39FE6BC6" w14:textId="77777777" w:rsidR="00DC66AC" w:rsidRDefault="0079282B">
            <w:pPr>
              <w:widowControl w:val="0"/>
              <w:pBdr>
                <w:top w:val="nil"/>
                <w:left w:val="nil"/>
                <w:bottom w:val="nil"/>
                <w:right w:val="nil"/>
                <w:between w:val="nil"/>
              </w:pBdr>
              <w:spacing w:before="0" w:after="0" w:line="240" w:lineRule="auto"/>
            </w:pPr>
            <w:r>
              <w:t>+30%</w:t>
            </w:r>
          </w:p>
        </w:tc>
        <w:tc>
          <w:tcPr>
            <w:tcW w:w="1872" w:type="dxa"/>
            <w:tcMar>
              <w:top w:w="100" w:type="dxa"/>
              <w:left w:w="100" w:type="dxa"/>
              <w:bottom w:w="100" w:type="dxa"/>
              <w:right w:w="100" w:type="dxa"/>
            </w:tcMar>
          </w:tcPr>
          <w:p w14:paraId="70796B6F" w14:textId="77777777" w:rsidR="00DC66AC" w:rsidRDefault="0079282B">
            <w:pPr>
              <w:widowControl w:val="0"/>
              <w:pBdr>
                <w:top w:val="nil"/>
                <w:left w:val="nil"/>
                <w:bottom w:val="nil"/>
                <w:right w:val="nil"/>
                <w:between w:val="nil"/>
              </w:pBdr>
              <w:spacing w:before="0" w:after="0" w:line="240" w:lineRule="auto"/>
            </w:pPr>
            <w:r>
              <w:t>Host onboarding data</w:t>
            </w:r>
          </w:p>
        </w:tc>
      </w:tr>
      <w:tr w:rsidR="00DC66AC" w14:paraId="60FB54DE" w14:textId="77777777">
        <w:trPr>
          <w:trHeight w:val="440"/>
        </w:trPr>
        <w:tc>
          <w:tcPr>
            <w:tcW w:w="1872" w:type="dxa"/>
            <w:vMerge/>
            <w:tcMar>
              <w:top w:w="100" w:type="dxa"/>
              <w:left w:w="100" w:type="dxa"/>
              <w:bottom w:w="100" w:type="dxa"/>
              <w:right w:w="100" w:type="dxa"/>
            </w:tcMar>
          </w:tcPr>
          <w:p w14:paraId="22FFECE5"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4F2FDD70" w14:textId="77777777" w:rsidR="00DC66AC" w:rsidRDefault="0079282B">
            <w:pPr>
              <w:widowControl w:val="0"/>
              <w:pBdr>
                <w:top w:val="nil"/>
                <w:left w:val="nil"/>
                <w:bottom w:val="nil"/>
                <w:right w:val="nil"/>
                <w:between w:val="nil"/>
              </w:pBdr>
              <w:spacing w:before="0" w:after="0" w:line="240" w:lineRule="auto"/>
            </w:pPr>
            <w:r>
              <w:t>Promoting cultural experiences</w:t>
            </w:r>
          </w:p>
        </w:tc>
        <w:tc>
          <w:tcPr>
            <w:tcW w:w="1872" w:type="dxa"/>
            <w:tcMar>
              <w:top w:w="100" w:type="dxa"/>
              <w:left w:w="100" w:type="dxa"/>
              <w:bottom w:w="100" w:type="dxa"/>
              <w:right w:w="100" w:type="dxa"/>
            </w:tcMar>
          </w:tcPr>
          <w:p w14:paraId="7A4F0021" w14:textId="77777777" w:rsidR="00DC66AC" w:rsidRDefault="0079282B">
            <w:pPr>
              <w:widowControl w:val="0"/>
              <w:pBdr>
                <w:top w:val="nil"/>
                <w:left w:val="nil"/>
                <w:bottom w:val="nil"/>
                <w:right w:val="nil"/>
                <w:between w:val="nil"/>
              </w:pBdr>
              <w:spacing w:before="0" w:after="0" w:line="240" w:lineRule="auto"/>
            </w:pPr>
            <w:r>
              <w:t>Percentage of Bookings which cite Airbnb Experiences</w:t>
            </w:r>
          </w:p>
        </w:tc>
        <w:tc>
          <w:tcPr>
            <w:tcW w:w="1872" w:type="dxa"/>
            <w:tcMar>
              <w:top w:w="100" w:type="dxa"/>
              <w:left w:w="100" w:type="dxa"/>
              <w:bottom w:w="100" w:type="dxa"/>
              <w:right w:w="100" w:type="dxa"/>
            </w:tcMar>
          </w:tcPr>
          <w:p w14:paraId="43C4E826" w14:textId="77777777" w:rsidR="00DC66AC" w:rsidRDefault="00F22363">
            <w:pPr>
              <w:widowControl w:val="0"/>
              <w:pBdr>
                <w:top w:val="nil"/>
                <w:left w:val="nil"/>
                <w:bottom w:val="nil"/>
                <w:right w:val="nil"/>
                <w:between w:val="nil"/>
              </w:pBdr>
              <w:spacing w:before="0" w:after="0" w:line="240" w:lineRule="auto"/>
            </w:pPr>
            <w:sdt>
              <w:sdtPr>
                <w:tag w:val="goog_rdk_0"/>
                <w:id w:val="1138963830"/>
              </w:sdtPr>
              <w:sdtEndPr/>
              <w:sdtContent>
                <w:r w:rsidR="0079282B">
                  <w:rPr>
                    <w:rFonts w:ascii="Arial Unicode MS" w:eastAsia="Arial Unicode MS" w:hAnsi="Arial Unicode MS" w:cs="Arial Unicode MS"/>
                  </w:rPr>
                  <w:t>≥ 20% of total bookings</w:t>
                </w:r>
              </w:sdtContent>
            </w:sdt>
          </w:p>
        </w:tc>
        <w:tc>
          <w:tcPr>
            <w:tcW w:w="1872" w:type="dxa"/>
            <w:tcMar>
              <w:top w:w="100" w:type="dxa"/>
              <w:left w:w="100" w:type="dxa"/>
              <w:bottom w:w="100" w:type="dxa"/>
              <w:right w:w="100" w:type="dxa"/>
            </w:tcMar>
          </w:tcPr>
          <w:p w14:paraId="740AE4E0" w14:textId="77777777" w:rsidR="00DC66AC" w:rsidRDefault="0079282B">
            <w:pPr>
              <w:widowControl w:val="0"/>
              <w:pBdr>
                <w:top w:val="nil"/>
                <w:left w:val="nil"/>
                <w:bottom w:val="nil"/>
                <w:right w:val="nil"/>
                <w:between w:val="nil"/>
              </w:pBdr>
              <w:spacing w:before="0" w:after="0" w:line="240" w:lineRule="auto"/>
            </w:pPr>
            <w:r>
              <w:t>Booking Records</w:t>
            </w:r>
          </w:p>
        </w:tc>
      </w:tr>
      <w:tr w:rsidR="00DC66AC" w14:paraId="65B8D141" w14:textId="77777777">
        <w:trPr>
          <w:trHeight w:val="440"/>
        </w:trPr>
        <w:tc>
          <w:tcPr>
            <w:tcW w:w="1872" w:type="dxa"/>
            <w:vMerge w:val="restart"/>
            <w:tcMar>
              <w:top w:w="100" w:type="dxa"/>
              <w:left w:w="100" w:type="dxa"/>
              <w:bottom w:w="100" w:type="dxa"/>
              <w:right w:w="100" w:type="dxa"/>
            </w:tcMar>
          </w:tcPr>
          <w:p w14:paraId="24F3AD47"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Internal Process Perspectives</w:t>
            </w:r>
          </w:p>
        </w:tc>
        <w:tc>
          <w:tcPr>
            <w:tcW w:w="1872" w:type="dxa"/>
            <w:tcMar>
              <w:top w:w="100" w:type="dxa"/>
              <w:left w:w="100" w:type="dxa"/>
              <w:bottom w:w="100" w:type="dxa"/>
              <w:right w:w="100" w:type="dxa"/>
            </w:tcMar>
          </w:tcPr>
          <w:p w14:paraId="334B5476" w14:textId="77777777" w:rsidR="00DC66AC" w:rsidRDefault="0079282B">
            <w:pPr>
              <w:widowControl w:val="0"/>
              <w:pBdr>
                <w:top w:val="nil"/>
                <w:left w:val="nil"/>
                <w:bottom w:val="nil"/>
                <w:right w:val="nil"/>
                <w:between w:val="nil"/>
              </w:pBdr>
              <w:spacing w:before="0" w:after="0" w:line="240" w:lineRule="auto"/>
            </w:pPr>
            <w:r>
              <w:t>Ensuring legal compliance</w:t>
            </w:r>
          </w:p>
        </w:tc>
        <w:tc>
          <w:tcPr>
            <w:tcW w:w="1872" w:type="dxa"/>
            <w:tcMar>
              <w:top w:w="100" w:type="dxa"/>
              <w:left w:w="100" w:type="dxa"/>
              <w:bottom w:w="100" w:type="dxa"/>
              <w:right w:w="100" w:type="dxa"/>
            </w:tcMar>
          </w:tcPr>
          <w:p w14:paraId="6BF3FA46" w14:textId="77777777" w:rsidR="00DC66AC" w:rsidRDefault="0079282B">
            <w:pPr>
              <w:widowControl w:val="0"/>
              <w:pBdr>
                <w:top w:val="nil"/>
                <w:left w:val="nil"/>
                <w:bottom w:val="nil"/>
                <w:right w:val="nil"/>
                <w:between w:val="nil"/>
              </w:pBdr>
              <w:spacing w:before="0" w:after="0" w:line="240" w:lineRule="auto"/>
            </w:pPr>
            <w:r>
              <w:t>Percentage of Saudi Law-compliant listings</w:t>
            </w:r>
          </w:p>
        </w:tc>
        <w:tc>
          <w:tcPr>
            <w:tcW w:w="1872" w:type="dxa"/>
            <w:tcMar>
              <w:top w:w="100" w:type="dxa"/>
              <w:left w:w="100" w:type="dxa"/>
              <w:bottom w:w="100" w:type="dxa"/>
              <w:right w:w="100" w:type="dxa"/>
            </w:tcMar>
          </w:tcPr>
          <w:p w14:paraId="09D52D3E" w14:textId="77777777" w:rsidR="00DC66AC" w:rsidRDefault="0079282B">
            <w:pPr>
              <w:widowControl w:val="0"/>
              <w:pBdr>
                <w:top w:val="nil"/>
                <w:left w:val="nil"/>
                <w:bottom w:val="nil"/>
                <w:right w:val="nil"/>
                <w:between w:val="nil"/>
              </w:pBdr>
              <w:spacing w:before="0" w:after="0" w:line="240" w:lineRule="auto"/>
            </w:pPr>
            <w:r>
              <w:t>100%</w:t>
            </w:r>
          </w:p>
        </w:tc>
        <w:tc>
          <w:tcPr>
            <w:tcW w:w="1872" w:type="dxa"/>
            <w:tcMar>
              <w:top w:w="100" w:type="dxa"/>
              <w:left w:w="100" w:type="dxa"/>
              <w:bottom w:w="100" w:type="dxa"/>
              <w:right w:w="100" w:type="dxa"/>
            </w:tcMar>
          </w:tcPr>
          <w:p w14:paraId="523566E2" w14:textId="77777777" w:rsidR="00DC66AC" w:rsidRDefault="0079282B">
            <w:pPr>
              <w:widowControl w:val="0"/>
              <w:pBdr>
                <w:top w:val="nil"/>
                <w:left w:val="nil"/>
                <w:bottom w:val="nil"/>
                <w:right w:val="nil"/>
                <w:between w:val="nil"/>
              </w:pBdr>
              <w:spacing w:before="0" w:after="0" w:line="240" w:lineRule="auto"/>
            </w:pPr>
            <w:r>
              <w:t>Legal Audit Reports</w:t>
            </w:r>
          </w:p>
        </w:tc>
      </w:tr>
      <w:tr w:rsidR="00DC66AC" w14:paraId="3724841B" w14:textId="77777777">
        <w:trPr>
          <w:trHeight w:val="440"/>
        </w:trPr>
        <w:tc>
          <w:tcPr>
            <w:tcW w:w="1872" w:type="dxa"/>
            <w:vMerge/>
            <w:tcMar>
              <w:top w:w="100" w:type="dxa"/>
              <w:left w:w="100" w:type="dxa"/>
              <w:bottom w:w="100" w:type="dxa"/>
              <w:right w:w="100" w:type="dxa"/>
            </w:tcMar>
          </w:tcPr>
          <w:p w14:paraId="7E408CB1"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0D625997" w14:textId="77777777" w:rsidR="00DC66AC" w:rsidRDefault="0079282B">
            <w:pPr>
              <w:widowControl w:val="0"/>
              <w:pBdr>
                <w:top w:val="nil"/>
                <w:left w:val="nil"/>
                <w:bottom w:val="nil"/>
                <w:right w:val="nil"/>
                <w:between w:val="nil"/>
              </w:pBdr>
              <w:spacing w:before="0" w:after="0" w:line="240" w:lineRule="auto"/>
            </w:pPr>
            <w:r>
              <w:t>Improving service localisation</w:t>
            </w:r>
          </w:p>
        </w:tc>
        <w:tc>
          <w:tcPr>
            <w:tcW w:w="1872" w:type="dxa"/>
            <w:tcMar>
              <w:top w:w="100" w:type="dxa"/>
              <w:left w:w="100" w:type="dxa"/>
              <w:bottom w:w="100" w:type="dxa"/>
              <w:right w:w="100" w:type="dxa"/>
            </w:tcMar>
          </w:tcPr>
          <w:p w14:paraId="1113AFEE" w14:textId="77777777" w:rsidR="00DC66AC" w:rsidRDefault="0079282B">
            <w:pPr>
              <w:widowControl w:val="0"/>
              <w:pBdr>
                <w:top w:val="nil"/>
                <w:left w:val="nil"/>
                <w:bottom w:val="nil"/>
                <w:right w:val="nil"/>
                <w:between w:val="nil"/>
              </w:pBdr>
              <w:spacing w:before="0" w:after="0" w:line="240" w:lineRule="auto"/>
            </w:pPr>
            <w:r>
              <w:t>Percentage of Customer Complaints handled in local sites</w:t>
            </w:r>
          </w:p>
        </w:tc>
        <w:tc>
          <w:tcPr>
            <w:tcW w:w="1872" w:type="dxa"/>
            <w:tcMar>
              <w:top w:w="100" w:type="dxa"/>
              <w:left w:w="100" w:type="dxa"/>
              <w:bottom w:w="100" w:type="dxa"/>
              <w:right w:w="100" w:type="dxa"/>
            </w:tcMar>
          </w:tcPr>
          <w:p w14:paraId="3B50E82C" w14:textId="77777777" w:rsidR="00DC66AC" w:rsidRDefault="0079282B">
            <w:pPr>
              <w:widowControl w:val="0"/>
              <w:pBdr>
                <w:top w:val="nil"/>
                <w:left w:val="nil"/>
                <w:bottom w:val="nil"/>
                <w:right w:val="nil"/>
                <w:between w:val="nil"/>
              </w:pBdr>
              <w:spacing w:before="0" w:after="0" w:line="240" w:lineRule="auto"/>
            </w:pPr>
            <w:r>
              <w:t>&gt;80%</w:t>
            </w:r>
          </w:p>
        </w:tc>
        <w:tc>
          <w:tcPr>
            <w:tcW w:w="1872" w:type="dxa"/>
            <w:tcMar>
              <w:top w:w="100" w:type="dxa"/>
              <w:left w:w="100" w:type="dxa"/>
              <w:bottom w:w="100" w:type="dxa"/>
              <w:right w:w="100" w:type="dxa"/>
            </w:tcMar>
          </w:tcPr>
          <w:p w14:paraId="29E7A7FE" w14:textId="77777777" w:rsidR="00DC66AC" w:rsidRDefault="0079282B">
            <w:pPr>
              <w:widowControl w:val="0"/>
              <w:pBdr>
                <w:top w:val="nil"/>
                <w:left w:val="nil"/>
                <w:bottom w:val="nil"/>
                <w:right w:val="nil"/>
                <w:between w:val="nil"/>
              </w:pBdr>
              <w:spacing w:before="0" w:after="0" w:line="240" w:lineRule="auto"/>
            </w:pPr>
            <w:r>
              <w:t>HR and Customer Care Metrics</w:t>
            </w:r>
          </w:p>
        </w:tc>
      </w:tr>
      <w:tr w:rsidR="00DC66AC" w14:paraId="3837C504" w14:textId="77777777">
        <w:trPr>
          <w:trHeight w:val="440"/>
        </w:trPr>
        <w:tc>
          <w:tcPr>
            <w:tcW w:w="1872" w:type="dxa"/>
            <w:vMerge/>
            <w:tcMar>
              <w:top w:w="100" w:type="dxa"/>
              <w:left w:w="100" w:type="dxa"/>
              <w:bottom w:w="100" w:type="dxa"/>
              <w:right w:w="100" w:type="dxa"/>
            </w:tcMar>
          </w:tcPr>
          <w:p w14:paraId="0EECC891"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2CD72477" w14:textId="77777777" w:rsidR="00DC66AC" w:rsidRDefault="0079282B">
            <w:pPr>
              <w:widowControl w:val="0"/>
              <w:pBdr>
                <w:top w:val="nil"/>
                <w:left w:val="nil"/>
                <w:bottom w:val="nil"/>
                <w:right w:val="nil"/>
                <w:between w:val="nil"/>
              </w:pBdr>
              <w:spacing w:before="0" w:after="0" w:line="240" w:lineRule="auto"/>
            </w:pPr>
            <w:r>
              <w:t>Developing Strategic Partnerships</w:t>
            </w:r>
          </w:p>
        </w:tc>
        <w:tc>
          <w:tcPr>
            <w:tcW w:w="1872" w:type="dxa"/>
            <w:tcMar>
              <w:top w:w="100" w:type="dxa"/>
              <w:left w:w="100" w:type="dxa"/>
              <w:bottom w:w="100" w:type="dxa"/>
              <w:right w:w="100" w:type="dxa"/>
            </w:tcMar>
          </w:tcPr>
          <w:p w14:paraId="549EAF23" w14:textId="77777777" w:rsidR="00DC66AC" w:rsidRDefault="0079282B">
            <w:pPr>
              <w:widowControl w:val="0"/>
              <w:pBdr>
                <w:top w:val="nil"/>
                <w:left w:val="nil"/>
                <w:bottom w:val="nil"/>
                <w:right w:val="nil"/>
                <w:between w:val="nil"/>
              </w:pBdr>
              <w:spacing w:before="0" w:after="0" w:line="240" w:lineRule="auto"/>
            </w:pPr>
            <w:r>
              <w:t>Number of Active Local Partnerships secured</w:t>
            </w:r>
          </w:p>
        </w:tc>
        <w:tc>
          <w:tcPr>
            <w:tcW w:w="1872" w:type="dxa"/>
            <w:tcMar>
              <w:top w:w="100" w:type="dxa"/>
              <w:left w:w="100" w:type="dxa"/>
              <w:bottom w:w="100" w:type="dxa"/>
              <w:right w:w="100" w:type="dxa"/>
            </w:tcMar>
          </w:tcPr>
          <w:p w14:paraId="66B1BD9C" w14:textId="77777777" w:rsidR="00DC66AC" w:rsidRDefault="0079282B">
            <w:pPr>
              <w:widowControl w:val="0"/>
              <w:pBdr>
                <w:top w:val="nil"/>
                <w:left w:val="nil"/>
                <w:bottom w:val="nil"/>
                <w:right w:val="nil"/>
                <w:between w:val="nil"/>
              </w:pBdr>
              <w:spacing w:before="0" w:after="0" w:line="240" w:lineRule="auto"/>
            </w:pPr>
            <w:r>
              <w:t>&gt;15</w:t>
            </w:r>
          </w:p>
        </w:tc>
        <w:tc>
          <w:tcPr>
            <w:tcW w:w="1872" w:type="dxa"/>
            <w:tcMar>
              <w:top w:w="100" w:type="dxa"/>
              <w:left w:w="100" w:type="dxa"/>
              <w:bottom w:w="100" w:type="dxa"/>
              <w:right w:w="100" w:type="dxa"/>
            </w:tcMar>
          </w:tcPr>
          <w:p w14:paraId="4BC3F917" w14:textId="77777777" w:rsidR="00DC66AC" w:rsidRDefault="0079282B">
            <w:pPr>
              <w:widowControl w:val="0"/>
              <w:pBdr>
                <w:top w:val="nil"/>
                <w:left w:val="nil"/>
                <w:bottom w:val="nil"/>
                <w:right w:val="nil"/>
                <w:between w:val="nil"/>
              </w:pBdr>
              <w:spacing w:before="0" w:after="0" w:line="240" w:lineRule="auto"/>
            </w:pPr>
            <w:r>
              <w:t>Partnership Agreement Records</w:t>
            </w:r>
          </w:p>
        </w:tc>
      </w:tr>
      <w:tr w:rsidR="00DC66AC" w14:paraId="3259CE02" w14:textId="77777777">
        <w:trPr>
          <w:trHeight w:val="440"/>
        </w:trPr>
        <w:tc>
          <w:tcPr>
            <w:tcW w:w="1872" w:type="dxa"/>
            <w:vMerge/>
            <w:tcMar>
              <w:top w:w="100" w:type="dxa"/>
              <w:left w:w="100" w:type="dxa"/>
              <w:bottom w:w="100" w:type="dxa"/>
              <w:right w:w="100" w:type="dxa"/>
            </w:tcMar>
          </w:tcPr>
          <w:p w14:paraId="4E8E063D"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39923F8E" w14:textId="77777777" w:rsidR="00DC66AC" w:rsidRDefault="0079282B">
            <w:pPr>
              <w:widowControl w:val="0"/>
              <w:pBdr>
                <w:top w:val="nil"/>
                <w:left w:val="nil"/>
                <w:bottom w:val="nil"/>
                <w:right w:val="nil"/>
                <w:between w:val="nil"/>
              </w:pBdr>
              <w:spacing w:before="0" w:after="0" w:line="240" w:lineRule="auto"/>
            </w:pPr>
            <w:r>
              <w:t>Enhancing Booking Platforms</w:t>
            </w:r>
          </w:p>
        </w:tc>
        <w:tc>
          <w:tcPr>
            <w:tcW w:w="1872" w:type="dxa"/>
            <w:tcMar>
              <w:top w:w="100" w:type="dxa"/>
              <w:left w:w="100" w:type="dxa"/>
              <w:bottom w:w="100" w:type="dxa"/>
              <w:right w:w="100" w:type="dxa"/>
            </w:tcMar>
          </w:tcPr>
          <w:p w14:paraId="3A9D0BEB" w14:textId="77777777" w:rsidR="00DC66AC" w:rsidRDefault="0079282B">
            <w:pPr>
              <w:widowControl w:val="0"/>
              <w:pBdr>
                <w:top w:val="nil"/>
                <w:left w:val="nil"/>
                <w:bottom w:val="nil"/>
                <w:right w:val="nil"/>
                <w:between w:val="nil"/>
              </w:pBdr>
              <w:spacing w:before="0" w:after="0" w:line="240" w:lineRule="auto"/>
            </w:pPr>
            <w:r>
              <w:t>Number of Bookings made on Mobile applications</w:t>
            </w:r>
          </w:p>
        </w:tc>
        <w:tc>
          <w:tcPr>
            <w:tcW w:w="1872" w:type="dxa"/>
            <w:tcMar>
              <w:top w:w="100" w:type="dxa"/>
              <w:left w:w="100" w:type="dxa"/>
              <w:bottom w:w="100" w:type="dxa"/>
              <w:right w:w="100" w:type="dxa"/>
            </w:tcMar>
          </w:tcPr>
          <w:p w14:paraId="35DF0E56" w14:textId="77777777" w:rsidR="00DC66AC" w:rsidRDefault="0079282B">
            <w:pPr>
              <w:widowControl w:val="0"/>
              <w:pBdr>
                <w:top w:val="nil"/>
                <w:left w:val="nil"/>
                <w:bottom w:val="nil"/>
                <w:right w:val="nil"/>
                <w:between w:val="nil"/>
              </w:pBdr>
              <w:spacing w:before="0" w:after="0" w:line="240" w:lineRule="auto"/>
            </w:pPr>
            <w:r>
              <w:t>&gt;40%</w:t>
            </w:r>
          </w:p>
        </w:tc>
        <w:tc>
          <w:tcPr>
            <w:tcW w:w="1872" w:type="dxa"/>
            <w:tcMar>
              <w:top w:w="100" w:type="dxa"/>
              <w:left w:w="100" w:type="dxa"/>
              <w:bottom w:w="100" w:type="dxa"/>
              <w:right w:w="100" w:type="dxa"/>
            </w:tcMar>
          </w:tcPr>
          <w:p w14:paraId="4935DC86" w14:textId="77777777" w:rsidR="00DC66AC" w:rsidRDefault="0079282B">
            <w:pPr>
              <w:widowControl w:val="0"/>
              <w:pBdr>
                <w:top w:val="nil"/>
                <w:left w:val="nil"/>
                <w:bottom w:val="nil"/>
                <w:right w:val="nil"/>
                <w:between w:val="nil"/>
              </w:pBdr>
              <w:spacing w:before="0" w:after="0" w:line="240" w:lineRule="auto"/>
            </w:pPr>
            <w:r>
              <w:t>Application Analytics</w:t>
            </w:r>
          </w:p>
        </w:tc>
      </w:tr>
      <w:tr w:rsidR="00DC66AC" w14:paraId="50B51570" w14:textId="77777777">
        <w:trPr>
          <w:trHeight w:val="440"/>
        </w:trPr>
        <w:tc>
          <w:tcPr>
            <w:tcW w:w="1872" w:type="dxa"/>
            <w:vMerge w:val="restart"/>
            <w:tcMar>
              <w:top w:w="100" w:type="dxa"/>
              <w:left w:w="100" w:type="dxa"/>
              <w:bottom w:w="100" w:type="dxa"/>
              <w:right w:w="100" w:type="dxa"/>
            </w:tcMar>
          </w:tcPr>
          <w:p w14:paraId="3A40E796" w14:textId="77777777" w:rsidR="00DC66AC" w:rsidRDefault="0079282B">
            <w:pPr>
              <w:widowControl w:val="0"/>
              <w:pBdr>
                <w:top w:val="nil"/>
                <w:left w:val="nil"/>
                <w:bottom w:val="nil"/>
                <w:right w:val="nil"/>
                <w:between w:val="nil"/>
              </w:pBdr>
              <w:spacing w:before="0" w:after="0" w:line="240" w:lineRule="auto"/>
              <w:jc w:val="left"/>
              <w:rPr>
                <w:b/>
                <w:bCs/>
                <w:i/>
                <w:iCs/>
              </w:rPr>
            </w:pPr>
            <w:r>
              <w:rPr>
                <w:b/>
                <w:bCs/>
                <w:i/>
                <w:iCs/>
              </w:rPr>
              <w:t>Learning and Growth Perspectives</w:t>
            </w:r>
          </w:p>
        </w:tc>
        <w:tc>
          <w:tcPr>
            <w:tcW w:w="1872" w:type="dxa"/>
            <w:tcMar>
              <w:top w:w="100" w:type="dxa"/>
              <w:left w:w="100" w:type="dxa"/>
              <w:bottom w:w="100" w:type="dxa"/>
              <w:right w:w="100" w:type="dxa"/>
            </w:tcMar>
          </w:tcPr>
          <w:p w14:paraId="67013C8F" w14:textId="77777777" w:rsidR="00DC66AC" w:rsidRDefault="0079282B">
            <w:pPr>
              <w:widowControl w:val="0"/>
              <w:pBdr>
                <w:top w:val="nil"/>
                <w:left w:val="nil"/>
                <w:bottom w:val="nil"/>
                <w:right w:val="nil"/>
                <w:between w:val="nil"/>
              </w:pBdr>
              <w:spacing w:before="0" w:after="0" w:line="240" w:lineRule="auto"/>
              <w:jc w:val="left"/>
            </w:pPr>
            <w:r>
              <w:t>Building local employment</w:t>
            </w:r>
          </w:p>
        </w:tc>
        <w:tc>
          <w:tcPr>
            <w:tcW w:w="1872" w:type="dxa"/>
            <w:tcMar>
              <w:top w:w="100" w:type="dxa"/>
              <w:left w:w="100" w:type="dxa"/>
              <w:bottom w:w="100" w:type="dxa"/>
              <w:right w:w="100" w:type="dxa"/>
            </w:tcMar>
          </w:tcPr>
          <w:p w14:paraId="357D1656" w14:textId="77777777" w:rsidR="00DC66AC" w:rsidRDefault="0079282B">
            <w:pPr>
              <w:widowControl w:val="0"/>
              <w:pBdr>
                <w:top w:val="nil"/>
                <w:left w:val="nil"/>
                <w:bottom w:val="nil"/>
                <w:right w:val="nil"/>
                <w:between w:val="nil"/>
              </w:pBdr>
              <w:spacing w:before="0" w:after="0" w:line="240" w:lineRule="auto"/>
              <w:jc w:val="left"/>
            </w:pPr>
            <w:r>
              <w:t>Number of local employees hired</w:t>
            </w:r>
          </w:p>
        </w:tc>
        <w:tc>
          <w:tcPr>
            <w:tcW w:w="1872" w:type="dxa"/>
            <w:tcMar>
              <w:top w:w="100" w:type="dxa"/>
              <w:left w:w="100" w:type="dxa"/>
              <w:bottom w:w="100" w:type="dxa"/>
              <w:right w:w="100" w:type="dxa"/>
            </w:tcMar>
          </w:tcPr>
          <w:p w14:paraId="1ACEB9A9" w14:textId="77777777" w:rsidR="00DC66AC" w:rsidRDefault="0079282B">
            <w:pPr>
              <w:widowControl w:val="0"/>
              <w:pBdr>
                <w:top w:val="nil"/>
                <w:left w:val="nil"/>
                <w:bottom w:val="nil"/>
                <w:right w:val="nil"/>
                <w:between w:val="nil"/>
              </w:pBdr>
              <w:spacing w:before="0" w:after="0" w:line="240" w:lineRule="auto"/>
              <w:jc w:val="left"/>
            </w:pPr>
            <w:r>
              <w:t>&gt;150</w:t>
            </w:r>
          </w:p>
        </w:tc>
        <w:tc>
          <w:tcPr>
            <w:tcW w:w="1872" w:type="dxa"/>
            <w:tcMar>
              <w:top w:w="100" w:type="dxa"/>
              <w:left w:w="100" w:type="dxa"/>
              <w:bottom w:w="100" w:type="dxa"/>
              <w:right w:w="100" w:type="dxa"/>
            </w:tcMar>
          </w:tcPr>
          <w:p w14:paraId="07B548C3" w14:textId="77777777" w:rsidR="00DC66AC" w:rsidRDefault="0079282B">
            <w:pPr>
              <w:widowControl w:val="0"/>
              <w:pBdr>
                <w:top w:val="nil"/>
                <w:left w:val="nil"/>
                <w:bottom w:val="nil"/>
                <w:right w:val="nil"/>
                <w:between w:val="nil"/>
              </w:pBdr>
              <w:spacing w:before="0" w:after="0" w:line="240" w:lineRule="auto"/>
              <w:jc w:val="left"/>
            </w:pPr>
            <w:r>
              <w:t>HR Records</w:t>
            </w:r>
          </w:p>
        </w:tc>
      </w:tr>
      <w:tr w:rsidR="00DC66AC" w14:paraId="7E501678" w14:textId="77777777">
        <w:trPr>
          <w:trHeight w:val="440"/>
        </w:trPr>
        <w:tc>
          <w:tcPr>
            <w:tcW w:w="1872" w:type="dxa"/>
            <w:vMerge/>
            <w:tcMar>
              <w:top w:w="100" w:type="dxa"/>
              <w:left w:w="100" w:type="dxa"/>
              <w:bottom w:w="100" w:type="dxa"/>
              <w:right w:w="100" w:type="dxa"/>
            </w:tcMar>
          </w:tcPr>
          <w:p w14:paraId="4E045728"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179081D6" w14:textId="77777777" w:rsidR="00DC66AC" w:rsidRDefault="0079282B">
            <w:pPr>
              <w:widowControl w:val="0"/>
              <w:pBdr>
                <w:top w:val="nil"/>
                <w:left w:val="nil"/>
                <w:bottom w:val="nil"/>
                <w:right w:val="nil"/>
                <w:between w:val="nil"/>
              </w:pBdr>
              <w:spacing w:before="0" w:after="0" w:line="240" w:lineRule="auto"/>
              <w:jc w:val="left"/>
            </w:pPr>
            <w:r>
              <w:t>Developing Innovations</w:t>
            </w:r>
          </w:p>
        </w:tc>
        <w:tc>
          <w:tcPr>
            <w:tcW w:w="1872" w:type="dxa"/>
            <w:tcMar>
              <w:top w:w="100" w:type="dxa"/>
              <w:left w:w="100" w:type="dxa"/>
              <w:bottom w:w="100" w:type="dxa"/>
              <w:right w:w="100" w:type="dxa"/>
            </w:tcMar>
          </w:tcPr>
          <w:p w14:paraId="1DD19C3A" w14:textId="77777777" w:rsidR="00DC66AC" w:rsidRDefault="0079282B">
            <w:pPr>
              <w:widowControl w:val="0"/>
              <w:pBdr>
                <w:top w:val="nil"/>
                <w:left w:val="nil"/>
                <w:bottom w:val="nil"/>
                <w:right w:val="nil"/>
                <w:between w:val="nil"/>
              </w:pBdr>
              <w:spacing w:before="0" w:after="0" w:line="240" w:lineRule="auto"/>
              <w:jc w:val="left"/>
            </w:pPr>
            <w:r>
              <w:t>Number of new services offered</w:t>
            </w:r>
          </w:p>
        </w:tc>
        <w:tc>
          <w:tcPr>
            <w:tcW w:w="1872" w:type="dxa"/>
            <w:tcMar>
              <w:top w:w="100" w:type="dxa"/>
              <w:left w:w="100" w:type="dxa"/>
              <w:bottom w:w="100" w:type="dxa"/>
              <w:right w:w="100" w:type="dxa"/>
            </w:tcMar>
          </w:tcPr>
          <w:p w14:paraId="0D631A5D" w14:textId="77777777" w:rsidR="00DC66AC" w:rsidRDefault="0079282B">
            <w:pPr>
              <w:widowControl w:val="0"/>
              <w:pBdr>
                <w:top w:val="nil"/>
                <w:left w:val="nil"/>
                <w:bottom w:val="nil"/>
                <w:right w:val="nil"/>
                <w:between w:val="nil"/>
              </w:pBdr>
              <w:spacing w:before="0" w:after="0" w:line="240" w:lineRule="auto"/>
              <w:jc w:val="left"/>
            </w:pPr>
            <w:r>
              <w:t>&gt;3</w:t>
            </w:r>
          </w:p>
        </w:tc>
        <w:tc>
          <w:tcPr>
            <w:tcW w:w="1872" w:type="dxa"/>
            <w:tcMar>
              <w:top w:w="100" w:type="dxa"/>
              <w:left w:w="100" w:type="dxa"/>
              <w:bottom w:w="100" w:type="dxa"/>
              <w:right w:w="100" w:type="dxa"/>
            </w:tcMar>
          </w:tcPr>
          <w:p w14:paraId="2DF72B97" w14:textId="77777777" w:rsidR="00DC66AC" w:rsidRDefault="0079282B">
            <w:pPr>
              <w:widowControl w:val="0"/>
              <w:pBdr>
                <w:top w:val="nil"/>
                <w:left w:val="nil"/>
                <w:bottom w:val="nil"/>
                <w:right w:val="nil"/>
                <w:between w:val="nil"/>
              </w:pBdr>
              <w:spacing w:before="0" w:after="0" w:line="240" w:lineRule="auto"/>
              <w:jc w:val="left"/>
            </w:pPr>
            <w:r>
              <w:t>Service Design Logs</w:t>
            </w:r>
          </w:p>
        </w:tc>
      </w:tr>
      <w:tr w:rsidR="00DC66AC" w14:paraId="2224BB5C" w14:textId="77777777">
        <w:trPr>
          <w:trHeight w:val="440"/>
        </w:trPr>
        <w:tc>
          <w:tcPr>
            <w:tcW w:w="1872" w:type="dxa"/>
            <w:vMerge/>
            <w:tcMar>
              <w:top w:w="100" w:type="dxa"/>
              <w:left w:w="100" w:type="dxa"/>
              <w:bottom w:w="100" w:type="dxa"/>
              <w:right w:w="100" w:type="dxa"/>
            </w:tcMar>
          </w:tcPr>
          <w:p w14:paraId="617AF8E5"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45AB5A68" w14:textId="77777777" w:rsidR="00DC66AC" w:rsidRDefault="0079282B">
            <w:pPr>
              <w:widowControl w:val="0"/>
              <w:pBdr>
                <w:top w:val="nil"/>
                <w:left w:val="nil"/>
                <w:bottom w:val="nil"/>
                <w:right w:val="nil"/>
                <w:between w:val="nil"/>
              </w:pBdr>
              <w:spacing w:before="0" w:after="0" w:line="240" w:lineRule="auto"/>
              <w:jc w:val="left"/>
            </w:pPr>
            <w:r>
              <w:t>Promoting and Providing cultural training</w:t>
            </w:r>
          </w:p>
        </w:tc>
        <w:tc>
          <w:tcPr>
            <w:tcW w:w="1872" w:type="dxa"/>
            <w:tcMar>
              <w:top w:w="100" w:type="dxa"/>
              <w:left w:w="100" w:type="dxa"/>
              <w:bottom w:w="100" w:type="dxa"/>
              <w:right w:w="100" w:type="dxa"/>
            </w:tcMar>
          </w:tcPr>
          <w:p w14:paraId="59B8333A" w14:textId="77777777" w:rsidR="00DC66AC" w:rsidRDefault="0079282B">
            <w:pPr>
              <w:widowControl w:val="0"/>
              <w:pBdr>
                <w:top w:val="nil"/>
                <w:left w:val="nil"/>
                <w:bottom w:val="nil"/>
                <w:right w:val="nil"/>
                <w:between w:val="nil"/>
              </w:pBdr>
              <w:spacing w:before="0" w:after="0" w:line="240" w:lineRule="auto"/>
              <w:jc w:val="left"/>
            </w:pPr>
            <w:r>
              <w:t>Percentage of staff trained in Saudi cultural norms</w:t>
            </w:r>
          </w:p>
        </w:tc>
        <w:tc>
          <w:tcPr>
            <w:tcW w:w="1872" w:type="dxa"/>
            <w:tcMar>
              <w:top w:w="100" w:type="dxa"/>
              <w:left w:w="100" w:type="dxa"/>
              <w:bottom w:w="100" w:type="dxa"/>
              <w:right w:w="100" w:type="dxa"/>
            </w:tcMar>
          </w:tcPr>
          <w:p w14:paraId="0A92240C" w14:textId="77777777" w:rsidR="00DC66AC" w:rsidRDefault="00F22363">
            <w:pPr>
              <w:widowControl w:val="0"/>
              <w:pBdr>
                <w:top w:val="nil"/>
                <w:left w:val="nil"/>
                <w:bottom w:val="nil"/>
                <w:right w:val="nil"/>
                <w:between w:val="nil"/>
              </w:pBdr>
              <w:spacing w:before="0" w:after="0" w:line="240" w:lineRule="auto"/>
              <w:jc w:val="left"/>
            </w:pPr>
            <w:sdt>
              <w:sdtPr>
                <w:tag w:val="goog_rdk_1"/>
                <w:id w:val="1216514043"/>
              </w:sdtPr>
              <w:sdtEndPr/>
              <w:sdtContent>
                <w:r w:rsidR="0079282B">
                  <w:rPr>
                    <w:rFonts w:ascii="Arial Unicode MS" w:eastAsia="Arial Unicode MS" w:hAnsi="Arial Unicode MS" w:cs="Arial Unicode MS"/>
                  </w:rPr>
                  <w:t>≥ 90%</w:t>
                </w:r>
              </w:sdtContent>
            </w:sdt>
          </w:p>
        </w:tc>
        <w:tc>
          <w:tcPr>
            <w:tcW w:w="1872" w:type="dxa"/>
            <w:tcMar>
              <w:top w:w="100" w:type="dxa"/>
              <w:left w:w="100" w:type="dxa"/>
              <w:bottom w:w="100" w:type="dxa"/>
              <w:right w:w="100" w:type="dxa"/>
            </w:tcMar>
          </w:tcPr>
          <w:p w14:paraId="237D8A06" w14:textId="77777777" w:rsidR="00DC66AC" w:rsidRDefault="0079282B">
            <w:pPr>
              <w:widowControl w:val="0"/>
              <w:pBdr>
                <w:top w:val="nil"/>
                <w:left w:val="nil"/>
                <w:bottom w:val="nil"/>
                <w:right w:val="nil"/>
                <w:between w:val="nil"/>
              </w:pBdr>
              <w:spacing w:before="0" w:after="0" w:line="240" w:lineRule="auto"/>
              <w:jc w:val="left"/>
            </w:pPr>
            <w:r>
              <w:t>Training Completion Reports</w:t>
            </w:r>
          </w:p>
        </w:tc>
      </w:tr>
      <w:tr w:rsidR="00DC66AC" w14:paraId="4F232B3C" w14:textId="77777777">
        <w:trPr>
          <w:trHeight w:val="440"/>
        </w:trPr>
        <w:tc>
          <w:tcPr>
            <w:tcW w:w="1872" w:type="dxa"/>
            <w:vMerge/>
            <w:tcMar>
              <w:top w:w="100" w:type="dxa"/>
              <w:left w:w="100" w:type="dxa"/>
              <w:bottom w:w="100" w:type="dxa"/>
              <w:right w:w="100" w:type="dxa"/>
            </w:tcMar>
          </w:tcPr>
          <w:p w14:paraId="76346E38" w14:textId="77777777" w:rsidR="00DC66AC" w:rsidRDefault="00DC66AC">
            <w:pPr>
              <w:widowControl w:val="0"/>
              <w:pBdr>
                <w:top w:val="nil"/>
                <w:left w:val="nil"/>
                <w:bottom w:val="nil"/>
                <w:right w:val="nil"/>
                <w:between w:val="nil"/>
              </w:pBdr>
              <w:spacing w:before="0" w:after="0" w:line="276" w:lineRule="auto"/>
              <w:jc w:val="left"/>
            </w:pPr>
          </w:p>
        </w:tc>
        <w:tc>
          <w:tcPr>
            <w:tcW w:w="1872" w:type="dxa"/>
            <w:tcMar>
              <w:top w:w="100" w:type="dxa"/>
              <w:left w:w="100" w:type="dxa"/>
              <w:bottom w:w="100" w:type="dxa"/>
              <w:right w:w="100" w:type="dxa"/>
            </w:tcMar>
          </w:tcPr>
          <w:p w14:paraId="54754437" w14:textId="77777777" w:rsidR="00DC66AC" w:rsidRDefault="0079282B">
            <w:pPr>
              <w:widowControl w:val="0"/>
              <w:pBdr>
                <w:top w:val="nil"/>
                <w:left w:val="nil"/>
                <w:bottom w:val="nil"/>
                <w:right w:val="nil"/>
                <w:between w:val="nil"/>
              </w:pBdr>
              <w:spacing w:before="0" w:after="0" w:line="240" w:lineRule="auto"/>
              <w:jc w:val="left"/>
            </w:pPr>
            <w:r>
              <w:t>Improving host education</w:t>
            </w:r>
          </w:p>
        </w:tc>
        <w:tc>
          <w:tcPr>
            <w:tcW w:w="1872" w:type="dxa"/>
            <w:tcMar>
              <w:top w:w="100" w:type="dxa"/>
              <w:left w:w="100" w:type="dxa"/>
              <w:bottom w:w="100" w:type="dxa"/>
              <w:right w:w="100" w:type="dxa"/>
            </w:tcMar>
          </w:tcPr>
          <w:p w14:paraId="31C6E525" w14:textId="77777777" w:rsidR="00DC66AC" w:rsidRDefault="0079282B">
            <w:pPr>
              <w:widowControl w:val="0"/>
              <w:pBdr>
                <w:top w:val="nil"/>
                <w:left w:val="nil"/>
                <w:bottom w:val="nil"/>
                <w:right w:val="nil"/>
                <w:between w:val="nil"/>
              </w:pBdr>
              <w:spacing w:before="0" w:after="0" w:line="240" w:lineRule="auto"/>
              <w:jc w:val="left"/>
            </w:pPr>
            <w:r>
              <w:t>Percentage of hosts completing onboarding &amp; service quality training</w:t>
            </w:r>
          </w:p>
        </w:tc>
        <w:tc>
          <w:tcPr>
            <w:tcW w:w="1872" w:type="dxa"/>
            <w:tcMar>
              <w:top w:w="100" w:type="dxa"/>
              <w:left w:w="100" w:type="dxa"/>
              <w:bottom w:w="100" w:type="dxa"/>
              <w:right w:w="100" w:type="dxa"/>
            </w:tcMar>
          </w:tcPr>
          <w:p w14:paraId="36519D40" w14:textId="77777777" w:rsidR="00DC66AC" w:rsidRDefault="0079282B">
            <w:pPr>
              <w:widowControl w:val="0"/>
              <w:pBdr>
                <w:top w:val="nil"/>
                <w:left w:val="nil"/>
                <w:bottom w:val="nil"/>
                <w:right w:val="nil"/>
                <w:between w:val="nil"/>
              </w:pBdr>
              <w:spacing w:before="0" w:after="0" w:line="240" w:lineRule="auto"/>
              <w:jc w:val="left"/>
            </w:pPr>
            <w:r>
              <w:t>&gt;75%</w:t>
            </w:r>
          </w:p>
        </w:tc>
        <w:tc>
          <w:tcPr>
            <w:tcW w:w="1872" w:type="dxa"/>
            <w:tcMar>
              <w:top w:w="100" w:type="dxa"/>
              <w:left w:w="100" w:type="dxa"/>
              <w:bottom w:w="100" w:type="dxa"/>
              <w:right w:w="100" w:type="dxa"/>
            </w:tcMar>
          </w:tcPr>
          <w:p w14:paraId="740A6DCC" w14:textId="77777777" w:rsidR="00DC66AC" w:rsidRDefault="0079282B">
            <w:pPr>
              <w:widowControl w:val="0"/>
              <w:pBdr>
                <w:top w:val="nil"/>
                <w:left w:val="nil"/>
                <w:bottom w:val="nil"/>
                <w:right w:val="nil"/>
                <w:between w:val="nil"/>
              </w:pBdr>
              <w:spacing w:before="0" w:after="0" w:line="240" w:lineRule="auto"/>
              <w:jc w:val="left"/>
            </w:pPr>
            <w:r>
              <w:t>Host Training Platforms</w:t>
            </w:r>
          </w:p>
        </w:tc>
      </w:tr>
    </w:tbl>
    <w:p w14:paraId="133E8DDE" w14:textId="77777777" w:rsidR="00DC66AC" w:rsidRDefault="0079282B">
      <w:pPr>
        <w:jc w:val="center"/>
        <w:rPr>
          <w:b/>
          <w:bCs/>
        </w:rPr>
      </w:pPr>
      <w:r>
        <w:rPr>
          <w:b/>
          <w:bCs/>
        </w:rPr>
        <w:t>Table 6: Balanced Scorecard Performance Evaluation Framework</w:t>
      </w:r>
    </w:p>
    <w:p w14:paraId="61D534CB" w14:textId="77777777" w:rsidR="00DC66AC" w:rsidRDefault="0079282B">
      <w:pPr>
        <w:jc w:val="center"/>
      </w:pPr>
      <w:r>
        <w:t>(Source: Self-developed)</w:t>
      </w:r>
    </w:p>
    <w:p w14:paraId="4B5743F6" w14:textId="77777777" w:rsidR="00DC66AC" w:rsidRDefault="0079282B">
      <w:r>
        <w:t xml:space="preserve">Table 6 here presents the KPIs and Targets relevant to each of these strategic objectives, relevant to the financial performance perspectives, internal process perspectives, customer perspectives, and learning and growth perspectives. Herein, these parameters for performance management and evaluation can be used to measure the progress of organisational expansion strategy implementation, as suggested for Airbnb for its expansion in Saudi Arabia. </w:t>
      </w:r>
      <w:r>
        <w:rPr>
          <w:color w:val="FF0000"/>
        </w:rPr>
        <w:t xml:space="preserve">In this regard, of particular importance is the hiring of a significant number of Saudi Nationals for the foreign businesses. This is because the Saudization policy in Saudi Arabia, has mandated private companies in Saudi Arabia to hire more Saudi nationals, with the aim to reduce unemployment, while enhancing local employment capacity (TOI, 2025). Herein the number of Saudi Nationals to be hired is dependent on the size and scale of the private business. </w:t>
      </w:r>
      <w:r>
        <w:t xml:space="preserve">Prihatmoko </w:t>
      </w:r>
      <w:r>
        <w:rPr>
          <w:i/>
          <w:iCs/>
        </w:rPr>
        <w:t>et al.</w:t>
      </w:r>
      <w:r>
        <w:t xml:space="preserve"> (2022) in their research state that the Balanced Scorecard Framework, in this regard, is the most appropriate for conducting broader planning perspectives, wherein this particular framework provides comprehensive, coherent and measurable goals and targets for the performance management aspects. Therefore, the Balanced Scorecard Framework is beneficial for the objective of measuring the progress of the implementation of strategies for Airbnb’s Market Expansion. </w:t>
      </w:r>
    </w:p>
    <w:p w14:paraId="6DD703A4" w14:textId="77777777" w:rsidR="00DC66AC" w:rsidRDefault="0079282B">
      <w:pPr>
        <w:pStyle w:val="Heading1"/>
      </w:pPr>
      <w:bookmarkStart w:id="18" w:name="_heading=h.buekeia73up0" w:colFirst="0" w:colLast="0"/>
      <w:bookmarkEnd w:id="18"/>
      <w:r>
        <w:t>6. Conclusion</w:t>
      </w:r>
    </w:p>
    <w:p w14:paraId="6CB38B29" w14:textId="77777777" w:rsidR="00DC66AC" w:rsidRDefault="0079282B">
      <w:r>
        <w:t xml:space="preserve">This report presented Airbnb’s strategic expansion into the Saudi Arabian Hospitality market, leveraging the Vision 2030 strategic plan of the country, which prioritises a tourism boost to replace dependence on oil economies. The report applied PESTLE, Porter’s 5 Forces, as well as the SWOT analyses, wherein the economic growth, political </w:t>
      </w:r>
      <w:r>
        <w:lastRenderedPageBreak/>
        <w:t>stability and technological investments of the market were identified, wherein internal strengths like global brand presence were also found. Furthermore, the strategic development process included the application of VRIO, Ansoff Matrix, as well as Porter’s Generic Strategies, which led to the identification of a market penetration approach, cultural differentiation, as well as a cost leadership strategy for Saudi Arabia’s expansion in the Saudi Arabian market. In this regard, apart from the development of an action plan for the implementation of the expansion strategy, a performance evaluation framework based on the Balanced Scorecard was also formed. In conclusion, it can be identified that Airbnb’s tailored expansion strategy, which is aimed at cultural integration, local partnerships and financial performance metrics, can position the company in a sustainable position within the target market of Saudi Arabia.</w:t>
      </w:r>
    </w:p>
    <w:p w14:paraId="3EEE82FB" w14:textId="77777777" w:rsidR="00DC66AC" w:rsidRDefault="00DC66AC"/>
    <w:p w14:paraId="5F239DFD" w14:textId="77777777" w:rsidR="00DC66AC" w:rsidRDefault="0079282B">
      <w:pPr>
        <w:pStyle w:val="Heading1"/>
      </w:pPr>
      <w:bookmarkStart w:id="19" w:name="_heading=h.buzgk21pum" w:colFirst="0" w:colLast="0"/>
      <w:bookmarkEnd w:id="19"/>
      <w:r>
        <w:br w:type="page"/>
      </w:r>
    </w:p>
    <w:p w14:paraId="7470E5B3" w14:textId="77777777" w:rsidR="00DC66AC" w:rsidRDefault="0079282B">
      <w:pPr>
        <w:pStyle w:val="Heading1"/>
      </w:pPr>
      <w:bookmarkStart w:id="20" w:name="_heading=h.up6xmse1y9ti" w:colFirst="0" w:colLast="0"/>
      <w:bookmarkEnd w:id="20"/>
      <w:r>
        <w:lastRenderedPageBreak/>
        <w:t>7. References</w:t>
      </w:r>
    </w:p>
    <w:p w14:paraId="2A28E85C" w14:textId="77777777" w:rsidR="00DC66AC" w:rsidRDefault="0079282B">
      <w:r>
        <w:t>Afshar, M.Z. and Shah, M.H., 2025. Performance evaluation using balanced scorecard framework: Insights from a public sector case study. Int. J. Hum. Soc, 5(1), pp.40-47.</w:t>
      </w:r>
      <w:hyperlink r:id="rId11">
        <w:r w:rsidR="00DC66AC">
          <w:rPr>
            <w:color w:val="1155CC"/>
            <w:u w:val="single"/>
          </w:rPr>
          <w:t>https://www.researchgate.net/profile/Muhammad-Zaurez-Afshar/publication/388876005_Performance_Evaluation_Using_Balanced_Scorecard_Framework-_Insights_From_A_Public_Sector_Case_Study/links/67ab51ba96e7fb48b9bf01be/Performance-Evaluation-Using-Balanced-Scorecard-Framework-Insights-From-A-Public-Sector-Case-Study.pdf</w:t>
        </w:r>
      </w:hyperlink>
      <w:r>
        <w:t xml:space="preserve"> </w:t>
      </w:r>
    </w:p>
    <w:p w14:paraId="7E66CD49" w14:textId="77777777" w:rsidR="00DC66AC" w:rsidRDefault="0079282B">
      <w:r>
        <w:t xml:space="preserve">Airbnb, 2025. About Us. Available at: </w:t>
      </w:r>
      <w:hyperlink r:id="rId12">
        <w:r w:rsidR="00DC66AC">
          <w:rPr>
            <w:color w:val="1155CC"/>
            <w:u w:val="single"/>
          </w:rPr>
          <w:t>https://news.airbnb.com/about-us/</w:t>
        </w:r>
      </w:hyperlink>
      <w:r>
        <w:t xml:space="preserve"> [Accessed 13 November 2025]</w:t>
      </w:r>
    </w:p>
    <w:p w14:paraId="48DE6EBE" w14:textId="77777777" w:rsidR="00DC66AC" w:rsidRDefault="0079282B">
      <w:r>
        <w:t>Airbnb, 2025a. Shareholder Letter Q3 2025. Available at:</w:t>
      </w:r>
      <w:hyperlink r:id="rId13">
        <w:r w:rsidR="00DC66AC">
          <w:rPr>
            <w:color w:val="1155CC"/>
            <w:u w:val="single"/>
          </w:rPr>
          <w:t>https://s26.q4cdn.com/656283129/files/doc_financials/2025/q3/v2/Airbnb_Q3-2025-Shareholder-Letter.pdf</w:t>
        </w:r>
      </w:hyperlink>
      <w:r>
        <w:t xml:space="preserve"> [Accessed 13 November 2025]</w:t>
      </w:r>
    </w:p>
    <w:p w14:paraId="184B4737" w14:textId="77777777" w:rsidR="00DC66AC" w:rsidRDefault="0079282B">
      <w:r>
        <w:t xml:space="preserve">Airroi, 2025. Riyadh, Saudi Arabia. Available at: </w:t>
      </w:r>
      <w:hyperlink r:id="rId14">
        <w:r w:rsidR="00DC66AC">
          <w:rPr>
            <w:color w:val="1155CC"/>
            <w:u w:val="single"/>
          </w:rPr>
          <w:t>https://www.airroi.com/data-portal/markets/riyadh-saudi-arabia</w:t>
        </w:r>
      </w:hyperlink>
      <w:r>
        <w:t xml:space="preserve"> [Accessed 13 November 2025]</w:t>
      </w:r>
    </w:p>
    <w:p w14:paraId="1AF7DACE" w14:textId="77777777" w:rsidR="00DC66AC" w:rsidRDefault="0079282B">
      <w:r>
        <w:t>Airroi, 2025a. Jeddah, Airbnb Market Analysis 2025: Short Term Rental Data &amp; Vacation Rental Statistics in Makkah Region, Saudi Arabia. Available at:</w:t>
      </w:r>
      <w:hyperlink r:id="rId15">
        <w:r w:rsidR="00DC66AC">
          <w:rPr>
            <w:color w:val="1155CC"/>
            <w:u w:val="single"/>
          </w:rPr>
          <w:t>https://www.airroi.com/report/world/saudi-arabia/makkah-region/jeddah</w:t>
        </w:r>
      </w:hyperlink>
      <w:r>
        <w:t xml:space="preserve"> [Accessed 13 November 2025]</w:t>
      </w:r>
    </w:p>
    <w:p w14:paraId="3191D1CD" w14:textId="77777777" w:rsidR="00DC66AC" w:rsidRDefault="0079282B">
      <w:pPr>
        <w:spacing w:before="240" w:after="240"/>
        <w:rPr>
          <w:color w:val="1155CC"/>
          <w:u w:val="single"/>
        </w:rPr>
      </w:pPr>
      <w:r>
        <w:t xml:space="preserve">Al Jahdali, K.D., 2021. </w:t>
      </w:r>
      <w:r>
        <w:rPr>
          <w:i/>
          <w:iCs/>
        </w:rPr>
        <w:t>Towards an intelligent Holy City: assessing the current training needs for the Ministry of Hajj and Umrah</w:t>
      </w:r>
      <w:r>
        <w:t>. Nottingham Trent University (United Kingdom).</w:t>
      </w:r>
      <w:hyperlink r:id="rId16">
        <w:r w:rsidR="00DC66AC">
          <w:t xml:space="preserve"> </w:t>
        </w:r>
      </w:hyperlink>
      <w:hyperlink r:id="rId17">
        <w:r w:rsidR="00DC66AC">
          <w:rPr>
            <w:color w:val="1155CC"/>
            <w:u w:val="single"/>
          </w:rPr>
          <w:t>https://irep.ntu.ac.uk/id/eprint/46404/1/Khalid%20Aljahdali%202022.pdf</w:t>
        </w:r>
      </w:hyperlink>
    </w:p>
    <w:p w14:paraId="422A6B75" w14:textId="77777777" w:rsidR="00DC66AC" w:rsidRDefault="0079282B">
      <w:pPr>
        <w:spacing w:before="240" w:after="240"/>
        <w:rPr>
          <w:color w:val="1155CC"/>
          <w:u w:val="single"/>
        </w:rPr>
      </w:pPr>
      <w:r>
        <w:t xml:space="preserve">Ali, B.J. and Anwar, G., 2021. Porter’s Generic Competitive Strategies and its influence on the Competitive Advantage. </w:t>
      </w:r>
      <w:r>
        <w:rPr>
          <w:i/>
          <w:iCs/>
        </w:rPr>
        <w:t>International Journal of Advanced Engineering, Management and Science</w:t>
      </w:r>
      <w:r>
        <w:t xml:space="preserve">, </w:t>
      </w:r>
      <w:r>
        <w:rPr>
          <w:i/>
          <w:iCs/>
        </w:rPr>
        <w:t>7</w:t>
      </w:r>
      <w:r>
        <w:t>(6), pp.42-51.</w:t>
      </w:r>
      <w:hyperlink r:id="rId18">
        <w:r w:rsidR="00DC66AC">
          <w:t xml:space="preserve"> </w:t>
        </w:r>
      </w:hyperlink>
      <w:hyperlink r:id="rId19">
        <w:r w:rsidR="00DC66AC">
          <w:rPr>
            <w:color w:val="1155CC"/>
            <w:u w:val="single"/>
          </w:rPr>
          <w:t>https://www.academia.edu/download/67574092/g28.pdf</w:t>
        </w:r>
      </w:hyperlink>
    </w:p>
    <w:p w14:paraId="70693401" w14:textId="77777777" w:rsidR="00DC66AC" w:rsidRDefault="0079282B">
      <w:pPr>
        <w:spacing w:before="240" w:after="240"/>
      </w:pPr>
      <w:r>
        <w:lastRenderedPageBreak/>
        <w:t xml:space="preserve">Ammar, M.A. and Saud Aldawsari  2019. </w:t>
      </w:r>
      <w:r>
        <w:rPr>
          <w:i/>
          <w:iCs/>
        </w:rPr>
        <w:t>Partnerships in Saudi Arabia</w:t>
      </w:r>
      <w:r>
        <w:t xml:space="preserve">. [online] Lexology. Available at: </w:t>
      </w:r>
      <w:hyperlink r:id="rId20">
        <w:r w:rsidR="00DC66AC">
          <w:rPr>
            <w:color w:val="1155CC"/>
            <w:u w:val="single"/>
          </w:rPr>
          <w:t>https://www.lexology.com/library/detail.aspx?g=0f62730f-bbc4-41e2-bf45-e25e25a306de</w:t>
        </w:r>
      </w:hyperlink>
      <w:r>
        <w:t xml:space="preserve">  [Accessed 13 Nov. 2025].</w:t>
      </w:r>
    </w:p>
    <w:p w14:paraId="0EFCF5AA" w14:textId="77777777" w:rsidR="00DC66AC" w:rsidRDefault="0079282B">
      <w:r>
        <w:t>Buye, R., 2021. Critical examination of the PESTEL Analysis Model. Project: Action Research for Development, pp.1-12.</w:t>
      </w:r>
      <w:hyperlink r:id="rId21">
        <w:r w:rsidR="00DC66AC">
          <w:rPr>
            <w:color w:val="1155CC"/>
            <w:u w:val="single"/>
          </w:rPr>
          <w:t>https://www.researchgate.net/profile/Ronald-Buye/publication/349506325_Critical_examination_of_the_PESTEL_Analysis_Model/links/6093f3fd92851c490fbd6e7e/Critical-examination-of-the-PESTEL-Analysis-Model</w:t>
        </w:r>
      </w:hyperlink>
      <w:r>
        <w:t xml:space="preserve"> </w:t>
      </w:r>
    </w:p>
    <w:p w14:paraId="1969326F" w14:textId="77777777" w:rsidR="00DC66AC" w:rsidRDefault="0079282B">
      <w:r>
        <w:t>Grand View Research, 2024. Saudi Arabia Vacation Rental Market Size &amp; Outlook. Available at:</w:t>
      </w:r>
      <w:hyperlink r:id="rId22">
        <w:r w:rsidR="00DC66AC">
          <w:rPr>
            <w:color w:val="1155CC"/>
            <w:u w:val="single"/>
          </w:rPr>
          <w:t>https://www.grandviewresearch.com/horizon/outlook/vacation-rental-market/saudi-arabia</w:t>
        </w:r>
      </w:hyperlink>
      <w:r>
        <w:t xml:space="preserve">  [Accessed 13 November 2025]</w:t>
      </w:r>
    </w:p>
    <w:p w14:paraId="73C07E39" w14:textId="77777777" w:rsidR="00DC66AC" w:rsidRDefault="0079282B">
      <w:pPr>
        <w:spacing w:before="240" w:after="240"/>
        <w:rPr>
          <w:color w:val="1155CC"/>
          <w:u w:val="single"/>
        </w:rPr>
      </w:pPr>
      <w:r>
        <w:t xml:space="preserve">Hati, S.R.H., Balqiah, T.E., Hananto, A. and Yuliati, E., 2021. A decade of systematic literature review on Airbnb: the sharing economy from a multiple stakeholder perspective. </w:t>
      </w:r>
      <w:r>
        <w:rPr>
          <w:i/>
          <w:iCs/>
        </w:rPr>
        <w:t>Heliyon</w:t>
      </w:r>
      <w:r>
        <w:t xml:space="preserve">, </w:t>
      </w:r>
      <w:r>
        <w:rPr>
          <w:i/>
          <w:iCs/>
        </w:rPr>
        <w:t>7</w:t>
      </w:r>
      <w:r>
        <w:t>(10). DOI:</w:t>
      </w:r>
      <w:hyperlink r:id="rId23">
        <w:r w:rsidR="00DC66AC">
          <w:t xml:space="preserve"> </w:t>
        </w:r>
      </w:hyperlink>
      <w:hyperlink r:id="rId24">
        <w:r w:rsidR="00DC66AC">
          <w:rPr>
            <w:color w:val="1155CC"/>
            <w:u w:val="single"/>
          </w:rPr>
          <w:t>https://doi.org/10.1016/j.heliyon.2021.e08222</w:t>
        </w:r>
      </w:hyperlink>
    </w:p>
    <w:p w14:paraId="3AB74FDC" w14:textId="77777777" w:rsidR="00DC66AC" w:rsidRDefault="0079282B">
      <w:pPr>
        <w:spacing w:before="240" w:after="240"/>
        <w:rPr>
          <w:color w:val="1155CC"/>
          <w:u w:val="single"/>
        </w:rPr>
      </w:pPr>
      <w:r>
        <w:t xml:space="preserve">Hillebrand, B., 2022. An ecosystem perspective on tourism: The implications for tourism organisations. </w:t>
      </w:r>
      <w:r>
        <w:rPr>
          <w:i/>
          <w:iCs/>
        </w:rPr>
        <w:t>International Journal of Tourism Research</w:t>
      </w:r>
      <w:r>
        <w:t xml:space="preserve">, </w:t>
      </w:r>
      <w:r>
        <w:rPr>
          <w:i/>
          <w:iCs/>
        </w:rPr>
        <w:t>24</w:t>
      </w:r>
      <w:r>
        <w:t>(4), pp.517-524.</w:t>
      </w:r>
      <w:hyperlink r:id="rId25">
        <w:r w:rsidR="00DC66AC">
          <w:t xml:space="preserve"> </w:t>
        </w:r>
      </w:hyperlink>
      <w:hyperlink r:id="rId26">
        <w:r w:rsidR="00DC66AC">
          <w:rPr>
            <w:color w:val="1155CC"/>
            <w:u w:val="single"/>
          </w:rPr>
          <w:t>https://onlinelibrary.wiley.com/doi/pdfdirect/10.1002/jtr.2518</w:t>
        </w:r>
      </w:hyperlink>
    </w:p>
    <w:p w14:paraId="257F8E34" w14:textId="77777777" w:rsidR="00DC66AC" w:rsidRDefault="0079282B">
      <w:pPr>
        <w:spacing w:before="240" w:after="240"/>
        <w:rPr>
          <w:color w:val="1155CC"/>
          <w:u w:val="single"/>
        </w:rPr>
      </w:pPr>
      <w:r>
        <w:t xml:space="preserve">Hortega, A., Menezes, D., Serra, F.A.R., Ebrahimpour, M. and Kramer, B., 2025. Revisiting the Intellectual Legacy of H. Igor Ansoff: A Critical Analysis of His Contributions and Their Impact on the Evolution of Strategic Management. </w:t>
      </w:r>
      <w:r>
        <w:rPr>
          <w:i/>
          <w:iCs/>
        </w:rPr>
        <w:t>Strategic Change</w:t>
      </w:r>
      <w:r>
        <w:t>.</w:t>
      </w:r>
      <w:hyperlink r:id="rId27">
        <w:r w:rsidR="00DC66AC">
          <w:t xml:space="preserve"> </w:t>
        </w:r>
      </w:hyperlink>
      <w:hyperlink r:id="rId28">
        <w:r w:rsidR="00DC66AC">
          <w:rPr>
            <w:color w:val="1155CC"/>
            <w:u w:val="single"/>
          </w:rPr>
          <w:t>https://onlinelibrary.wiley.com/doi/pdf/10.1002/jsc.70027</w:t>
        </w:r>
      </w:hyperlink>
    </w:p>
    <w:p w14:paraId="297F2E38" w14:textId="77777777" w:rsidR="00DC66AC" w:rsidRDefault="0079282B">
      <w:pPr>
        <w:spacing w:before="240" w:after="240"/>
      </w:pPr>
      <w:r>
        <w:t>Infosys BPM, 2025. Understanding dynamic pricing strategies in the hospitality industry. Available at:</w:t>
      </w:r>
      <w:r>
        <w:rPr>
          <w:color w:val="1155CC"/>
          <w:u w:val="single"/>
        </w:rPr>
        <w:t xml:space="preserve"> </w:t>
      </w:r>
      <w:hyperlink r:id="rId29">
        <w:r w:rsidR="00DC66AC">
          <w:rPr>
            <w:color w:val="1155CC"/>
            <w:u w:val="single"/>
          </w:rPr>
          <w:t>https://www.infosysbpm.com/blogs/travel-hospitality/dynamic-pricing-in-hospitality-industry.html</w:t>
        </w:r>
      </w:hyperlink>
      <w:r>
        <w:rPr>
          <w:color w:val="1155CC"/>
          <w:u w:val="single"/>
        </w:rPr>
        <w:t xml:space="preserve"> </w:t>
      </w:r>
      <w:r>
        <w:t>[Accessed 08 December 2025]</w:t>
      </w:r>
    </w:p>
    <w:p w14:paraId="0F1CDF35" w14:textId="77777777" w:rsidR="00DC66AC" w:rsidRDefault="0079282B">
      <w:r>
        <w:t xml:space="preserve">KSA Moments, 2025. Saudi Arabia Leads Global Tourism Revenue Growth in 2025. Available at: </w:t>
      </w:r>
      <w:hyperlink r:id="rId30">
        <w:r w:rsidR="00DC66AC">
          <w:rPr>
            <w:color w:val="1155CC"/>
            <w:u w:val="single"/>
          </w:rPr>
          <w:t>https://www.saudimoments.com/saudi-arabia-leads-global-tourism-revenue-growth-in-2025-759035.html</w:t>
        </w:r>
      </w:hyperlink>
      <w:r>
        <w:t xml:space="preserve"> [Accessed 13 November 2025]</w:t>
      </w:r>
    </w:p>
    <w:p w14:paraId="61ABA4F5" w14:textId="77777777" w:rsidR="00DC66AC" w:rsidRDefault="0079282B">
      <w:pPr>
        <w:spacing w:before="240" w:after="240"/>
        <w:rPr>
          <w:color w:val="1155CC"/>
          <w:u w:val="single"/>
        </w:rPr>
      </w:pPr>
      <w:r>
        <w:lastRenderedPageBreak/>
        <w:t xml:space="preserve">Lee, S., Kim, M.J. and Kim, D.Y., 2022. The effect of Airbnb users’ regret on dissatisfaction and negative behavioural intention. </w:t>
      </w:r>
      <w:r>
        <w:rPr>
          <w:i/>
          <w:iCs/>
        </w:rPr>
        <w:t>International Journal of Environmental Research and Public Health</w:t>
      </w:r>
      <w:r>
        <w:t xml:space="preserve">, </w:t>
      </w:r>
      <w:r>
        <w:rPr>
          <w:i/>
          <w:iCs/>
        </w:rPr>
        <w:t>20</w:t>
      </w:r>
      <w:r>
        <w:t>(1), p.2.</w:t>
      </w:r>
      <w:hyperlink r:id="rId31">
        <w:r w:rsidR="00DC66AC">
          <w:t xml:space="preserve"> </w:t>
        </w:r>
      </w:hyperlink>
      <w:hyperlink r:id="rId32">
        <w:r w:rsidR="00DC66AC">
          <w:rPr>
            <w:color w:val="1155CC"/>
            <w:u w:val="single"/>
          </w:rPr>
          <w:t>https://www.mdpi.com/1660-4601/20/1/2</w:t>
        </w:r>
      </w:hyperlink>
    </w:p>
    <w:p w14:paraId="10E42765" w14:textId="77777777" w:rsidR="00DC66AC" w:rsidRDefault="0079282B">
      <w:r>
        <w:t>Martini, E.P., 2024. Saudi Arabia's expanding role in advanced technologies. Available at:</w:t>
      </w:r>
      <w:hyperlink r:id="rId33">
        <w:r w:rsidR="00DC66AC">
          <w:rPr>
            <w:color w:val="1155CC"/>
            <w:u w:val="single"/>
          </w:rPr>
          <w:t>https://www.diplomaticourier.com/posts/saudi-arabias-expanding-role-in-advanced-technologies</w:t>
        </w:r>
      </w:hyperlink>
      <w:r>
        <w:t xml:space="preserve"> [Accessed 13 November 2025]</w:t>
      </w:r>
    </w:p>
    <w:p w14:paraId="1BC7FFBF" w14:textId="77777777" w:rsidR="00DC66AC" w:rsidRDefault="0079282B">
      <w:r>
        <w:t>Pangarkar, N. and Prabhudesai, R., 2024. Using Porter's Five Forces analysis to drive strategy. Global Business and Organisational Excellence, 43(5), pp.24-34.</w:t>
      </w:r>
      <w:hyperlink r:id="rId34">
        <w:r w:rsidR="00DC66AC">
          <w:rPr>
            <w:color w:val="1155CC"/>
            <w:u w:val="single"/>
          </w:rPr>
          <w:t>https://onlinelibrary.wiley.com/doi/pdf/10.1002/joe.22250</w:t>
        </w:r>
      </w:hyperlink>
      <w:r>
        <w:t xml:space="preserve"> </w:t>
      </w:r>
    </w:p>
    <w:p w14:paraId="62AB02C0" w14:textId="77777777" w:rsidR="00DC66AC" w:rsidRDefault="0079282B">
      <w:r>
        <w:t xml:space="preserve">PIF, 2025. Success Stories. Available at: </w:t>
      </w:r>
      <w:hyperlink r:id="rId35">
        <w:r w:rsidR="00DC66AC">
          <w:rPr>
            <w:color w:val="1155CC"/>
            <w:u w:val="single"/>
          </w:rPr>
          <w:t>https://www.pif.gov.sa/en/private-sector-hub/success-stories/</w:t>
        </w:r>
      </w:hyperlink>
      <w:r>
        <w:t xml:space="preserve"> [Accessed 08 December 2025]</w:t>
      </w:r>
    </w:p>
    <w:p w14:paraId="55955AB6" w14:textId="77777777" w:rsidR="00DC66AC" w:rsidRDefault="0079282B">
      <w:pPr>
        <w:spacing w:before="240" w:after="240"/>
        <w:rPr>
          <w:color w:val="1155CC"/>
          <w:u w:val="single"/>
        </w:rPr>
      </w:pPr>
      <w:r>
        <w:t xml:space="preserve">Praise, H.A., Rompis, A.E. and Nurzaman, R.A., 2022. Risk-based licensing as licensing reform in indonesia based on government regulation number 5 the year 2021. </w:t>
      </w:r>
      <w:r>
        <w:rPr>
          <w:i/>
          <w:iCs/>
        </w:rPr>
        <w:t>Jurnal Poros Hukum Padjadjaran</w:t>
      </w:r>
      <w:r>
        <w:t xml:space="preserve">, </w:t>
      </w:r>
      <w:r>
        <w:rPr>
          <w:i/>
          <w:iCs/>
        </w:rPr>
        <w:t>3</w:t>
      </w:r>
      <w:r>
        <w:t>(2), pp.209-227.</w:t>
      </w:r>
      <w:hyperlink r:id="rId36">
        <w:r w:rsidR="00DC66AC">
          <w:t xml:space="preserve"> </w:t>
        </w:r>
      </w:hyperlink>
      <w:hyperlink r:id="rId37">
        <w:r w:rsidR="00DC66AC">
          <w:rPr>
            <w:color w:val="1155CC"/>
            <w:u w:val="single"/>
          </w:rPr>
          <w:t>https://jurnal.fh.unpad.ac.id/index.php/jphp/article/download/807/459</w:t>
        </w:r>
      </w:hyperlink>
    </w:p>
    <w:p w14:paraId="5DC5E596" w14:textId="77777777" w:rsidR="00DC66AC" w:rsidRDefault="0079282B">
      <w:r>
        <w:t>Prihatmoko, C., Kusbaryanto, K. and Hidayah, N., 2022. Strategic plan analysis using the Balanced Scorecard framework at Yogyakarta Islamic Hospital PDHI. Interdisciplinary Social Studies, 2(1), pp.1581-1592.</w:t>
      </w:r>
      <w:hyperlink r:id="rId38">
        <w:r w:rsidR="00DC66AC">
          <w:rPr>
            <w:color w:val="1155CC"/>
            <w:u w:val="single"/>
          </w:rPr>
          <w:t>https://iss.internationaljournallabs.com/index.php/iss/article/download/312/316</w:t>
        </w:r>
      </w:hyperlink>
      <w:r>
        <w:t xml:space="preserve"> </w:t>
      </w:r>
    </w:p>
    <w:p w14:paraId="0C0593CC" w14:textId="77777777" w:rsidR="00DC66AC" w:rsidRDefault="0079282B">
      <w:pPr>
        <w:spacing w:before="240" w:after="240"/>
        <w:rPr>
          <w:color w:val="1155CC"/>
          <w:u w:val="single"/>
        </w:rPr>
      </w:pPr>
      <w:r>
        <w:t xml:space="preserve">Qu, M., McCormick, A.D. and Funck, C., 2022. Community resourcefulness and partnerships in rural tourism. </w:t>
      </w:r>
      <w:r>
        <w:rPr>
          <w:i/>
          <w:iCs/>
        </w:rPr>
        <w:t>Journal of Sustainable Tourism</w:t>
      </w:r>
      <w:r>
        <w:t xml:space="preserve">, </w:t>
      </w:r>
      <w:r>
        <w:rPr>
          <w:i/>
          <w:iCs/>
        </w:rPr>
        <w:t>30</w:t>
      </w:r>
      <w:r>
        <w:t>(10), pp.2371-2390.</w:t>
      </w:r>
      <w:hyperlink r:id="rId39">
        <w:r w:rsidR="00DC66AC">
          <w:t xml:space="preserve"> </w:t>
        </w:r>
      </w:hyperlink>
      <w:hyperlink r:id="rId40">
        <w:r w:rsidR="00DC66AC">
          <w:rPr>
            <w:color w:val="1155CC"/>
            <w:u w:val="single"/>
          </w:rPr>
          <w:t>https://www.academia.edu/download/94580129/2022_JoST_Community_resourcefulness_and_partnerships_in_rural_tourism.pdf</w:t>
        </w:r>
      </w:hyperlink>
    </w:p>
    <w:p w14:paraId="4D03A697" w14:textId="77777777" w:rsidR="00DC66AC" w:rsidRDefault="0079282B">
      <w:r>
        <w:t>Rastogi, N. and Trivedi, M.K., 2016. PESTLE technique–a tool to identify external risks in construction projects. International Research Journal of Engineering and Technology (IRJET), 3(1), pp.384-388.</w:t>
      </w:r>
      <w:hyperlink r:id="rId41">
        <w:r w:rsidR="00DC66AC">
          <w:rPr>
            <w:color w:val="1155CC"/>
            <w:u w:val="single"/>
          </w:rPr>
          <w:t>https://www.researchgate.net/profile/Manoj-Trivedi-2/publication/363640549_PESTLE_TECHNIQUE_-</w:t>
        </w:r>
        <w:r w:rsidR="00DC66AC">
          <w:rPr>
            <w:color w:val="1155CC"/>
            <w:u w:val="single"/>
          </w:rPr>
          <w:lastRenderedPageBreak/>
          <w:t>A_TOOL_TO_IDENTIFY_EXTERNAL_RISKS_IN_CONSTRUCTION_PROJECTS/links/6326de560a70852150026dfc/PESTLE-TECHNIQUE-A-TOOL-TO-IDENTIFY-EXTERNAL-RISKS-IN-CONSTRUCTION-PROJECTS.pdf</w:t>
        </w:r>
      </w:hyperlink>
      <w:r>
        <w:t xml:space="preserve"> </w:t>
      </w:r>
    </w:p>
    <w:p w14:paraId="201AD283" w14:textId="77777777" w:rsidR="00DC66AC" w:rsidRDefault="0079282B">
      <w:r>
        <w:t>SA Government, 2025. Tourism Laws and Regulations. Available at:</w:t>
      </w:r>
      <w:hyperlink r:id="rId42">
        <w:r w:rsidR="00DC66AC">
          <w:rPr>
            <w:color w:val="1155CC"/>
            <w:u w:val="single"/>
          </w:rPr>
          <w:t>https://mt.gov.sa/policies-regulations/regulations</w:t>
        </w:r>
      </w:hyperlink>
      <w:r>
        <w:t xml:space="preserve"> [Accessed 13 November 2025]</w:t>
      </w:r>
    </w:p>
    <w:p w14:paraId="400AB565" w14:textId="77777777" w:rsidR="00DC66AC" w:rsidRDefault="0079282B">
      <w:pPr>
        <w:spacing w:before="240" w:after="240"/>
      </w:pPr>
      <w:r>
        <w:t xml:space="preserve">Sama.gov.sa. 2021. </w:t>
      </w:r>
      <w:r>
        <w:rPr>
          <w:i/>
          <w:iCs/>
        </w:rPr>
        <w:t>300.1.4.1 Joint-Venture Entities Owned by a Saudi Investor and a Foreign Investor | SAMA Rulebook</w:t>
      </w:r>
      <w:r>
        <w:t xml:space="preserve">. [online] Available at: </w:t>
      </w:r>
      <w:hyperlink r:id="rId43">
        <w:r w:rsidR="00DC66AC">
          <w:rPr>
            <w:color w:val="1155CC"/>
            <w:u w:val="single"/>
          </w:rPr>
          <w:t>https://rulebook.sama.gov.sa/en/300141-joint-venture-entities-owned-saudi-investor-and-foreign-investor</w:t>
        </w:r>
      </w:hyperlink>
      <w:r>
        <w:t xml:space="preserve">  [Accessed 13 Nov. 2025].</w:t>
      </w:r>
    </w:p>
    <w:p w14:paraId="75DDBA4E" w14:textId="77777777" w:rsidR="00DC66AC" w:rsidRDefault="0079282B">
      <w:pPr>
        <w:spacing w:before="240" w:after="240"/>
      </w:pPr>
      <w:r>
        <w:t xml:space="preserve">Sands Of Wealth (2025). </w:t>
      </w:r>
      <w:r>
        <w:rPr>
          <w:i/>
          <w:iCs/>
        </w:rPr>
        <w:t>Is Airbnb hosting legal in Saudi Arabia for expats?</w:t>
      </w:r>
      <w:r>
        <w:t xml:space="preserve"> [online] Sands Of Wealth. Available at: </w:t>
      </w:r>
      <w:hyperlink r:id="rId44">
        <w:r w:rsidR="00DC66AC">
          <w:rPr>
            <w:color w:val="1155CC"/>
            <w:u w:val="single"/>
          </w:rPr>
          <w:t>https://sandsofwealth.com/blogs/news/saudi-arabia-airbnb-hosting-legal-expats</w:t>
        </w:r>
      </w:hyperlink>
      <w:r>
        <w:t xml:space="preserve">  [Accessed 13 Nov. 2025].</w:t>
      </w:r>
    </w:p>
    <w:p w14:paraId="564141A3" w14:textId="77777777" w:rsidR="00DC66AC" w:rsidRDefault="0079282B">
      <w:pPr>
        <w:spacing w:before="240" w:after="240"/>
      </w:pPr>
      <w:r>
        <w:t xml:space="preserve">Saudi Vision 2030 (2024). </w:t>
      </w:r>
      <w:r>
        <w:rPr>
          <w:i/>
          <w:iCs/>
        </w:rPr>
        <w:t>Saudi Vision 2030</w:t>
      </w:r>
      <w:r>
        <w:t>. [online] Vision2030.gov.sa. Available at:</w:t>
      </w:r>
      <w:hyperlink r:id="rId45">
        <w:r w:rsidR="00DC66AC">
          <w:t xml:space="preserve"> </w:t>
        </w:r>
      </w:hyperlink>
      <w:hyperlink r:id="rId46">
        <w:r w:rsidR="00DC66AC">
          <w:rPr>
            <w:color w:val="1155CC"/>
            <w:u w:val="single"/>
          </w:rPr>
          <w:t>https://www.vision2030.gov.sa/en</w:t>
        </w:r>
      </w:hyperlink>
      <w:r>
        <w:t>.</w:t>
      </w:r>
    </w:p>
    <w:p w14:paraId="207FFB6F" w14:textId="77777777" w:rsidR="00DC66AC" w:rsidRDefault="0079282B">
      <w:r>
        <w:t xml:space="preserve">The Global Economy, 2023. Saudi Arabia: Political stability. Available at: </w:t>
      </w:r>
      <w:hyperlink r:id="rId47">
        <w:r w:rsidR="00DC66AC">
          <w:rPr>
            <w:color w:val="1155CC"/>
            <w:u w:val="single"/>
          </w:rPr>
          <w:t>https://www.theglobaleconomy.com/Saudi-Arabia/wb_political_stability/</w:t>
        </w:r>
      </w:hyperlink>
      <w:r>
        <w:t xml:space="preserve"> [Accessed 13 November 2025]</w:t>
      </w:r>
    </w:p>
    <w:p w14:paraId="68DD9668" w14:textId="77777777" w:rsidR="00DC66AC" w:rsidRDefault="0079282B">
      <w:r>
        <w:t xml:space="preserve">The Global Economy, 2024. Saudi Arabia: Economic Growth. Available at: </w:t>
      </w:r>
      <w:hyperlink r:id="rId48">
        <w:r w:rsidR="00DC66AC">
          <w:rPr>
            <w:color w:val="1155CC"/>
            <w:u w:val="single"/>
          </w:rPr>
          <w:t>https://www.theglobaleconomy.com/Saudi-Arabia/Economic_growth/</w:t>
        </w:r>
      </w:hyperlink>
      <w:r>
        <w:t xml:space="preserve"> [Accessed 13 November 2025]</w:t>
      </w:r>
    </w:p>
    <w:p w14:paraId="17DFFFC1" w14:textId="77777777" w:rsidR="00DC66AC" w:rsidRDefault="0079282B">
      <w:r>
        <w:t xml:space="preserve">The Global Economy, 2025. Saudi Arabia: Economic Growth Forecast. Available at: </w:t>
      </w:r>
      <w:hyperlink r:id="rId49">
        <w:r w:rsidR="00DC66AC">
          <w:rPr>
            <w:color w:val="1155CC"/>
            <w:u w:val="single"/>
          </w:rPr>
          <w:t>https://www.theglobaleconomy.com/Saudi-Arabia/gdp_growth_outlook_imf/</w:t>
        </w:r>
      </w:hyperlink>
      <w:r>
        <w:t xml:space="preserve"> [Accessed 13 November 2025]</w:t>
      </w:r>
    </w:p>
    <w:p w14:paraId="07635F24" w14:textId="77777777" w:rsidR="00DC66AC" w:rsidRDefault="0079282B">
      <w:r>
        <w:t>TOI, 2025. Saudization explained: What it means for jobs, expats, and employers in Saudi Arabia. Available at:</w:t>
      </w:r>
      <w:hyperlink r:id="rId50">
        <w:r w:rsidR="00DC66AC">
          <w:rPr>
            <w:color w:val="1155CC"/>
            <w:u w:val="single"/>
          </w:rPr>
          <w:t>https://timesofindia.indiatimes.com/world/middle-east/saudization-explained-what-it-means-for-jobs-expats-and-employers-in-saudi-arabia/articleshow/122572785.cms</w:t>
        </w:r>
      </w:hyperlink>
      <w:r>
        <w:t xml:space="preserve"> [Accessed 13 November 2025]</w:t>
      </w:r>
    </w:p>
    <w:p w14:paraId="0A459B42" w14:textId="77777777" w:rsidR="00DC66AC" w:rsidRDefault="0079282B">
      <w:pPr>
        <w:spacing w:before="240" w:after="240"/>
      </w:pPr>
      <w:r>
        <w:lastRenderedPageBreak/>
        <w:t>trade.gov, 2022.</w:t>
      </w:r>
      <w:r>
        <w:rPr>
          <w:i/>
          <w:iCs/>
        </w:rPr>
        <w:t>Saudi Arabia - Licensing Requirements for Professional Services</w:t>
      </w:r>
      <w:r>
        <w:t>. [online] www.trade.gov. Available at:</w:t>
      </w:r>
      <w:hyperlink r:id="rId51">
        <w:r w:rsidR="00DC66AC">
          <w:t xml:space="preserve"> </w:t>
        </w:r>
      </w:hyperlink>
      <w:hyperlink r:id="rId52">
        <w:r w:rsidR="00DC66AC">
          <w:rPr>
            <w:color w:val="1155CC"/>
            <w:u w:val="single"/>
          </w:rPr>
          <w:t>https://www.trade.gov/country-commercial-guides/saudi-arabia-licensing-requirements-professional-services</w:t>
        </w:r>
      </w:hyperlink>
      <w:r>
        <w:t xml:space="preserve">. </w:t>
      </w:r>
    </w:p>
    <w:sectPr w:rsidR="00DC66AC">
      <w:footerReference w:type="default" r:id="rId53"/>
      <w:footerReference w:type="first" r:id="rId5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E45531" w14:textId="77777777" w:rsidR="00F22363" w:rsidRDefault="00F22363">
      <w:pPr>
        <w:spacing w:before="0" w:after="0" w:line="240" w:lineRule="auto"/>
      </w:pPr>
      <w:r>
        <w:separator/>
      </w:r>
    </w:p>
  </w:endnote>
  <w:endnote w:type="continuationSeparator" w:id="0">
    <w:p w14:paraId="731F2B5E" w14:textId="77777777" w:rsidR="00F22363" w:rsidRDefault="00F2236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33A8CC74-9783-4EA0-B706-63D3541137E8}"/>
  </w:font>
  <w:font w:name="Cambria">
    <w:panose1 w:val="02040503050406030204"/>
    <w:charset w:val="00"/>
    <w:family w:val="roman"/>
    <w:pitch w:val="variable"/>
    <w:sig w:usb0="E00006FF" w:usb1="420024FF" w:usb2="02000000" w:usb3="00000000" w:csb0="0000019F" w:csb1="00000000"/>
    <w:embedRegular r:id="rId2" w:fontKey="{11497DD2-9E97-4B70-8764-443630ED8BDC}"/>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EEE8F7" w14:textId="5409F7DC" w:rsidR="00DC66AC" w:rsidRDefault="0079282B">
    <w:pPr>
      <w:jc w:val="right"/>
    </w:pPr>
    <w:r>
      <w:fldChar w:fldCharType="begin"/>
    </w:r>
    <w:r>
      <w:instrText>PAGE</w:instrText>
    </w:r>
    <w:r w:rsidR="006E5500">
      <w:fldChar w:fldCharType="separate"/>
    </w:r>
    <w:r w:rsidR="006E5500">
      <w:rPr>
        <w:noProof/>
      </w:rPr>
      <w:t>25</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03AB87" w14:textId="77777777" w:rsidR="00DC66AC" w:rsidRDefault="00DC66AC"/>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0600B6" w14:textId="77777777" w:rsidR="00F22363" w:rsidRDefault="00F22363">
      <w:pPr>
        <w:spacing w:before="0" w:after="0" w:line="240" w:lineRule="auto"/>
      </w:pPr>
      <w:r>
        <w:separator/>
      </w:r>
    </w:p>
  </w:footnote>
  <w:footnote w:type="continuationSeparator" w:id="0">
    <w:p w14:paraId="574B94BA" w14:textId="77777777" w:rsidR="00F22363" w:rsidRDefault="00F2236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5F29D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3353F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00695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D41485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66AC"/>
    <w:rsid w:val="00330CAF"/>
    <w:rsid w:val="003A0BED"/>
    <w:rsid w:val="00674BAF"/>
    <w:rsid w:val="006E5500"/>
    <w:rsid w:val="0079282B"/>
    <w:rsid w:val="00B74B55"/>
    <w:rsid w:val="00CF23B4"/>
    <w:rsid w:val="00DC66AC"/>
    <w:rsid w:val="00F22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0D4AC"/>
  <w15:docId w15:val="{A29A0220-C3DE-B842-9A4E-937356DB2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 w:eastAsia="en-GB" w:bidi="ar-SA"/>
      </w:rPr>
    </w:rPrDefault>
    <w:pPrDefault>
      <w:pPr>
        <w:spacing w:before="200"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paragraph" w:styleId="ListParagraph">
    <w:name w:val="List Paragraph"/>
    <w:basedOn w:val="Normal"/>
    <w:uiPriority w:val="34"/>
    <w:qFormat/>
    <w:rsid w:val="00FD0F82"/>
    <w:pPr>
      <w:ind w:left="720"/>
      <w:contextualSpacing/>
    </w:p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hyperlink" Target="https://s26.q4cdn.com/656283129/files/doc_financials/2025/q3/v2/Airbnb_Q3-2025-Shareholder-Letter.pdf" TargetMode="External"/><Relationship Id="rId18" Type="http://schemas.openxmlformats.org/officeDocument/2006/relationships/hyperlink" Target="https://www.academia.edu/download/67574092/g28.pdf" TargetMode="External"/><Relationship Id="rId26" Type="http://schemas.openxmlformats.org/officeDocument/2006/relationships/hyperlink" Target="https://onlinelibrary.wiley.com/doi/pdfdirect/10.1002/jtr.2518" TargetMode="External"/><Relationship Id="rId39" Type="http://schemas.openxmlformats.org/officeDocument/2006/relationships/hyperlink" Target="https://www.academia.edu/download/94580129/2022_JoST_Community_resourcefulness_and_partnerships_in_rural_tourism.pdf" TargetMode="External"/><Relationship Id="rId21"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34" Type="http://schemas.openxmlformats.org/officeDocument/2006/relationships/hyperlink" Target="https://onlinelibrary.wiley.com/doi/pdf/10.1002/joe.22250" TargetMode="External"/><Relationship Id="rId42" Type="http://schemas.openxmlformats.org/officeDocument/2006/relationships/hyperlink" Target="https://mt.gov.sa/policies-regulations/regulations" TargetMode="External"/><Relationship Id="rId47" Type="http://schemas.openxmlformats.org/officeDocument/2006/relationships/hyperlink" Target="https://www.theglobaleconomy.com/Saudi-Arabia/wb_political_stability/" TargetMode="External"/><Relationship Id="rId50" Type="http://schemas.openxmlformats.org/officeDocument/2006/relationships/hyperlink" Target="https://timesofindia.indiatimes.com/world/middle-east/saudization-explained-what-it-means-for-jobs-expats-and-employers-in-saudi-arabia/articleshow/122572785.cms"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news.airbnb.com/about-us/" TargetMode="External"/><Relationship Id="rId17" Type="http://schemas.openxmlformats.org/officeDocument/2006/relationships/hyperlink" Target="https://irep.ntu.ac.uk/id/eprint/46404/1/Khalid%20Aljahdali%202022.pdf" TargetMode="External"/><Relationship Id="rId25" Type="http://schemas.openxmlformats.org/officeDocument/2006/relationships/hyperlink" Target="https://onlinelibrary.wiley.com/doi/pdfdirect/10.1002/jtr.2518" TargetMode="External"/><Relationship Id="rId33" Type="http://schemas.openxmlformats.org/officeDocument/2006/relationships/hyperlink" Target="https://www.diplomaticourier.com/posts/saudi-arabias-expanding-role-in-advanced-technologies" TargetMode="External"/><Relationship Id="rId38" Type="http://schemas.openxmlformats.org/officeDocument/2006/relationships/hyperlink" Target="https://iss.internationaljournallabs.com/index.php/iss/article/download/312/316" TargetMode="External"/><Relationship Id="rId46" Type="http://schemas.openxmlformats.org/officeDocument/2006/relationships/hyperlink" Target="https://www.vision2030.gov.sa/en" TargetMode="External"/><Relationship Id="rId2" Type="http://schemas.openxmlformats.org/officeDocument/2006/relationships/numbering" Target="numbering.xml"/><Relationship Id="rId16" Type="http://schemas.openxmlformats.org/officeDocument/2006/relationships/hyperlink" Target="https://irep.ntu.ac.uk/id/eprint/46404/1/Khalid%20Aljahdali%202022.pdf" TargetMode="External"/><Relationship Id="rId20" Type="http://schemas.openxmlformats.org/officeDocument/2006/relationships/hyperlink" Target="https://www.lexology.com/library/detail.aspx?g=0f62730f-bbc4-41e2-bf45-e25e25a306de" TargetMode="External"/><Relationship Id="rId29" Type="http://schemas.openxmlformats.org/officeDocument/2006/relationships/hyperlink" Target="https://www.infosysbpm.com/blogs/travel-hospitality/dynamic-pricing-in-hospitality-industry.html" TargetMode="External"/><Relationship Id="rId41" Type="http://schemas.openxmlformats.org/officeDocument/2006/relationships/hyperlink" Target="https://www.researchgate.net/profile/Manoj-Trivedi-2/publication/363640549_PESTLE_TECHNIQUE_-A_TOOL_TO_IDENTIFY_EXTERNAL_RISKS_IN_CONSTRUCTION_PROJECTS/links/6326de560a70852150026dfc/PESTLE-TECHNIQUE-A-TOOL-TO-IDENTIFY-EXTERNAL-RISKS-IN-CONSTRUCTION-PROJECTS.pdf"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uhammad-Zaurez-Afshar/publication/388876005_Performance_Evaluation_Using_Balanced_Scorecard_Framework-_Insights_From_A_Public_Sector_Case_Study/links/67ab51ba96e7fb48b9bf01be/Performance-Evaluation-Using-Balanced-Scorecard-Framework-Insights-From-A-Public-Sector-Case-Study.pdf" TargetMode="External"/><Relationship Id="rId24" Type="http://schemas.openxmlformats.org/officeDocument/2006/relationships/hyperlink" Target="https://doi.org/10.1016/j.heliyon.2021.e08222" TargetMode="External"/><Relationship Id="rId32" Type="http://schemas.openxmlformats.org/officeDocument/2006/relationships/hyperlink" Target="https://www.mdpi.com/1660-4601/20/1/2" TargetMode="External"/><Relationship Id="rId37" Type="http://schemas.openxmlformats.org/officeDocument/2006/relationships/hyperlink" Target="https://jurnal.fh.unpad.ac.id/index.php/jphp/article/download/807/459" TargetMode="External"/><Relationship Id="rId40" Type="http://schemas.openxmlformats.org/officeDocument/2006/relationships/hyperlink" Target="https://www.academia.edu/download/94580129/2022_JoST_Community_resourcefulness_and_partnerships_in_rural_tourism.pdf" TargetMode="External"/><Relationship Id="rId45" Type="http://schemas.openxmlformats.org/officeDocument/2006/relationships/hyperlink" Target="https://www.vision2030.gov.sa/en" TargetMode="External"/><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irroi.com/report/world/saudi-arabia/makkah-region/jeddah" TargetMode="External"/><Relationship Id="rId23" Type="http://schemas.openxmlformats.org/officeDocument/2006/relationships/hyperlink" Target="https://doi.org/10.1016/j.heliyon.2021.e08222" TargetMode="External"/><Relationship Id="rId28" Type="http://schemas.openxmlformats.org/officeDocument/2006/relationships/hyperlink" Target="https://onlinelibrary.wiley.com/doi/pdf/10.1002/jsc.70027" TargetMode="External"/><Relationship Id="rId36" Type="http://schemas.openxmlformats.org/officeDocument/2006/relationships/hyperlink" Target="https://jurnal.fh.unpad.ac.id/index.php/jphp/article/download/807/459" TargetMode="External"/><Relationship Id="rId49" Type="http://schemas.openxmlformats.org/officeDocument/2006/relationships/hyperlink" Target="https://www.theglobaleconomy.com/Saudi-Arabia/gdp_growth_outlook_imf/" TargetMode="External"/><Relationship Id="rId10" Type="http://schemas.openxmlformats.org/officeDocument/2006/relationships/image" Target="media/image3.png"/><Relationship Id="rId19" Type="http://schemas.openxmlformats.org/officeDocument/2006/relationships/hyperlink" Target="https://www.academia.edu/download/67574092/g28.pdf" TargetMode="External"/><Relationship Id="rId31" Type="http://schemas.openxmlformats.org/officeDocument/2006/relationships/hyperlink" Target="https://www.mdpi.com/1660-4601/20/1/2" TargetMode="External"/><Relationship Id="rId44" Type="http://schemas.openxmlformats.org/officeDocument/2006/relationships/hyperlink" Target="https://sandsofwealth.com/blogs/news/saudi-arabia-airbnb-hosting-legal-expats" TargetMode="External"/><Relationship Id="rId52" Type="http://schemas.openxmlformats.org/officeDocument/2006/relationships/hyperlink" Target="https://www.trade.gov/country-commercial-guides/saudi-arabia-licensing-requirements-professional-servi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roi.com/data-portal/markets/riyadh-saudi-arabia" TargetMode="External"/><Relationship Id="rId22" Type="http://schemas.openxmlformats.org/officeDocument/2006/relationships/hyperlink" Target="https://www.grandviewresearch.com/horizon/outlook/vacation-rental-market/saudi-arabia" TargetMode="External"/><Relationship Id="rId27" Type="http://schemas.openxmlformats.org/officeDocument/2006/relationships/hyperlink" Target="https://onlinelibrary.wiley.com/doi/pdf/10.1002/jsc.70027" TargetMode="External"/><Relationship Id="rId30" Type="http://schemas.openxmlformats.org/officeDocument/2006/relationships/hyperlink" Target="https://www.saudimoments.com/saudi-arabia-leads-global-tourism-revenue-growth-in-2025-759035.html" TargetMode="External"/><Relationship Id="rId35" Type="http://schemas.openxmlformats.org/officeDocument/2006/relationships/hyperlink" Target="https://www.pif.gov.sa/en/private-sector-hub/success-stories/" TargetMode="External"/><Relationship Id="rId43" Type="http://schemas.openxmlformats.org/officeDocument/2006/relationships/hyperlink" Target="https://rulebook.sama.gov.sa/en/300141-joint-venture-entities-owned-saudi-investor-and-foreign-investor" TargetMode="External"/><Relationship Id="rId48" Type="http://schemas.openxmlformats.org/officeDocument/2006/relationships/hyperlink" Target="https://www.theglobaleconomy.com/Saudi-Arabia/Economic_growth/"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rade.gov/country-commercial-guides/saudi-arabia-licensing-requirements-professional-services"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47Acq5FH79CqCfWqSlci6uqSCA==">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7419</Words>
  <Characters>42292</Characters>
  <Application>Microsoft Office Word</Application>
  <DocSecurity>0</DocSecurity>
  <Lines>352</Lines>
  <Paragraphs>99</Paragraphs>
  <ScaleCrop>false</ScaleCrop>
  <Company/>
  <LinksUpToDate>false</LinksUpToDate>
  <CharactersWithSpaces>49612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BIPLOB</cp:lastModifiedBy>
  <cp:revision>3</cp:revision>
  <dcterms:created xsi:type="dcterms:W3CDTF">2025-12-16T19:56:00Z</dcterms:created>
  <dcterms:modified xsi:type="dcterms:W3CDTF">2025-12-16T21:00:00Z</dcterms:modified>
</cp:coreProperties>
</file>