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62483D" w14:textId="4D426E18" w:rsidR="003E4870" w:rsidRPr="00A75D9F" w:rsidRDefault="003E4870" w:rsidP="00A75D9F">
      <w:pPr>
        <w:spacing w:line="360" w:lineRule="auto"/>
        <w:rPr>
          <w:rFonts w:ascii="Arial" w:hAnsi="Arial" w:cs="Arial"/>
        </w:rPr>
      </w:pPr>
      <w:r w:rsidRPr="00A75D9F">
        <w:rPr>
          <w:rFonts w:ascii="Arial" w:hAnsi="Arial" w:cs="Arial"/>
        </w:rPr>
        <w:t>Student Name : Liliana-Claudia Costache</w:t>
      </w:r>
    </w:p>
    <w:p w14:paraId="27F2E149" w14:textId="6CC37493" w:rsidR="003E4870" w:rsidRPr="00A75D9F" w:rsidRDefault="003E4870" w:rsidP="00A75D9F">
      <w:pPr>
        <w:spacing w:line="360" w:lineRule="auto"/>
        <w:rPr>
          <w:rFonts w:ascii="Arial" w:hAnsi="Arial" w:cs="Arial"/>
        </w:rPr>
      </w:pPr>
      <w:r w:rsidRPr="00A75D9F">
        <w:rPr>
          <w:rFonts w:ascii="Arial" w:hAnsi="Arial" w:cs="Arial"/>
        </w:rPr>
        <w:t>Student ID : 2111821</w:t>
      </w:r>
    </w:p>
    <w:p w14:paraId="683848AC" w14:textId="05639B29" w:rsidR="003E4870" w:rsidRPr="00A75D9F" w:rsidRDefault="003E4870" w:rsidP="00A75D9F">
      <w:pPr>
        <w:spacing w:line="360" w:lineRule="auto"/>
        <w:rPr>
          <w:rFonts w:ascii="Arial" w:hAnsi="Arial" w:cs="Arial"/>
        </w:rPr>
      </w:pPr>
      <w:r w:rsidRPr="00A75D9F">
        <w:rPr>
          <w:rFonts w:ascii="Arial" w:hAnsi="Arial" w:cs="Arial"/>
        </w:rPr>
        <w:t>Lecturer Name : Akash Puranik</w:t>
      </w:r>
    </w:p>
    <w:p w14:paraId="24E3ED7D" w14:textId="1DF95C05" w:rsidR="003E4870" w:rsidRPr="00A75D9F" w:rsidRDefault="003E4870" w:rsidP="00A75D9F">
      <w:pPr>
        <w:spacing w:line="360" w:lineRule="auto"/>
        <w:rPr>
          <w:rFonts w:ascii="Arial" w:hAnsi="Arial" w:cs="Arial"/>
        </w:rPr>
      </w:pPr>
      <w:r w:rsidRPr="00A75D9F">
        <w:rPr>
          <w:rFonts w:ascii="Arial" w:hAnsi="Arial" w:cs="Arial"/>
        </w:rPr>
        <w:t>Module name : Design Thinking and Innovation</w:t>
      </w:r>
    </w:p>
    <w:p w14:paraId="38317ED6" w14:textId="2B87CCEC" w:rsidR="003E4870" w:rsidRPr="00A75D9F" w:rsidRDefault="003E4870" w:rsidP="00A75D9F">
      <w:pPr>
        <w:spacing w:line="360" w:lineRule="auto"/>
        <w:rPr>
          <w:rFonts w:ascii="Arial" w:hAnsi="Arial" w:cs="Arial"/>
        </w:rPr>
      </w:pPr>
      <w:r w:rsidRPr="00A75D9F">
        <w:rPr>
          <w:rFonts w:ascii="Arial" w:hAnsi="Arial" w:cs="Arial"/>
        </w:rPr>
        <w:t>Module code : LCLM 6002</w:t>
      </w:r>
    </w:p>
    <w:p w14:paraId="43434BA8" w14:textId="77777777" w:rsidR="003E4870" w:rsidRPr="00A75D9F" w:rsidRDefault="003E4870" w:rsidP="00A75D9F">
      <w:pPr>
        <w:spacing w:line="360" w:lineRule="auto"/>
        <w:rPr>
          <w:rFonts w:ascii="Arial" w:hAnsi="Arial" w:cs="Arial"/>
        </w:rPr>
      </w:pPr>
    </w:p>
    <w:p w14:paraId="112E2124" w14:textId="77777777" w:rsidR="003E4870" w:rsidRPr="00A75D9F" w:rsidRDefault="003E4870" w:rsidP="00A75D9F">
      <w:pPr>
        <w:spacing w:line="360" w:lineRule="auto"/>
        <w:rPr>
          <w:rFonts w:ascii="Arial" w:hAnsi="Arial" w:cs="Arial"/>
        </w:rPr>
      </w:pPr>
    </w:p>
    <w:p w14:paraId="4E1E34A0" w14:textId="77777777" w:rsidR="003E4870" w:rsidRPr="00A75D9F" w:rsidRDefault="003E4870" w:rsidP="00A75D9F">
      <w:pPr>
        <w:spacing w:line="360" w:lineRule="auto"/>
        <w:rPr>
          <w:rFonts w:ascii="Arial" w:hAnsi="Arial" w:cs="Arial"/>
        </w:rPr>
      </w:pPr>
    </w:p>
    <w:p w14:paraId="5B6FC261" w14:textId="2E287AD9" w:rsidR="003E4870" w:rsidRPr="00A75D9F" w:rsidRDefault="003E4870" w:rsidP="00A75D9F">
      <w:pPr>
        <w:spacing w:line="360" w:lineRule="auto"/>
        <w:jc w:val="center"/>
        <w:rPr>
          <w:rFonts w:ascii="Arial" w:hAnsi="Arial" w:cs="Arial"/>
        </w:rPr>
      </w:pPr>
      <w:r w:rsidRPr="00A75D9F">
        <w:rPr>
          <w:rFonts w:ascii="Arial" w:hAnsi="Arial" w:cs="Arial"/>
        </w:rPr>
        <w:t>Innovation and customer journey for Proper Snacks UK</w:t>
      </w:r>
    </w:p>
    <w:p w14:paraId="54BD436C" w14:textId="77777777" w:rsidR="003E4870" w:rsidRPr="00A75D9F" w:rsidRDefault="003E4870" w:rsidP="00A75D9F">
      <w:pPr>
        <w:spacing w:line="360" w:lineRule="auto"/>
        <w:rPr>
          <w:rFonts w:ascii="Arial" w:hAnsi="Arial" w:cs="Arial"/>
        </w:rPr>
      </w:pPr>
    </w:p>
    <w:p w14:paraId="049AE3B9" w14:textId="77777777" w:rsidR="003E4870" w:rsidRPr="00A75D9F" w:rsidRDefault="003E4870" w:rsidP="00A75D9F">
      <w:pPr>
        <w:spacing w:line="360" w:lineRule="auto"/>
        <w:rPr>
          <w:rFonts w:ascii="Arial" w:hAnsi="Arial" w:cs="Arial"/>
        </w:rPr>
      </w:pPr>
    </w:p>
    <w:p w14:paraId="4EC66E97" w14:textId="77777777" w:rsidR="003E4870" w:rsidRPr="00A75D9F" w:rsidRDefault="003E4870" w:rsidP="00A75D9F">
      <w:pPr>
        <w:spacing w:line="360" w:lineRule="auto"/>
        <w:rPr>
          <w:rFonts w:ascii="Arial" w:hAnsi="Arial" w:cs="Arial"/>
        </w:rPr>
      </w:pPr>
    </w:p>
    <w:p w14:paraId="243504D7" w14:textId="77777777" w:rsidR="003E4870" w:rsidRPr="00A75D9F" w:rsidRDefault="003E4870" w:rsidP="00A75D9F">
      <w:pPr>
        <w:spacing w:line="360" w:lineRule="auto"/>
        <w:rPr>
          <w:rFonts w:ascii="Arial" w:hAnsi="Arial" w:cs="Arial"/>
        </w:rPr>
      </w:pPr>
    </w:p>
    <w:p w14:paraId="36D2FBCC" w14:textId="77777777" w:rsidR="003E4870" w:rsidRPr="00A75D9F" w:rsidRDefault="003E4870" w:rsidP="00A75D9F">
      <w:pPr>
        <w:spacing w:line="360" w:lineRule="auto"/>
        <w:rPr>
          <w:rFonts w:ascii="Arial" w:hAnsi="Arial" w:cs="Arial"/>
        </w:rPr>
      </w:pPr>
    </w:p>
    <w:p w14:paraId="7D8A8812" w14:textId="77777777" w:rsidR="003E4870" w:rsidRPr="00A75D9F" w:rsidRDefault="003E4870" w:rsidP="00A75D9F">
      <w:pPr>
        <w:spacing w:line="360" w:lineRule="auto"/>
        <w:rPr>
          <w:rFonts w:ascii="Arial" w:hAnsi="Arial" w:cs="Arial"/>
        </w:rPr>
      </w:pPr>
    </w:p>
    <w:p w14:paraId="12A9D177" w14:textId="77777777" w:rsidR="003E4870" w:rsidRPr="00A75D9F" w:rsidRDefault="003E4870" w:rsidP="00A75D9F">
      <w:pPr>
        <w:spacing w:line="360" w:lineRule="auto"/>
        <w:rPr>
          <w:rFonts w:ascii="Arial" w:hAnsi="Arial" w:cs="Arial"/>
        </w:rPr>
      </w:pPr>
    </w:p>
    <w:p w14:paraId="751F7AC2" w14:textId="77777777" w:rsidR="003E4870" w:rsidRPr="00A75D9F" w:rsidRDefault="003E4870" w:rsidP="00A75D9F">
      <w:pPr>
        <w:spacing w:line="360" w:lineRule="auto"/>
        <w:rPr>
          <w:rFonts w:ascii="Arial" w:hAnsi="Arial" w:cs="Arial"/>
        </w:rPr>
      </w:pPr>
    </w:p>
    <w:p w14:paraId="6D0A453D" w14:textId="77777777" w:rsidR="003E4870" w:rsidRPr="00A75D9F" w:rsidRDefault="003E4870" w:rsidP="00A75D9F">
      <w:pPr>
        <w:spacing w:line="360" w:lineRule="auto"/>
        <w:rPr>
          <w:rFonts w:ascii="Arial" w:hAnsi="Arial" w:cs="Arial"/>
        </w:rPr>
      </w:pPr>
    </w:p>
    <w:p w14:paraId="678AAD99" w14:textId="77777777" w:rsidR="003E4870" w:rsidRPr="00A75D9F" w:rsidRDefault="003E4870" w:rsidP="00A75D9F">
      <w:pPr>
        <w:spacing w:line="360" w:lineRule="auto"/>
        <w:rPr>
          <w:rFonts w:ascii="Arial" w:hAnsi="Arial" w:cs="Arial"/>
        </w:rPr>
      </w:pPr>
    </w:p>
    <w:p w14:paraId="0A0720F7" w14:textId="77777777" w:rsidR="003E4870" w:rsidRPr="00A75D9F" w:rsidRDefault="003E4870" w:rsidP="00A75D9F">
      <w:pPr>
        <w:spacing w:line="360" w:lineRule="auto"/>
        <w:rPr>
          <w:rFonts w:ascii="Arial" w:hAnsi="Arial" w:cs="Arial"/>
        </w:rPr>
      </w:pPr>
    </w:p>
    <w:p w14:paraId="62241FCB" w14:textId="77777777" w:rsidR="003E4870" w:rsidRPr="00A75D9F" w:rsidRDefault="003E4870" w:rsidP="00A75D9F">
      <w:pPr>
        <w:spacing w:line="360" w:lineRule="auto"/>
        <w:rPr>
          <w:rFonts w:ascii="Arial" w:hAnsi="Arial" w:cs="Arial"/>
        </w:rPr>
      </w:pPr>
    </w:p>
    <w:p w14:paraId="401C56E1" w14:textId="77777777" w:rsidR="003E4870" w:rsidRPr="00A75D9F" w:rsidRDefault="003E4870" w:rsidP="00A75D9F">
      <w:pPr>
        <w:spacing w:line="360" w:lineRule="auto"/>
        <w:rPr>
          <w:rFonts w:ascii="Arial" w:hAnsi="Arial" w:cs="Arial"/>
        </w:rPr>
      </w:pPr>
    </w:p>
    <w:p w14:paraId="51B88245" w14:textId="77777777" w:rsidR="003E4870" w:rsidRPr="00A75D9F" w:rsidRDefault="003E4870" w:rsidP="00A75D9F">
      <w:pPr>
        <w:spacing w:line="360" w:lineRule="auto"/>
        <w:rPr>
          <w:rFonts w:ascii="Arial" w:hAnsi="Arial" w:cs="Arial"/>
        </w:rPr>
      </w:pPr>
    </w:p>
    <w:p w14:paraId="46CD12D6" w14:textId="77777777" w:rsidR="003E4870" w:rsidRPr="00A75D9F" w:rsidRDefault="003E4870" w:rsidP="00A75D9F">
      <w:pPr>
        <w:spacing w:line="360" w:lineRule="auto"/>
        <w:rPr>
          <w:rFonts w:ascii="Arial" w:hAnsi="Arial" w:cs="Arial"/>
        </w:rPr>
      </w:pPr>
    </w:p>
    <w:p w14:paraId="118C7C54" w14:textId="77777777" w:rsidR="003E4870" w:rsidRPr="00A75D9F" w:rsidRDefault="003E4870" w:rsidP="00A75D9F">
      <w:pPr>
        <w:spacing w:line="360" w:lineRule="auto"/>
        <w:rPr>
          <w:rFonts w:ascii="Arial" w:hAnsi="Arial" w:cs="Arial"/>
        </w:rPr>
      </w:pPr>
    </w:p>
    <w:p w14:paraId="38B84FEF" w14:textId="77777777" w:rsidR="003E4870" w:rsidRPr="00A75D9F" w:rsidRDefault="003E4870" w:rsidP="00A75D9F">
      <w:pPr>
        <w:spacing w:line="360" w:lineRule="auto"/>
        <w:rPr>
          <w:rFonts w:ascii="Arial" w:hAnsi="Arial" w:cs="Arial"/>
        </w:rPr>
      </w:pPr>
    </w:p>
    <w:p w14:paraId="423B675E" w14:textId="77777777" w:rsidR="003E4870" w:rsidRPr="00A75D9F" w:rsidRDefault="003E4870" w:rsidP="00A75D9F">
      <w:pPr>
        <w:spacing w:line="360" w:lineRule="auto"/>
        <w:rPr>
          <w:rFonts w:ascii="Arial" w:hAnsi="Arial" w:cs="Arial"/>
        </w:rPr>
      </w:pPr>
    </w:p>
    <w:p w14:paraId="28F08467" w14:textId="77777777" w:rsidR="003E4870" w:rsidRPr="00A75D9F" w:rsidRDefault="003E4870" w:rsidP="00A75D9F">
      <w:pPr>
        <w:spacing w:line="360" w:lineRule="auto"/>
        <w:rPr>
          <w:rFonts w:ascii="Arial" w:hAnsi="Arial" w:cs="Arial"/>
        </w:rPr>
      </w:pPr>
    </w:p>
    <w:p w14:paraId="55D5C8CF" w14:textId="77777777" w:rsidR="003E4870" w:rsidRPr="00A75D9F" w:rsidRDefault="003E4870" w:rsidP="00A75D9F">
      <w:pPr>
        <w:spacing w:line="360" w:lineRule="auto"/>
        <w:rPr>
          <w:rFonts w:ascii="Arial" w:hAnsi="Arial" w:cs="Arial"/>
        </w:rPr>
      </w:pPr>
    </w:p>
    <w:p w14:paraId="6EA5DBC9" w14:textId="77777777" w:rsidR="003E4870" w:rsidRPr="00A75D9F" w:rsidRDefault="003E4870" w:rsidP="00A75D9F">
      <w:pPr>
        <w:spacing w:line="360" w:lineRule="auto"/>
        <w:rPr>
          <w:rFonts w:ascii="Arial" w:hAnsi="Arial" w:cs="Arial"/>
        </w:rPr>
      </w:pPr>
    </w:p>
    <w:p w14:paraId="15B7EFAF" w14:textId="77777777" w:rsidR="003E4870" w:rsidRPr="00A75D9F" w:rsidRDefault="003E4870" w:rsidP="00A75D9F">
      <w:pPr>
        <w:spacing w:line="360" w:lineRule="auto"/>
        <w:rPr>
          <w:rFonts w:ascii="Arial" w:hAnsi="Arial" w:cs="Arial"/>
        </w:rPr>
      </w:pPr>
    </w:p>
    <w:sdt>
      <w:sdtPr>
        <w:rPr>
          <w:rFonts w:ascii="Arial" w:eastAsiaTheme="minorHAnsi" w:hAnsi="Arial" w:cs="Arial"/>
          <w:color w:val="auto"/>
          <w:kern w:val="2"/>
          <w:sz w:val="22"/>
          <w:szCs w:val="22"/>
          <w:lang w:eastAsia="en-US"/>
          <w14:ligatures w14:val="standardContextual"/>
        </w:rPr>
        <w:id w:val="1646397271"/>
        <w:docPartObj>
          <w:docPartGallery w:val="Table of Contents"/>
          <w:docPartUnique/>
        </w:docPartObj>
      </w:sdtPr>
      <w:sdtEndPr>
        <w:rPr>
          <w:b/>
          <w:bCs/>
        </w:rPr>
      </w:sdtEndPr>
      <w:sdtContent>
        <w:p w14:paraId="4E04D072" w14:textId="5E565540" w:rsidR="003E4870" w:rsidRPr="00A75D9F" w:rsidRDefault="003E4870" w:rsidP="00A75D9F">
          <w:pPr>
            <w:pStyle w:val="TOCHeading"/>
            <w:spacing w:line="360" w:lineRule="auto"/>
            <w:rPr>
              <w:rFonts w:ascii="Arial" w:hAnsi="Arial" w:cs="Arial"/>
              <w:sz w:val="22"/>
              <w:szCs w:val="22"/>
            </w:rPr>
          </w:pPr>
          <w:r w:rsidRPr="00A75D9F">
            <w:rPr>
              <w:rFonts w:ascii="Arial" w:hAnsi="Arial" w:cs="Arial"/>
              <w:sz w:val="22"/>
              <w:szCs w:val="22"/>
            </w:rPr>
            <w:t>Contents</w:t>
          </w:r>
        </w:p>
        <w:p w14:paraId="33959CDB" w14:textId="52A135B5" w:rsidR="00C44EC1" w:rsidRDefault="003E4870">
          <w:pPr>
            <w:pStyle w:val="TOC1"/>
            <w:tabs>
              <w:tab w:val="right" w:leader="dot" w:pos="9016"/>
            </w:tabs>
            <w:rPr>
              <w:rFonts w:eastAsiaTheme="minorEastAsia"/>
              <w:noProof/>
              <w:sz w:val="24"/>
              <w:szCs w:val="24"/>
              <w:lang w:eastAsia="en-GB"/>
            </w:rPr>
          </w:pPr>
          <w:r w:rsidRPr="00A75D9F">
            <w:rPr>
              <w:rFonts w:ascii="Arial" w:hAnsi="Arial" w:cs="Arial"/>
            </w:rPr>
            <w:fldChar w:fldCharType="begin"/>
          </w:r>
          <w:r w:rsidRPr="00A75D9F">
            <w:rPr>
              <w:rFonts w:ascii="Arial" w:hAnsi="Arial" w:cs="Arial"/>
            </w:rPr>
            <w:instrText xml:space="preserve"> TOC \o "1-3" \h \z \u </w:instrText>
          </w:r>
          <w:r w:rsidRPr="00A75D9F">
            <w:rPr>
              <w:rFonts w:ascii="Arial" w:hAnsi="Arial" w:cs="Arial"/>
            </w:rPr>
            <w:fldChar w:fldCharType="separate"/>
          </w:r>
          <w:hyperlink w:anchor="_Toc214200503" w:history="1">
            <w:r w:rsidR="00C44EC1" w:rsidRPr="0062723B">
              <w:rPr>
                <w:rStyle w:val="Hyperlink"/>
                <w:rFonts w:ascii="Arial" w:hAnsi="Arial" w:cs="Arial"/>
                <w:noProof/>
              </w:rPr>
              <w:t>Introduction and Background of Proper Snacks UK</w:t>
            </w:r>
            <w:r w:rsidR="00C44EC1">
              <w:rPr>
                <w:noProof/>
                <w:webHidden/>
              </w:rPr>
              <w:tab/>
            </w:r>
            <w:r w:rsidR="00C44EC1">
              <w:rPr>
                <w:noProof/>
                <w:webHidden/>
              </w:rPr>
              <w:fldChar w:fldCharType="begin"/>
            </w:r>
            <w:r w:rsidR="00C44EC1">
              <w:rPr>
                <w:noProof/>
                <w:webHidden/>
              </w:rPr>
              <w:instrText xml:space="preserve"> PAGEREF _Toc214200503 \h </w:instrText>
            </w:r>
            <w:r w:rsidR="00C44EC1">
              <w:rPr>
                <w:noProof/>
                <w:webHidden/>
              </w:rPr>
            </w:r>
            <w:r w:rsidR="00C44EC1">
              <w:rPr>
                <w:noProof/>
                <w:webHidden/>
              </w:rPr>
              <w:fldChar w:fldCharType="separate"/>
            </w:r>
            <w:r w:rsidR="00C44EC1">
              <w:rPr>
                <w:noProof/>
                <w:webHidden/>
              </w:rPr>
              <w:t>3</w:t>
            </w:r>
            <w:r w:rsidR="00C44EC1">
              <w:rPr>
                <w:noProof/>
                <w:webHidden/>
              </w:rPr>
              <w:fldChar w:fldCharType="end"/>
            </w:r>
          </w:hyperlink>
        </w:p>
        <w:p w14:paraId="0DAF4FE8" w14:textId="55E59B50" w:rsidR="00C44EC1" w:rsidRDefault="00C44EC1">
          <w:pPr>
            <w:pStyle w:val="TOC1"/>
            <w:tabs>
              <w:tab w:val="right" w:leader="dot" w:pos="9016"/>
            </w:tabs>
            <w:rPr>
              <w:rFonts w:eastAsiaTheme="minorEastAsia"/>
              <w:noProof/>
              <w:sz w:val="24"/>
              <w:szCs w:val="24"/>
              <w:lang w:eastAsia="en-GB"/>
            </w:rPr>
          </w:pPr>
          <w:hyperlink w:anchor="_Toc214200504" w:history="1">
            <w:r w:rsidRPr="0062723B">
              <w:rPr>
                <w:rStyle w:val="Hyperlink"/>
                <w:rFonts w:ascii="Arial" w:hAnsi="Arial" w:cs="Arial"/>
                <w:noProof/>
              </w:rPr>
              <w:t>Innovation Ambition Matrix – Proper Snacks UK</w:t>
            </w:r>
            <w:r>
              <w:rPr>
                <w:noProof/>
                <w:webHidden/>
              </w:rPr>
              <w:tab/>
            </w:r>
            <w:r>
              <w:rPr>
                <w:noProof/>
                <w:webHidden/>
              </w:rPr>
              <w:fldChar w:fldCharType="begin"/>
            </w:r>
            <w:r>
              <w:rPr>
                <w:noProof/>
                <w:webHidden/>
              </w:rPr>
              <w:instrText xml:space="preserve"> PAGEREF _Toc214200504 \h </w:instrText>
            </w:r>
            <w:r>
              <w:rPr>
                <w:noProof/>
                <w:webHidden/>
              </w:rPr>
            </w:r>
            <w:r>
              <w:rPr>
                <w:noProof/>
                <w:webHidden/>
              </w:rPr>
              <w:fldChar w:fldCharType="separate"/>
            </w:r>
            <w:r>
              <w:rPr>
                <w:noProof/>
                <w:webHidden/>
              </w:rPr>
              <w:t>4</w:t>
            </w:r>
            <w:r>
              <w:rPr>
                <w:noProof/>
                <w:webHidden/>
              </w:rPr>
              <w:fldChar w:fldCharType="end"/>
            </w:r>
          </w:hyperlink>
        </w:p>
        <w:p w14:paraId="199942A9" w14:textId="404F56D1" w:rsidR="00C44EC1" w:rsidRDefault="00C44EC1">
          <w:pPr>
            <w:pStyle w:val="TOC1"/>
            <w:tabs>
              <w:tab w:val="right" w:leader="dot" w:pos="9016"/>
            </w:tabs>
            <w:rPr>
              <w:rFonts w:eastAsiaTheme="minorEastAsia"/>
              <w:noProof/>
              <w:sz w:val="24"/>
              <w:szCs w:val="24"/>
              <w:lang w:eastAsia="en-GB"/>
            </w:rPr>
          </w:pPr>
          <w:hyperlink w:anchor="_Toc214200505" w:history="1">
            <w:r w:rsidRPr="0062723B">
              <w:rPr>
                <w:rStyle w:val="Hyperlink"/>
                <w:rFonts w:ascii="Arial" w:hAnsi="Arial" w:cs="Arial"/>
                <w:noProof/>
              </w:rPr>
              <w:t>Customer Journey Mapping – Proper Snacks UK</w:t>
            </w:r>
            <w:r>
              <w:rPr>
                <w:noProof/>
                <w:webHidden/>
              </w:rPr>
              <w:tab/>
            </w:r>
            <w:r>
              <w:rPr>
                <w:noProof/>
                <w:webHidden/>
              </w:rPr>
              <w:fldChar w:fldCharType="begin"/>
            </w:r>
            <w:r>
              <w:rPr>
                <w:noProof/>
                <w:webHidden/>
              </w:rPr>
              <w:instrText xml:space="preserve"> PAGEREF _Toc214200505 \h </w:instrText>
            </w:r>
            <w:r>
              <w:rPr>
                <w:noProof/>
                <w:webHidden/>
              </w:rPr>
            </w:r>
            <w:r>
              <w:rPr>
                <w:noProof/>
                <w:webHidden/>
              </w:rPr>
              <w:fldChar w:fldCharType="separate"/>
            </w:r>
            <w:r>
              <w:rPr>
                <w:noProof/>
                <w:webHidden/>
              </w:rPr>
              <w:t>6</w:t>
            </w:r>
            <w:r>
              <w:rPr>
                <w:noProof/>
                <w:webHidden/>
              </w:rPr>
              <w:fldChar w:fldCharType="end"/>
            </w:r>
          </w:hyperlink>
        </w:p>
        <w:p w14:paraId="279F1CE5" w14:textId="450CA29B" w:rsidR="00C44EC1" w:rsidRDefault="00C44EC1">
          <w:pPr>
            <w:pStyle w:val="TOC2"/>
            <w:tabs>
              <w:tab w:val="right" w:leader="dot" w:pos="9016"/>
            </w:tabs>
            <w:rPr>
              <w:rFonts w:eastAsiaTheme="minorEastAsia"/>
              <w:noProof/>
              <w:sz w:val="24"/>
              <w:szCs w:val="24"/>
              <w:lang w:eastAsia="en-GB"/>
            </w:rPr>
          </w:pPr>
          <w:hyperlink w:anchor="_Toc214200506" w:history="1">
            <w:r w:rsidRPr="0062723B">
              <w:rPr>
                <w:rStyle w:val="Hyperlink"/>
                <w:rFonts w:ascii="Arial" w:hAnsi="Arial" w:cs="Arial"/>
                <w:noProof/>
              </w:rPr>
              <w:t>Customer personas &amp; scenario</w:t>
            </w:r>
            <w:r>
              <w:rPr>
                <w:noProof/>
                <w:webHidden/>
              </w:rPr>
              <w:tab/>
            </w:r>
            <w:r>
              <w:rPr>
                <w:noProof/>
                <w:webHidden/>
              </w:rPr>
              <w:fldChar w:fldCharType="begin"/>
            </w:r>
            <w:r>
              <w:rPr>
                <w:noProof/>
                <w:webHidden/>
              </w:rPr>
              <w:instrText xml:space="preserve"> PAGEREF _Toc214200506 \h </w:instrText>
            </w:r>
            <w:r>
              <w:rPr>
                <w:noProof/>
                <w:webHidden/>
              </w:rPr>
            </w:r>
            <w:r>
              <w:rPr>
                <w:noProof/>
                <w:webHidden/>
              </w:rPr>
              <w:fldChar w:fldCharType="separate"/>
            </w:r>
            <w:r>
              <w:rPr>
                <w:noProof/>
                <w:webHidden/>
              </w:rPr>
              <w:t>6</w:t>
            </w:r>
            <w:r>
              <w:rPr>
                <w:noProof/>
                <w:webHidden/>
              </w:rPr>
              <w:fldChar w:fldCharType="end"/>
            </w:r>
          </w:hyperlink>
        </w:p>
        <w:p w14:paraId="1E244C51" w14:textId="3A911AA4" w:rsidR="00C44EC1" w:rsidRDefault="00C44EC1">
          <w:pPr>
            <w:pStyle w:val="TOC2"/>
            <w:tabs>
              <w:tab w:val="right" w:leader="dot" w:pos="9016"/>
            </w:tabs>
            <w:rPr>
              <w:rFonts w:eastAsiaTheme="minorEastAsia"/>
              <w:noProof/>
              <w:sz w:val="24"/>
              <w:szCs w:val="24"/>
              <w:lang w:eastAsia="en-GB"/>
            </w:rPr>
          </w:pPr>
          <w:hyperlink w:anchor="_Toc214200507" w:history="1">
            <w:r w:rsidRPr="0062723B">
              <w:rPr>
                <w:rStyle w:val="Hyperlink"/>
                <w:rFonts w:ascii="Arial" w:hAnsi="Arial" w:cs="Arial"/>
                <w:noProof/>
              </w:rPr>
              <w:t>Visualised Journey</w:t>
            </w:r>
            <w:r>
              <w:rPr>
                <w:noProof/>
                <w:webHidden/>
              </w:rPr>
              <w:tab/>
            </w:r>
            <w:r>
              <w:rPr>
                <w:noProof/>
                <w:webHidden/>
              </w:rPr>
              <w:fldChar w:fldCharType="begin"/>
            </w:r>
            <w:r>
              <w:rPr>
                <w:noProof/>
                <w:webHidden/>
              </w:rPr>
              <w:instrText xml:space="preserve"> PAGEREF _Toc214200507 \h </w:instrText>
            </w:r>
            <w:r>
              <w:rPr>
                <w:noProof/>
                <w:webHidden/>
              </w:rPr>
            </w:r>
            <w:r>
              <w:rPr>
                <w:noProof/>
                <w:webHidden/>
              </w:rPr>
              <w:fldChar w:fldCharType="separate"/>
            </w:r>
            <w:r>
              <w:rPr>
                <w:noProof/>
                <w:webHidden/>
              </w:rPr>
              <w:t>7</w:t>
            </w:r>
            <w:r>
              <w:rPr>
                <w:noProof/>
                <w:webHidden/>
              </w:rPr>
              <w:fldChar w:fldCharType="end"/>
            </w:r>
          </w:hyperlink>
        </w:p>
        <w:p w14:paraId="71909212" w14:textId="07C0C085" w:rsidR="00C44EC1" w:rsidRDefault="00C44EC1">
          <w:pPr>
            <w:pStyle w:val="TOC1"/>
            <w:tabs>
              <w:tab w:val="right" w:leader="dot" w:pos="9016"/>
            </w:tabs>
            <w:rPr>
              <w:rFonts w:eastAsiaTheme="minorEastAsia"/>
              <w:noProof/>
              <w:sz w:val="24"/>
              <w:szCs w:val="24"/>
              <w:lang w:eastAsia="en-GB"/>
            </w:rPr>
          </w:pPr>
          <w:hyperlink w:anchor="_Toc214200508" w:history="1">
            <w:r w:rsidRPr="0062723B">
              <w:rPr>
                <w:rStyle w:val="Hyperlink"/>
                <w:rFonts w:ascii="Arial" w:hAnsi="Arial" w:cs="Arial"/>
                <w:noProof/>
              </w:rPr>
              <w:t>Identified Pain &amp; Gain Points</w:t>
            </w:r>
            <w:r>
              <w:rPr>
                <w:noProof/>
                <w:webHidden/>
              </w:rPr>
              <w:tab/>
            </w:r>
            <w:r>
              <w:rPr>
                <w:noProof/>
                <w:webHidden/>
              </w:rPr>
              <w:fldChar w:fldCharType="begin"/>
            </w:r>
            <w:r>
              <w:rPr>
                <w:noProof/>
                <w:webHidden/>
              </w:rPr>
              <w:instrText xml:space="preserve"> PAGEREF _Toc214200508 \h </w:instrText>
            </w:r>
            <w:r>
              <w:rPr>
                <w:noProof/>
                <w:webHidden/>
              </w:rPr>
            </w:r>
            <w:r>
              <w:rPr>
                <w:noProof/>
                <w:webHidden/>
              </w:rPr>
              <w:fldChar w:fldCharType="separate"/>
            </w:r>
            <w:r>
              <w:rPr>
                <w:noProof/>
                <w:webHidden/>
              </w:rPr>
              <w:t>7</w:t>
            </w:r>
            <w:r>
              <w:rPr>
                <w:noProof/>
                <w:webHidden/>
              </w:rPr>
              <w:fldChar w:fldCharType="end"/>
            </w:r>
          </w:hyperlink>
        </w:p>
        <w:p w14:paraId="5240A3CA" w14:textId="74A8DBE5" w:rsidR="00C44EC1" w:rsidRDefault="00C44EC1">
          <w:pPr>
            <w:pStyle w:val="TOC1"/>
            <w:tabs>
              <w:tab w:val="right" w:leader="dot" w:pos="9016"/>
            </w:tabs>
            <w:rPr>
              <w:rFonts w:eastAsiaTheme="minorEastAsia"/>
              <w:noProof/>
              <w:sz w:val="24"/>
              <w:szCs w:val="24"/>
              <w:lang w:eastAsia="en-GB"/>
            </w:rPr>
          </w:pPr>
          <w:hyperlink w:anchor="_Toc214200509" w:history="1">
            <w:r w:rsidRPr="0062723B">
              <w:rPr>
                <w:rStyle w:val="Hyperlink"/>
                <w:rFonts w:ascii="Arial" w:hAnsi="Arial" w:cs="Arial"/>
                <w:noProof/>
              </w:rPr>
              <w:t>Digital Innovation Opportunities</w:t>
            </w:r>
            <w:r>
              <w:rPr>
                <w:noProof/>
                <w:webHidden/>
              </w:rPr>
              <w:tab/>
            </w:r>
            <w:r>
              <w:rPr>
                <w:noProof/>
                <w:webHidden/>
              </w:rPr>
              <w:fldChar w:fldCharType="begin"/>
            </w:r>
            <w:r>
              <w:rPr>
                <w:noProof/>
                <w:webHidden/>
              </w:rPr>
              <w:instrText xml:space="preserve"> PAGEREF _Toc214200509 \h </w:instrText>
            </w:r>
            <w:r>
              <w:rPr>
                <w:noProof/>
                <w:webHidden/>
              </w:rPr>
            </w:r>
            <w:r>
              <w:rPr>
                <w:noProof/>
                <w:webHidden/>
              </w:rPr>
              <w:fldChar w:fldCharType="separate"/>
            </w:r>
            <w:r>
              <w:rPr>
                <w:noProof/>
                <w:webHidden/>
              </w:rPr>
              <w:t>8</w:t>
            </w:r>
            <w:r>
              <w:rPr>
                <w:noProof/>
                <w:webHidden/>
              </w:rPr>
              <w:fldChar w:fldCharType="end"/>
            </w:r>
          </w:hyperlink>
        </w:p>
        <w:p w14:paraId="14D861EA" w14:textId="267EAC7F" w:rsidR="00C44EC1" w:rsidRDefault="00C44EC1">
          <w:pPr>
            <w:pStyle w:val="TOC1"/>
            <w:tabs>
              <w:tab w:val="right" w:leader="dot" w:pos="9016"/>
            </w:tabs>
            <w:rPr>
              <w:rFonts w:eastAsiaTheme="minorEastAsia"/>
              <w:noProof/>
              <w:sz w:val="24"/>
              <w:szCs w:val="24"/>
              <w:lang w:eastAsia="en-GB"/>
            </w:rPr>
          </w:pPr>
          <w:hyperlink w:anchor="_Toc214200510" w:history="1">
            <w:r w:rsidRPr="0062723B">
              <w:rPr>
                <w:rStyle w:val="Hyperlink"/>
                <w:rFonts w:ascii="Arial" w:hAnsi="Arial" w:cs="Arial"/>
                <w:noProof/>
              </w:rPr>
              <w:t>Theory Integration: Touchpoint Theory &amp; Service-Dominant Logic</w:t>
            </w:r>
            <w:r>
              <w:rPr>
                <w:noProof/>
                <w:webHidden/>
              </w:rPr>
              <w:tab/>
            </w:r>
            <w:r>
              <w:rPr>
                <w:noProof/>
                <w:webHidden/>
              </w:rPr>
              <w:fldChar w:fldCharType="begin"/>
            </w:r>
            <w:r>
              <w:rPr>
                <w:noProof/>
                <w:webHidden/>
              </w:rPr>
              <w:instrText xml:space="preserve"> PAGEREF _Toc214200510 \h </w:instrText>
            </w:r>
            <w:r>
              <w:rPr>
                <w:noProof/>
                <w:webHidden/>
              </w:rPr>
            </w:r>
            <w:r>
              <w:rPr>
                <w:noProof/>
                <w:webHidden/>
              </w:rPr>
              <w:fldChar w:fldCharType="separate"/>
            </w:r>
            <w:r>
              <w:rPr>
                <w:noProof/>
                <w:webHidden/>
              </w:rPr>
              <w:t>8</w:t>
            </w:r>
            <w:r>
              <w:rPr>
                <w:noProof/>
                <w:webHidden/>
              </w:rPr>
              <w:fldChar w:fldCharType="end"/>
            </w:r>
          </w:hyperlink>
        </w:p>
        <w:p w14:paraId="4C310634" w14:textId="3EBBA9C0" w:rsidR="00C44EC1" w:rsidRDefault="00C44EC1">
          <w:pPr>
            <w:pStyle w:val="TOC1"/>
            <w:tabs>
              <w:tab w:val="right" w:leader="dot" w:pos="9016"/>
            </w:tabs>
            <w:rPr>
              <w:rFonts w:eastAsiaTheme="minorEastAsia"/>
              <w:noProof/>
              <w:sz w:val="24"/>
              <w:szCs w:val="24"/>
              <w:lang w:eastAsia="en-GB"/>
            </w:rPr>
          </w:pPr>
          <w:hyperlink w:anchor="_Toc214200511" w:history="1">
            <w:r w:rsidRPr="0062723B">
              <w:rPr>
                <w:rStyle w:val="Hyperlink"/>
                <w:rFonts w:ascii="Arial" w:hAnsi="Arial" w:cs="Arial"/>
                <w:noProof/>
              </w:rPr>
              <w:t>Key Insights, Synthesis &amp; Innovation Opportunity Horizon</w:t>
            </w:r>
            <w:r>
              <w:rPr>
                <w:noProof/>
                <w:webHidden/>
              </w:rPr>
              <w:tab/>
            </w:r>
            <w:r>
              <w:rPr>
                <w:noProof/>
                <w:webHidden/>
              </w:rPr>
              <w:fldChar w:fldCharType="begin"/>
            </w:r>
            <w:r>
              <w:rPr>
                <w:noProof/>
                <w:webHidden/>
              </w:rPr>
              <w:instrText xml:space="preserve"> PAGEREF _Toc214200511 \h </w:instrText>
            </w:r>
            <w:r>
              <w:rPr>
                <w:noProof/>
                <w:webHidden/>
              </w:rPr>
            </w:r>
            <w:r>
              <w:rPr>
                <w:noProof/>
                <w:webHidden/>
              </w:rPr>
              <w:fldChar w:fldCharType="separate"/>
            </w:r>
            <w:r>
              <w:rPr>
                <w:noProof/>
                <w:webHidden/>
              </w:rPr>
              <w:t>9</w:t>
            </w:r>
            <w:r>
              <w:rPr>
                <w:noProof/>
                <w:webHidden/>
              </w:rPr>
              <w:fldChar w:fldCharType="end"/>
            </w:r>
          </w:hyperlink>
        </w:p>
        <w:p w14:paraId="0FC7DB93" w14:textId="09581949" w:rsidR="00C44EC1" w:rsidRDefault="00C44EC1">
          <w:pPr>
            <w:pStyle w:val="TOC1"/>
            <w:tabs>
              <w:tab w:val="right" w:leader="dot" w:pos="9016"/>
            </w:tabs>
            <w:rPr>
              <w:rFonts w:eastAsiaTheme="minorEastAsia"/>
              <w:noProof/>
              <w:sz w:val="24"/>
              <w:szCs w:val="24"/>
              <w:lang w:eastAsia="en-GB"/>
            </w:rPr>
          </w:pPr>
          <w:hyperlink w:anchor="_Toc214200512" w:history="1">
            <w:r w:rsidRPr="0062723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_Toc214200512 \h </w:instrText>
            </w:r>
            <w:r>
              <w:rPr>
                <w:noProof/>
                <w:webHidden/>
              </w:rPr>
            </w:r>
            <w:r>
              <w:rPr>
                <w:noProof/>
                <w:webHidden/>
              </w:rPr>
              <w:fldChar w:fldCharType="separate"/>
            </w:r>
            <w:r>
              <w:rPr>
                <w:noProof/>
                <w:webHidden/>
              </w:rPr>
              <w:t>9</w:t>
            </w:r>
            <w:r>
              <w:rPr>
                <w:noProof/>
                <w:webHidden/>
              </w:rPr>
              <w:fldChar w:fldCharType="end"/>
            </w:r>
          </w:hyperlink>
        </w:p>
        <w:p w14:paraId="013F5259" w14:textId="7A1ADD25" w:rsidR="00C44EC1" w:rsidRDefault="00C44EC1">
          <w:pPr>
            <w:pStyle w:val="TOC1"/>
            <w:tabs>
              <w:tab w:val="right" w:leader="dot" w:pos="9016"/>
            </w:tabs>
            <w:rPr>
              <w:rFonts w:eastAsiaTheme="minorEastAsia"/>
              <w:noProof/>
              <w:sz w:val="24"/>
              <w:szCs w:val="24"/>
              <w:lang w:eastAsia="en-GB"/>
            </w:rPr>
          </w:pPr>
          <w:hyperlink w:anchor="_Toc214200513" w:history="1">
            <w:r w:rsidRPr="0062723B">
              <w:rPr>
                <w:rStyle w:val="Hyperlink"/>
                <w:rFonts w:ascii="Arial" w:hAnsi="Arial" w:cs="Arial"/>
                <w:noProof/>
              </w:rPr>
              <w:t>Proposed Digital Solution: “Proper+” – A Personalised Snack Engagement Platform</w:t>
            </w:r>
            <w:r>
              <w:rPr>
                <w:noProof/>
                <w:webHidden/>
              </w:rPr>
              <w:tab/>
            </w:r>
            <w:r>
              <w:rPr>
                <w:noProof/>
                <w:webHidden/>
              </w:rPr>
              <w:fldChar w:fldCharType="begin"/>
            </w:r>
            <w:r>
              <w:rPr>
                <w:noProof/>
                <w:webHidden/>
              </w:rPr>
              <w:instrText xml:space="preserve"> PAGEREF _Toc214200513 \h </w:instrText>
            </w:r>
            <w:r>
              <w:rPr>
                <w:noProof/>
                <w:webHidden/>
              </w:rPr>
            </w:r>
            <w:r>
              <w:rPr>
                <w:noProof/>
                <w:webHidden/>
              </w:rPr>
              <w:fldChar w:fldCharType="separate"/>
            </w:r>
            <w:r>
              <w:rPr>
                <w:noProof/>
                <w:webHidden/>
              </w:rPr>
              <w:t>9</w:t>
            </w:r>
            <w:r>
              <w:rPr>
                <w:noProof/>
                <w:webHidden/>
              </w:rPr>
              <w:fldChar w:fldCharType="end"/>
            </w:r>
          </w:hyperlink>
        </w:p>
        <w:p w14:paraId="7546DFCB" w14:textId="48713383" w:rsidR="00C44EC1" w:rsidRDefault="00C44EC1">
          <w:pPr>
            <w:pStyle w:val="TOC1"/>
            <w:tabs>
              <w:tab w:val="right" w:leader="dot" w:pos="9016"/>
            </w:tabs>
            <w:rPr>
              <w:rFonts w:eastAsiaTheme="minorEastAsia"/>
              <w:noProof/>
              <w:sz w:val="24"/>
              <w:szCs w:val="24"/>
              <w:lang w:eastAsia="en-GB"/>
            </w:rPr>
          </w:pPr>
          <w:hyperlink w:anchor="_Toc214200514" w:history="1">
            <w:r w:rsidRPr="0062723B">
              <w:rPr>
                <w:rStyle w:val="Hyperlink"/>
                <w:rFonts w:ascii="Arial" w:hAnsi="Arial" w:cs="Arial"/>
                <w:noProof/>
              </w:rPr>
              <w:t>Define How the New System Integrates into the Business Model</w:t>
            </w:r>
            <w:r>
              <w:rPr>
                <w:noProof/>
                <w:webHidden/>
              </w:rPr>
              <w:tab/>
            </w:r>
            <w:r>
              <w:rPr>
                <w:noProof/>
                <w:webHidden/>
              </w:rPr>
              <w:fldChar w:fldCharType="begin"/>
            </w:r>
            <w:r>
              <w:rPr>
                <w:noProof/>
                <w:webHidden/>
              </w:rPr>
              <w:instrText xml:space="preserve"> PAGEREF _Toc214200514 \h </w:instrText>
            </w:r>
            <w:r>
              <w:rPr>
                <w:noProof/>
                <w:webHidden/>
              </w:rPr>
            </w:r>
            <w:r>
              <w:rPr>
                <w:noProof/>
                <w:webHidden/>
              </w:rPr>
              <w:fldChar w:fldCharType="separate"/>
            </w:r>
            <w:r>
              <w:rPr>
                <w:noProof/>
                <w:webHidden/>
              </w:rPr>
              <w:t>10</w:t>
            </w:r>
            <w:r>
              <w:rPr>
                <w:noProof/>
                <w:webHidden/>
              </w:rPr>
              <w:fldChar w:fldCharType="end"/>
            </w:r>
          </w:hyperlink>
        </w:p>
        <w:p w14:paraId="3B04692E" w14:textId="4B65E898" w:rsidR="00C44EC1" w:rsidRDefault="00C44EC1">
          <w:pPr>
            <w:pStyle w:val="TOC1"/>
            <w:tabs>
              <w:tab w:val="right" w:leader="dot" w:pos="9016"/>
            </w:tabs>
            <w:rPr>
              <w:rFonts w:eastAsiaTheme="minorEastAsia"/>
              <w:noProof/>
              <w:sz w:val="24"/>
              <w:szCs w:val="24"/>
              <w:lang w:eastAsia="en-GB"/>
            </w:rPr>
          </w:pPr>
          <w:hyperlink w:anchor="_Toc214200515" w:history="1">
            <w:r w:rsidRPr="0062723B">
              <w:rPr>
                <w:rStyle w:val="Hyperlink"/>
                <w:rFonts w:ascii="Arial" w:hAnsi="Arial" w:cs="Arial"/>
                <w:noProof/>
              </w:rPr>
              <w:t>Visualise an Updated Customer Journey (Improved Experience)</w:t>
            </w:r>
            <w:r>
              <w:rPr>
                <w:noProof/>
                <w:webHidden/>
              </w:rPr>
              <w:tab/>
            </w:r>
            <w:r>
              <w:rPr>
                <w:noProof/>
                <w:webHidden/>
              </w:rPr>
              <w:fldChar w:fldCharType="begin"/>
            </w:r>
            <w:r>
              <w:rPr>
                <w:noProof/>
                <w:webHidden/>
              </w:rPr>
              <w:instrText xml:space="preserve"> PAGEREF _Toc214200515 \h </w:instrText>
            </w:r>
            <w:r>
              <w:rPr>
                <w:noProof/>
                <w:webHidden/>
              </w:rPr>
            </w:r>
            <w:r>
              <w:rPr>
                <w:noProof/>
                <w:webHidden/>
              </w:rPr>
              <w:fldChar w:fldCharType="separate"/>
            </w:r>
            <w:r>
              <w:rPr>
                <w:noProof/>
                <w:webHidden/>
              </w:rPr>
              <w:t>11</w:t>
            </w:r>
            <w:r>
              <w:rPr>
                <w:noProof/>
                <w:webHidden/>
              </w:rPr>
              <w:fldChar w:fldCharType="end"/>
            </w:r>
          </w:hyperlink>
        </w:p>
        <w:p w14:paraId="3343E773" w14:textId="4962686A" w:rsidR="00C44EC1" w:rsidRDefault="00C44EC1">
          <w:pPr>
            <w:pStyle w:val="TOC1"/>
            <w:tabs>
              <w:tab w:val="right" w:leader="dot" w:pos="9016"/>
            </w:tabs>
            <w:rPr>
              <w:rFonts w:eastAsiaTheme="minorEastAsia"/>
              <w:noProof/>
              <w:sz w:val="24"/>
              <w:szCs w:val="24"/>
              <w:lang w:eastAsia="en-GB"/>
            </w:rPr>
          </w:pPr>
          <w:hyperlink w:anchor="_Toc214200516" w:history="1">
            <w:r w:rsidRPr="0062723B">
              <w:rPr>
                <w:rStyle w:val="Hyperlink"/>
                <w:rFonts w:ascii="Arial" w:hAnsi="Arial" w:cs="Arial"/>
                <w:noProof/>
              </w:rPr>
              <w:t>Customer Journey Comparison: Before vs After Digital Transformation (Proper Snacks UK)</w:t>
            </w:r>
            <w:r>
              <w:rPr>
                <w:noProof/>
                <w:webHidden/>
              </w:rPr>
              <w:tab/>
            </w:r>
            <w:r>
              <w:rPr>
                <w:noProof/>
                <w:webHidden/>
              </w:rPr>
              <w:fldChar w:fldCharType="begin"/>
            </w:r>
            <w:r>
              <w:rPr>
                <w:noProof/>
                <w:webHidden/>
              </w:rPr>
              <w:instrText xml:space="preserve"> PAGEREF _Toc214200516 \h </w:instrText>
            </w:r>
            <w:r>
              <w:rPr>
                <w:noProof/>
                <w:webHidden/>
              </w:rPr>
            </w:r>
            <w:r>
              <w:rPr>
                <w:noProof/>
                <w:webHidden/>
              </w:rPr>
              <w:fldChar w:fldCharType="separate"/>
            </w:r>
            <w:r>
              <w:rPr>
                <w:noProof/>
                <w:webHidden/>
              </w:rPr>
              <w:t>12</w:t>
            </w:r>
            <w:r>
              <w:rPr>
                <w:noProof/>
                <w:webHidden/>
              </w:rPr>
              <w:fldChar w:fldCharType="end"/>
            </w:r>
          </w:hyperlink>
        </w:p>
        <w:p w14:paraId="4F12E32B" w14:textId="1333B664" w:rsidR="00C44EC1" w:rsidRDefault="00C44EC1">
          <w:pPr>
            <w:pStyle w:val="TOC2"/>
            <w:tabs>
              <w:tab w:val="right" w:leader="dot" w:pos="9016"/>
            </w:tabs>
            <w:rPr>
              <w:rFonts w:eastAsiaTheme="minorEastAsia"/>
              <w:noProof/>
              <w:sz w:val="24"/>
              <w:szCs w:val="24"/>
              <w:lang w:eastAsia="en-GB"/>
            </w:rPr>
          </w:pPr>
          <w:hyperlink w:anchor="_Toc214200517" w:history="1">
            <w:r w:rsidRPr="0062723B">
              <w:rPr>
                <w:rStyle w:val="Hyperlink"/>
                <w:rFonts w:ascii="Arial" w:hAnsi="Arial" w:cs="Arial"/>
                <w:noProof/>
              </w:rPr>
              <w:t>Detailed Before-and-After Comparison</w:t>
            </w:r>
            <w:r>
              <w:rPr>
                <w:noProof/>
                <w:webHidden/>
              </w:rPr>
              <w:tab/>
            </w:r>
            <w:r>
              <w:rPr>
                <w:noProof/>
                <w:webHidden/>
              </w:rPr>
              <w:fldChar w:fldCharType="begin"/>
            </w:r>
            <w:r>
              <w:rPr>
                <w:noProof/>
                <w:webHidden/>
              </w:rPr>
              <w:instrText xml:space="preserve"> PAGEREF _Toc214200517 \h </w:instrText>
            </w:r>
            <w:r>
              <w:rPr>
                <w:noProof/>
                <w:webHidden/>
              </w:rPr>
            </w:r>
            <w:r>
              <w:rPr>
                <w:noProof/>
                <w:webHidden/>
              </w:rPr>
              <w:fldChar w:fldCharType="separate"/>
            </w:r>
            <w:r>
              <w:rPr>
                <w:noProof/>
                <w:webHidden/>
              </w:rPr>
              <w:t>12</w:t>
            </w:r>
            <w:r>
              <w:rPr>
                <w:noProof/>
                <w:webHidden/>
              </w:rPr>
              <w:fldChar w:fldCharType="end"/>
            </w:r>
          </w:hyperlink>
        </w:p>
        <w:p w14:paraId="22A1D1E6" w14:textId="1A9C6FFA" w:rsidR="00C44EC1" w:rsidRDefault="00C44EC1">
          <w:pPr>
            <w:pStyle w:val="TOC1"/>
            <w:tabs>
              <w:tab w:val="right" w:leader="dot" w:pos="9016"/>
            </w:tabs>
            <w:rPr>
              <w:rFonts w:eastAsiaTheme="minorEastAsia"/>
              <w:noProof/>
              <w:sz w:val="24"/>
              <w:szCs w:val="24"/>
              <w:lang w:eastAsia="en-GB"/>
            </w:rPr>
          </w:pPr>
          <w:hyperlink w:anchor="_Toc214200518" w:history="1">
            <w:r w:rsidRPr="0062723B">
              <w:rPr>
                <w:rStyle w:val="Hyperlink"/>
                <w:rFonts w:ascii="Arial" w:hAnsi="Arial" w:cs="Arial"/>
                <w:noProof/>
              </w:rPr>
              <w:t>Summary of Key Transformations</w:t>
            </w:r>
            <w:r>
              <w:rPr>
                <w:noProof/>
                <w:webHidden/>
              </w:rPr>
              <w:tab/>
            </w:r>
            <w:r>
              <w:rPr>
                <w:noProof/>
                <w:webHidden/>
              </w:rPr>
              <w:fldChar w:fldCharType="begin"/>
            </w:r>
            <w:r>
              <w:rPr>
                <w:noProof/>
                <w:webHidden/>
              </w:rPr>
              <w:instrText xml:space="preserve"> PAGEREF _Toc214200518 \h </w:instrText>
            </w:r>
            <w:r>
              <w:rPr>
                <w:noProof/>
                <w:webHidden/>
              </w:rPr>
            </w:r>
            <w:r>
              <w:rPr>
                <w:noProof/>
                <w:webHidden/>
              </w:rPr>
              <w:fldChar w:fldCharType="separate"/>
            </w:r>
            <w:r>
              <w:rPr>
                <w:noProof/>
                <w:webHidden/>
              </w:rPr>
              <w:t>15</w:t>
            </w:r>
            <w:r>
              <w:rPr>
                <w:noProof/>
                <w:webHidden/>
              </w:rPr>
              <w:fldChar w:fldCharType="end"/>
            </w:r>
          </w:hyperlink>
        </w:p>
        <w:p w14:paraId="34FE1FE6" w14:textId="2464867D" w:rsidR="00C44EC1" w:rsidRDefault="00C44EC1">
          <w:pPr>
            <w:pStyle w:val="TOC1"/>
            <w:tabs>
              <w:tab w:val="right" w:leader="dot" w:pos="9016"/>
            </w:tabs>
            <w:rPr>
              <w:rFonts w:eastAsiaTheme="minorEastAsia"/>
              <w:noProof/>
              <w:sz w:val="24"/>
              <w:szCs w:val="24"/>
              <w:lang w:eastAsia="en-GB"/>
            </w:rPr>
          </w:pPr>
          <w:hyperlink w:anchor="_Toc214200519" w:history="1">
            <w:r w:rsidRPr="0062723B">
              <w:rPr>
                <w:rStyle w:val="Hyperlink"/>
                <w:rFonts w:ascii="Arial" w:hAnsi="Arial" w:cs="Arial"/>
                <w:noProof/>
              </w:rPr>
              <w:t>Theoretical Integration</w:t>
            </w:r>
            <w:r>
              <w:rPr>
                <w:noProof/>
                <w:webHidden/>
              </w:rPr>
              <w:tab/>
            </w:r>
            <w:r>
              <w:rPr>
                <w:noProof/>
                <w:webHidden/>
              </w:rPr>
              <w:fldChar w:fldCharType="begin"/>
            </w:r>
            <w:r>
              <w:rPr>
                <w:noProof/>
                <w:webHidden/>
              </w:rPr>
              <w:instrText xml:space="preserve"> PAGEREF _Toc214200519 \h </w:instrText>
            </w:r>
            <w:r>
              <w:rPr>
                <w:noProof/>
                <w:webHidden/>
              </w:rPr>
            </w:r>
            <w:r>
              <w:rPr>
                <w:noProof/>
                <w:webHidden/>
              </w:rPr>
              <w:fldChar w:fldCharType="separate"/>
            </w:r>
            <w:r>
              <w:rPr>
                <w:noProof/>
                <w:webHidden/>
              </w:rPr>
              <w:t>15</w:t>
            </w:r>
            <w:r>
              <w:rPr>
                <w:noProof/>
                <w:webHidden/>
              </w:rPr>
              <w:fldChar w:fldCharType="end"/>
            </w:r>
          </w:hyperlink>
        </w:p>
        <w:p w14:paraId="141A8F00" w14:textId="65167322" w:rsidR="00C44EC1" w:rsidRDefault="00C44EC1">
          <w:pPr>
            <w:pStyle w:val="TOC1"/>
            <w:tabs>
              <w:tab w:val="right" w:leader="dot" w:pos="9016"/>
            </w:tabs>
            <w:rPr>
              <w:rFonts w:eastAsiaTheme="minorEastAsia"/>
              <w:noProof/>
              <w:sz w:val="24"/>
              <w:szCs w:val="24"/>
              <w:lang w:eastAsia="en-GB"/>
            </w:rPr>
          </w:pPr>
          <w:hyperlink w:anchor="_Toc214200520" w:history="1">
            <w:r w:rsidRPr="0062723B">
              <w:rPr>
                <w:rStyle w:val="Hyperlink"/>
                <w:rFonts w:ascii="Arial" w:hAnsi="Arial" w:cs="Arial"/>
                <w:noProof/>
              </w:rPr>
              <w:t>Key Performance Indicators (KPIs) and Strategic Alignment</w:t>
            </w:r>
            <w:r>
              <w:rPr>
                <w:noProof/>
                <w:webHidden/>
              </w:rPr>
              <w:tab/>
            </w:r>
            <w:r>
              <w:rPr>
                <w:noProof/>
                <w:webHidden/>
              </w:rPr>
              <w:fldChar w:fldCharType="begin"/>
            </w:r>
            <w:r>
              <w:rPr>
                <w:noProof/>
                <w:webHidden/>
              </w:rPr>
              <w:instrText xml:space="preserve"> PAGEREF _Toc214200520 \h </w:instrText>
            </w:r>
            <w:r>
              <w:rPr>
                <w:noProof/>
                <w:webHidden/>
              </w:rPr>
            </w:r>
            <w:r>
              <w:rPr>
                <w:noProof/>
                <w:webHidden/>
              </w:rPr>
              <w:fldChar w:fldCharType="separate"/>
            </w:r>
            <w:r>
              <w:rPr>
                <w:noProof/>
                <w:webHidden/>
              </w:rPr>
              <w:t>15</w:t>
            </w:r>
            <w:r>
              <w:rPr>
                <w:noProof/>
                <w:webHidden/>
              </w:rPr>
              <w:fldChar w:fldCharType="end"/>
            </w:r>
          </w:hyperlink>
        </w:p>
        <w:p w14:paraId="59ECC1AC" w14:textId="5C147B8E" w:rsidR="00C44EC1" w:rsidRDefault="00C44EC1">
          <w:pPr>
            <w:pStyle w:val="TOC1"/>
            <w:tabs>
              <w:tab w:val="right" w:leader="dot" w:pos="9016"/>
            </w:tabs>
            <w:rPr>
              <w:rFonts w:eastAsiaTheme="minorEastAsia"/>
              <w:noProof/>
              <w:sz w:val="24"/>
              <w:szCs w:val="24"/>
              <w:lang w:eastAsia="en-GB"/>
            </w:rPr>
          </w:pPr>
          <w:hyperlink w:anchor="_Toc214200521" w:history="1">
            <w:r w:rsidRPr="0062723B">
              <w:rPr>
                <w:rStyle w:val="Hyperlink"/>
                <w:rFonts w:ascii="Arial" w:hAnsi="Arial" w:cs="Arial"/>
                <w:noProof/>
              </w:rPr>
              <w:t>Recap of Proper Snacks UK’s Innovation Approach</w:t>
            </w:r>
            <w:r>
              <w:rPr>
                <w:noProof/>
                <w:webHidden/>
              </w:rPr>
              <w:tab/>
            </w:r>
            <w:r>
              <w:rPr>
                <w:noProof/>
                <w:webHidden/>
              </w:rPr>
              <w:fldChar w:fldCharType="begin"/>
            </w:r>
            <w:r>
              <w:rPr>
                <w:noProof/>
                <w:webHidden/>
              </w:rPr>
              <w:instrText xml:space="preserve"> PAGEREF _Toc214200521 \h </w:instrText>
            </w:r>
            <w:r>
              <w:rPr>
                <w:noProof/>
                <w:webHidden/>
              </w:rPr>
            </w:r>
            <w:r>
              <w:rPr>
                <w:noProof/>
                <w:webHidden/>
              </w:rPr>
              <w:fldChar w:fldCharType="separate"/>
            </w:r>
            <w:r>
              <w:rPr>
                <w:noProof/>
                <w:webHidden/>
              </w:rPr>
              <w:t>16</w:t>
            </w:r>
            <w:r>
              <w:rPr>
                <w:noProof/>
                <w:webHidden/>
              </w:rPr>
              <w:fldChar w:fldCharType="end"/>
            </w:r>
          </w:hyperlink>
        </w:p>
        <w:p w14:paraId="6ACED90B" w14:textId="3735B84E" w:rsidR="00C44EC1" w:rsidRDefault="00C44EC1">
          <w:pPr>
            <w:pStyle w:val="TOC1"/>
            <w:tabs>
              <w:tab w:val="right" w:leader="dot" w:pos="9016"/>
            </w:tabs>
            <w:rPr>
              <w:rFonts w:eastAsiaTheme="minorEastAsia"/>
              <w:noProof/>
              <w:sz w:val="24"/>
              <w:szCs w:val="24"/>
              <w:lang w:eastAsia="en-GB"/>
            </w:rPr>
          </w:pPr>
          <w:hyperlink w:anchor="_Toc214200522" w:history="1">
            <w:r w:rsidRPr="0062723B">
              <w:rPr>
                <w:rStyle w:val="Hyperlink"/>
                <w:rFonts w:ascii="Arial" w:hAnsi="Arial" w:cs="Arial"/>
                <w:noProof/>
              </w:rPr>
              <w:t>Summary of the Proposed Digital Transformation Initiative – “Proper+”</w:t>
            </w:r>
            <w:r>
              <w:rPr>
                <w:noProof/>
                <w:webHidden/>
              </w:rPr>
              <w:tab/>
            </w:r>
            <w:r>
              <w:rPr>
                <w:noProof/>
                <w:webHidden/>
              </w:rPr>
              <w:fldChar w:fldCharType="begin"/>
            </w:r>
            <w:r>
              <w:rPr>
                <w:noProof/>
                <w:webHidden/>
              </w:rPr>
              <w:instrText xml:space="preserve"> PAGEREF _Toc214200522 \h </w:instrText>
            </w:r>
            <w:r>
              <w:rPr>
                <w:noProof/>
                <w:webHidden/>
              </w:rPr>
            </w:r>
            <w:r>
              <w:rPr>
                <w:noProof/>
                <w:webHidden/>
              </w:rPr>
              <w:fldChar w:fldCharType="separate"/>
            </w:r>
            <w:r>
              <w:rPr>
                <w:noProof/>
                <w:webHidden/>
              </w:rPr>
              <w:t>17</w:t>
            </w:r>
            <w:r>
              <w:rPr>
                <w:noProof/>
                <w:webHidden/>
              </w:rPr>
              <w:fldChar w:fldCharType="end"/>
            </w:r>
          </w:hyperlink>
        </w:p>
        <w:p w14:paraId="1C697AFA" w14:textId="609EF41B" w:rsidR="00C44EC1" w:rsidRDefault="00C44EC1">
          <w:pPr>
            <w:pStyle w:val="TOC1"/>
            <w:tabs>
              <w:tab w:val="right" w:leader="dot" w:pos="9016"/>
            </w:tabs>
            <w:rPr>
              <w:rFonts w:eastAsiaTheme="minorEastAsia"/>
              <w:noProof/>
              <w:sz w:val="24"/>
              <w:szCs w:val="24"/>
              <w:lang w:eastAsia="en-GB"/>
            </w:rPr>
          </w:pPr>
          <w:hyperlink w:anchor="_Toc214200523" w:history="1">
            <w:r w:rsidRPr="0062723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_Toc214200523 \h </w:instrText>
            </w:r>
            <w:r>
              <w:rPr>
                <w:noProof/>
                <w:webHidden/>
              </w:rPr>
            </w:r>
            <w:r>
              <w:rPr>
                <w:noProof/>
                <w:webHidden/>
              </w:rPr>
              <w:fldChar w:fldCharType="separate"/>
            </w:r>
            <w:r>
              <w:rPr>
                <w:noProof/>
                <w:webHidden/>
              </w:rPr>
              <w:t>18</w:t>
            </w:r>
            <w:r>
              <w:rPr>
                <w:noProof/>
                <w:webHidden/>
              </w:rPr>
              <w:fldChar w:fldCharType="end"/>
            </w:r>
          </w:hyperlink>
        </w:p>
        <w:p w14:paraId="29BD76DD" w14:textId="159F8597" w:rsidR="003E4870" w:rsidRPr="00A75D9F" w:rsidRDefault="003E4870" w:rsidP="00A75D9F">
          <w:pPr>
            <w:spacing w:line="360" w:lineRule="auto"/>
            <w:rPr>
              <w:rFonts w:ascii="Arial" w:hAnsi="Arial" w:cs="Arial"/>
            </w:rPr>
          </w:pPr>
          <w:r w:rsidRPr="00A75D9F">
            <w:rPr>
              <w:rFonts w:ascii="Arial" w:hAnsi="Arial" w:cs="Arial"/>
              <w:b/>
              <w:bCs/>
            </w:rPr>
            <w:fldChar w:fldCharType="end"/>
          </w:r>
        </w:p>
      </w:sdtContent>
    </w:sdt>
    <w:p w14:paraId="6BD3A6A6" w14:textId="77777777" w:rsidR="003E4870" w:rsidRPr="00A75D9F" w:rsidRDefault="003E4870" w:rsidP="00A75D9F">
      <w:pPr>
        <w:spacing w:line="360" w:lineRule="auto"/>
        <w:rPr>
          <w:rFonts w:ascii="Arial" w:hAnsi="Arial" w:cs="Arial"/>
        </w:rPr>
      </w:pPr>
    </w:p>
    <w:p w14:paraId="57BC3290" w14:textId="77777777" w:rsidR="003E4870" w:rsidRPr="00A75D9F" w:rsidRDefault="003E4870" w:rsidP="00A75D9F">
      <w:pPr>
        <w:spacing w:line="360" w:lineRule="auto"/>
        <w:rPr>
          <w:rFonts w:ascii="Arial" w:hAnsi="Arial" w:cs="Arial"/>
        </w:rPr>
      </w:pPr>
    </w:p>
    <w:p w14:paraId="389DD36A" w14:textId="77777777" w:rsidR="003E4870" w:rsidRPr="00A75D9F" w:rsidRDefault="003E4870" w:rsidP="00A75D9F">
      <w:pPr>
        <w:spacing w:line="360" w:lineRule="auto"/>
        <w:rPr>
          <w:rFonts w:ascii="Arial" w:hAnsi="Arial" w:cs="Arial"/>
        </w:rPr>
      </w:pPr>
    </w:p>
    <w:p w14:paraId="1AD42528" w14:textId="77777777" w:rsidR="003E4870" w:rsidRPr="00A75D9F" w:rsidRDefault="003E4870" w:rsidP="00A75D9F">
      <w:pPr>
        <w:spacing w:line="360" w:lineRule="auto"/>
        <w:rPr>
          <w:rFonts w:ascii="Arial" w:hAnsi="Arial" w:cs="Arial"/>
        </w:rPr>
      </w:pPr>
    </w:p>
    <w:p w14:paraId="4D5502FD" w14:textId="7535CD51" w:rsidR="00240168" w:rsidRPr="00A75D9F" w:rsidRDefault="00240168" w:rsidP="00A75D9F">
      <w:pPr>
        <w:pStyle w:val="Heading1"/>
        <w:spacing w:line="360" w:lineRule="auto"/>
        <w:rPr>
          <w:rFonts w:ascii="Arial" w:hAnsi="Arial" w:cs="Arial"/>
          <w:sz w:val="22"/>
          <w:szCs w:val="22"/>
        </w:rPr>
      </w:pPr>
      <w:bookmarkStart w:id="0" w:name="_Toc214200503"/>
      <w:r w:rsidRPr="00A75D9F">
        <w:rPr>
          <w:rFonts w:ascii="Arial" w:hAnsi="Arial" w:cs="Arial"/>
          <w:sz w:val="22"/>
          <w:szCs w:val="22"/>
        </w:rPr>
        <w:t>Introduction and Background of Proper Snacks UK</w:t>
      </w:r>
      <w:bookmarkEnd w:id="0"/>
    </w:p>
    <w:p w14:paraId="59F825A3" w14:textId="77777777" w:rsidR="00C853A6" w:rsidRPr="00A75D9F" w:rsidRDefault="00C853A6" w:rsidP="00A75D9F">
      <w:pPr>
        <w:spacing w:line="360" w:lineRule="auto"/>
        <w:rPr>
          <w:rFonts w:ascii="Arial" w:hAnsi="Arial" w:cs="Arial"/>
        </w:rPr>
      </w:pPr>
      <w:r w:rsidRPr="00A75D9F">
        <w:rPr>
          <w:rFonts w:ascii="Arial" w:hAnsi="Arial" w:cs="Arial"/>
        </w:rPr>
        <w:t xml:space="preserve">Proper Snacks UK (formerly </w:t>
      </w:r>
      <w:proofErr w:type="spellStart"/>
      <w:r w:rsidRPr="00A75D9F">
        <w:rPr>
          <w:rFonts w:ascii="Arial" w:hAnsi="Arial" w:cs="Arial"/>
        </w:rPr>
        <w:t>Propercorn</w:t>
      </w:r>
      <w:proofErr w:type="spellEnd"/>
      <w:r w:rsidRPr="00A75D9F">
        <w:rPr>
          <w:rFonts w:ascii="Arial" w:hAnsi="Arial" w:cs="Arial"/>
        </w:rPr>
        <w:t>) was founded in 2011 by Cassandra Stavrou and Ryan Kohn to address rising consumer demand for healthier snacking options (Proper Snacks, 2021). The company later partnered with Eat Real under Exponent Private Equity, forming one of Europe’s largest “better-for-you” snack groups (Exponent, 2021). The UK healthy snack market continues to expand, supported by increasing health consciousness and sustainability awareness among consumers (Mintel, 2023). Proper Snacks positions itself as a purpose-driven brand emphasising bold flavours, clean ingredients, and ethical sourcing (B-Corp, 2022).</w:t>
      </w:r>
    </w:p>
    <w:p w14:paraId="0062C24B" w14:textId="066C5F38" w:rsidR="00240168" w:rsidRPr="00A75D9F" w:rsidRDefault="00240168" w:rsidP="00A75D9F">
      <w:pPr>
        <w:spacing w:line="360" w:lineRule="auto"/>
        <w:rPr>
          <w:rFonts w:ascii="Arial" w:hAnsi="Arial" w:cs="Arial"/>
        </w:rPr>
      </w:pPr>
      <w:r w:rsidRPr="00A75D9F">
        <w:rPr>
          <w:rFonts w:ascii="Arial" w:hAnsi="Arial" w:cs="Arial"/>
        </w:rPr>
        <w:t>In the UK, Proper has established itself as a major player in the healthy / better</w:t>
      </w:r>
      <w:r w:rsidRPr="00A75D9F">
        <w:rPr>
          <w:rFonts w:ascii="Cambria Math" w:hAnsi="Cambria Math" w:cs="Cambria Math"/>
        </w:rPr>
        <w:t>‐</w:t>
      </w:r>
      <w:r w:rsidRPr="00A75D9F">
        <w:rPr>
          <w:rFonts w:ascii="Arial" w:hAnsi="Arial" w:cs="Arial"/>
        </w:rPr>
        <w:t>for</w:t>
      </w:r>
      <w:r w:rsidRPr="00A75D9F">
        <w:rPr>
          <w:rFonts w:ascii="Cambria Math" w:hAnsi="Cambria Math" w:cs="Cambria Math"/>
        </w:rPr>
        <w:t>‐</w:t>
      </w:r>
      <w:r w:rsidRPr="00A75D9F">
        <w:rPr>
          <w:rFonts w:ascii="Arial" w:hAnsi="Arial" w:cs="Arial"/>
        </w:rPr>
        <w:t xml:space="preserve">you snack category. According to an article, sales exceeded £100 m per annum by early 2024. The UK healthy snacks market is projected to grow at a CAGR of ~7.9% from 2025-32, which provides a favourable external context for Proper’s growth ambitions. </w:t>
      </w:r>
    </w:p>
    <w:p w14:paraId="67C46925" w14:textId="6D008BCB" w:rsidR="00240168" w:rsidRPr="00A75D9F" w:rsidRDefault="00240168" w:rsidP="00A75D9F">
      <w:pPr>
        <w:spacing w:line="360" w:lineRule="auto"/>
        <w:rPr>
          <w:rFonts w:ascii="Arial" w:hAnsi="Arial" w:cs="Arial"/>
        </w:rPr>
      </w:pPr>
      <w:r w:rsidRPr="00A75D9F">
        <w:rPr>
          <w:rFonts w:ascii="Arial" w:hAnsi="Arial" w:cs="Arial"/>
        </w:rPr>
        <w:t xml:space="preserve">From company filings: The registered company (Proper Snacks Limited) was incorporated on 9 December 2020. According to </w:t>
      </w:r>
      <w:proofErr w:type="spellStart"/>
      <w:r w:rsidRPr="00A75D9F">
        <w:rPr>
          <w:rFonts w:ascii="Arial" w:hAnsi="Arial" w:cs="Arial"/>
        </w:rPr>
        <w:t>Endole</w:t>
      </w:r>
      <w:proofErr w:type="spellEnd"/>
      <w:r w:rsidRPr="00A75D9F">
        <w:rPr>
          <w:rFonts w:ascii="Arial" w:hAnsi="Arial" w:cs="Arial"/>
        </w:rPr>
        <w:t>, for the period ended 29 December 2024, the turnover is shown as £8.55 m, employees ~10. (Note: this may reflect a smaller-entity filing or a specific holding company rather than full group revenue).</w:t>
      </w:r>
    </w:p>
    <w:p w14:paraId="7502AF98" w14:textId="5B4A2DA1" w:rsidR="00240168" w:rsidRPr="00A75D9F" w:rsidRDefault="00240168" w:rsidP="00A75D9F">
      <w:pPr>
        <w:spacing w:line="360" w:lineRule="auto"/>
        <w:rPr>
          <w:rFonts w:ascii="Arial" w:hAnsi="Arial" w:cs="Arial"/>
        </w:rPr>
      </w:pPr>
      <w:r w:rsidRPr="00A75D9F">
        <w:rPr>
          <w:rFonts w:ascii="Arial" w:hAnsi="Arial" w:cs="Arial"/>
        </w:rPr>
        <w:t xml:space="preserve">In terms of objectives, Proper’s mission is to “make snacks that taste great and do good” (as the Modern Slavery Statement puts it). It emphasises better-for-you snacking (i.e., natural seasonings, no palm oil, portion control, healthy credentials) and sustainability (they were one of the first B-Corp certified snack companies in the UK). </w:t>
      </w:r>
    </w:p>
    <w:p w14:paraId="03174BD0" w14:textId="77777777" w:rsidR="00240168" w:rsidRPr="00A75D9F" w:rsidRDefault="00240168" w:rsidP="00A75D9F">
      <w:pPr>
        <w:spacing w:line="360" w:lineRule="auto"/>
        <w:rPr>
          <w:rFonts w:ascii="Arial" w:hAnsi="Arial" w:cs="Arial"/>
        </w:rPr>
      </w:pPr>
      <w:r w:rsidRPr="00A75D9F">
        <w:rPr>
          <w:rFonts w:ascii="Arial" w:hAnsi="Arial" w:cs="Arial"/>
        </w:rPr>
        <w:t xml:space="preserve">Key competitors in the UK healthy snacking / better-for-you arena include brands such as Graze, </w:t>
      </w:r>
      <w:proofErr w:type="spellStart"/>
      <w:r w:rsidRPr="00A75D9F">
        <w:rPr>
          <w:rFonts w:ascii="Arial" w:hAnsi="Arial" w:cs="Arial"/>
        </w:rPr>
        <w:t>Nakd</w:t>
      </w:r>
      <w:proofErr w:type="spellEnd"/>
      <w:r w:rsidRPr="00A75D9F">
        <w:rPr>
          <w:rFonts w:ascii="Arial" w:hAnsi="Arial" w:cs="Arial"/>
        </w:rPr>
        <w:t>., Tyrrells (for premium crisps), and conventional snack giants shifting into healthier formats. The broader category is crowded, but Proper has built strong brand equity and distinctive positioning.</w:t>
      </w:r>
    </w:p>
    <w:p w14:paraId="2FC42C20" w14:textId="54480E09" w:rsidR="00240168" w:rsidRPr="00A75D9F" w:rsidRDefault="00240168" w:rsidP="00A75D9F">
      <w:pPr>
        <w:spacing w:line="360" w:lineRule="auto"/>
        <w:rPr>
          <w:rFonts w:ascii="Arial" w:hAnsi="Arial" w:cs="Arial"/>
        </w:rPr>
      </w:pPr>
      <w:r w:rsidRPr="00A75D9F">
        <w:rPr>
          <w:rFonts w:ascii="Arial" w:hAnsi="Arial" w:cs="Arial"/>
        </w:rPr>
        <w:t xml:space="preserve">While I could not locate a precise public “market share” figure for Proper in the UK healthy snack market, the fact that it is reported to be one of the fastest-growing brands and has national retailer listings suggests a strong foothold. For example, it is described as “one of the fastest-growing brands in the UK healthy snack category” and “sales exceeding £100m per annum” in 2024. </w:t>
      </w:r>
    </w:p>
    <w:p w14:paraId="13DD9EFF" w14:textId="77777777" w:rsidR="00240168" w:rsidRPr="00A75D9F" w:rsidRDefault="00240168" w:rsidP="00A75D9F">
      <w:pPr>
        <w:spacing w:line="360" w:lineRule="auto"/>
        <w:rPr>
          <w:rFonts w:ascii="Arial" w:hAnsi="Arial" w:cs="Arial"/>
        </w:rPr>
      </w:pPr>
      <w:r w:rsidRPr="00A75D9F">
        <w:rPr>
          <w:rFonts w:ascii="Arial" w:hAnsi="Arial" w:cs="Arial"/>
        </w:rPr>
        <w:t xml:space="preserve">In summary: Proper Snacks UK is a challenger brand in the better-for-you snacking category, established 2011, scaled significantly, with a clear mission around </w:t>
      </w:r>
      <w:r w:rsidRPr="00A75D9F">
        <w:rPr>
          <w:rFonts w:ascii="Arial" w:hAnsi="Arial" w:cs="Arial"/>
        </w:rPr>
        <w:lastRenderedPageBreak/>
        <w:t>health/sustainability, operating in a rapidly growing UK market, facing both legacy competitors and new entrants in snack innovation.</w:t>
      </w:r>
    </w:p>
    <w:p w14:paraId="5A5600AA" w14:textId="77777777" w:rsidR="00240168" w:rsidRPr="00A75D9F" w:rsidRDefault="00240168" w:rsidP="00C44EC1">
      <w:pPr>
        <w:pStyle w:val="Heading1"/>
        <w:rPr>
          <w:rFonts w:ascii="Arial" w:hAnsi="Arial" w:cs="Arial"/>
          <w:sz w:val="22"/>
          <w:szCs w:val="22"/>
        </w:rPr>
      </w:pPr>
      <w:bookmarkStart w:id="1" w:name="_Toc214200504"/>
      <w:r w:rsidRPr="00A75D9F">
        <w:rPr>
          <w:rFonts w:ascii="Arial" w:hAnsi="Arial" w:cs="Arial"/>
          <w:sz w:val="22"/>
          <w:szCs w:val="22"/>
        </w:rPr>
        <w:t>Innovation Ambition Matrix – Proper Snacks UK</w:t>
      </w:r>
      <w:bookmarkEnd w:id="1"/>
    </w:p>
    <w:p w14:paraId="39E7B90F" w14:textId="6DD50948" w:rsidR="00837C8F" w:rsidRPr="00A75D9F" w:rsidRDefault="00240168" w:rsidP="00A75D9F">
      <w:pPr>
        <w:spacing w:line="360" w:lineRule="auto"/>
        <w:rPr>
          <w:rFonts w:ascii="Arial" w:hAnsi="Arial" w:cs="Arial"/>
        </w:rPr>
      </w:pPr>
      <w:r w:rsidRPr="00A75D9F">
        <w:rPr>
          <w:rFonts w:ascii="Arial" w:hAnsi="Arial" w:cs="Arial"/>
        </w:rPr>
        <w:t>The Innovation Ambition Matrix (as introduced by Mohammed </w:t>
      </w:r>
      <w:proofErr w:type="spellStart"/>
      <w:r w:rsidRPr="00A75D9F">
        <w:rPr>
          <w:rFonts w:ascii="Arial" w:hAnsi="Arial" w:cs="Arial"/>
        </w:rPr>
        <w:t>Nagji</w:t>
      </w:r>
      <w:proofErr w:type="spellEnd"/>
      <w:r w:rsidRPr="00A75D9F">
        <w:rPr>
          <w:rFonts w:ascii="Arial" w:hAnsi="Arial" w:cs="Arial"/>
        </w:rPr>
        <w:t xml:space="preserve"> &amp; Geoffrey Tuff (2012)) is a useful framework to categorise an organisation’s innovation initiatives into three levels: Core, Adjacent, and Transformational. (Note: while I do not have access to the full article text here, I will summarise the principle from standard literature.)</w:t>
      </w:r>
    </w:p>
    <w:p w14:paraId="3CCF9593" w14:textId="77777777" w:rsidR="00837C8F" w:rsidRPr="00A75D9F" w:rsidRDefault="00837C8F" w:rsidP="00A75D9F">
      <w:pPr>
        <w:spacing w:line="360" w:lineRule="auto"/>
        <w:rPr>
          <w:rFonts w:ascii="Arial" w:hAnsi="Arial" w:cs="Arial"/>
        </w:rPr>
      </w:pPr>
    </w:p>
    <w:p w14:paraId="4FC5CEF4" w14:textId="135A02EF" w:rsidR="00837C8F" w:rsidRPr="00A75D9F" w:rsidRDefault="00837C8F" w:rsidP="00A75D9F">
      <w:pPr>
        <w:spacing w:line="360" w:lineRule="auto"/>
        <w:rPr>
          <w:rFonts w:ascii="Arial" w:hAnsi="Arial" w:cs="Arial"/>
        </w:rPr>
      </w:pPr>
      <w:r w:rsidRPr="00A75D9F">
        <w:rPr>
          <w:rFonts w:ascii="Arial" w:hAnsi="Arial" w:cs="Arial"/>
          <w:noProof/>
        </w:rPr>
        <w:drawing>
          <wp:inline distT="0" distB="0" distL="0" distR="0" wp14:anchorId="7F2F5081" wp14:editId="7FC8AA94">
            <wp:extent cx="5486400" cy="3200400"/>
            <wp:effectExtent l="0" t="0" r="38100" b="0"/>
            <wp:docPr id="90026672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B70F40C" w14:textId="6D53DD04" w:rsidR="00240168" w:rsidRPr="00A75D9F" w:rsidRDefault="00C853A6" w:rsidP="00A75D9F">
      <w:pPr>
        <w:spacing w:line="360" w:lineRule="auto"/>
        <w:rPr>
          <w:rFonts w:ascii="Arial" w:hAnsi="Arial" w:cs="Arial"/>
        </w:rPr>
      </w:pPr>
      <w:r w:rsidRPr="00A75D9F">
        <w:rPr>
          <w:rFonts w:ascii="Arial" w:hAnsi="Arial" w:cs="Arial"/>
        </w:rPr>
        <w:t>Core innovation focuses on incremental enhancement to current products and processes (</w:t>
      </w:r>
      <w:proofErr w:type="spellStart"/>
      <w:r w:rsidRPr="00A75D9F">
        <w:rPr>
          <w:rFonts w:ascii="Arial" w:hAnsi="Arial" w:cs="Arial"/>
        </w:rPr>
        <w:t>Nagji</w:t>
      </w:r>
      <w:proofErr w:type="spellEnd"/>
      <w:r w:rsidRPr="00A75D9F">
        <w:rPr>
          <w:rFonts w:ascii="Arial" w:hAnsi="Arial" w:cs="Arial"/>
        </w:rPr>
        <w:t xml:space="preserve"> and Tuff, 2012). Proper continually refines flavours, packaging, and production processes to maintain consumer appeal (Proper Snacks, 2022). Investing in efficient packaging machinery has improved quality and consistency (Food Manufacture, 2023). Expanding supermarket listings also reinforces its presence in the core UK snacks market (Retail Gazette, 2023).</w:t>
      </w:r>
    </w:p>
    <w:p w14:paraId="6FAF174F" w14:textId="77777777" w:rsidR="002818C4" w:rsidRPr="00A75D9F" w:rsidRDefault="002818C4" w:rsidP="00A75D9F">
      <w:pPr>
        <w:spacing w:line="360" w:lineRule="auto"/>
        <w:rPr>
          <w:rFonts w:ascii="Arial" w:hAnsi="Arial" w:cs="Arial"/>
        </w:rPr>
      </w:pPr>
      <w:r w:rsidRPr="00A75D9F">
        <w:rPr>
          <w:rFonts w:ascii="Arial" w:hAnsi="Arial" w:cs="Arial"/>
        </w:rPr>
        <w:t xml:space="preserve">Proper Snacks UK demonstrates a layered approach to innovation that aligns with </w:t>
      </w:r>
      <w:proofErr w:type="spellStart"/>
      <w:r w:rsidRPr="00A75D9F">
        <w:rPr>
          <w:rFonts w:ascii="Arial" w:hAnsi="Arial" w:cs="Arial"/>
        </w:rPr>
        <w:t>Nagji</w:t>
      </w:r>
      <w:proofErr w:type="spellEnd"/>
      <w:r w:rsidRPr="00A75D9F">
        <w:rPr>
          <w:rFonts w:ascii="Arial" w:hAnsi="Arial" w:cs="Arial"/>
        </w:rPr>
        <w:t xml:space="preserve"> and Tuff’s (2012) innovation ambition model, integrating core, adjacent and emerging transformational efforts. Core innovation focuses on reinforcing the existing business by improving product quality, consistency and operational capability. This is evident in the continuous refinement of packaging design, flavour development and production efficiency, which ensures that the brand remains competitive within the healthy snacking category. The </w:t>
      </w:r>
      <w:r w:rsidRPr="00A75D9F">
        <w:rPr>
          <w:rFonts w:ascii="Arial" w:hAnsi="Arial" w:cs="Arial"/>
        </w:rPr>
        <w:lastRenderedPageBreak/>
        <w:t>expansion of retail placement, from initial distribution into major supermarket chains to broader commercial availability, further strengthens the organisation’s foundational market presence. Investments in manufacturing and automated packaging systems have additionally improved product reliability and operational effectiveness, supporting long-term scalability.</w:t>
      </w:r>
    </w:p>
    <w:p w14:paraId="2B1E2E9B" w14:textId="77777777" w:rsidR="002818C4" w:rsidRPr="00A75D9F" w:rsidRDefault="002818C4" w:rsidP="00A75D9F">
      <w:pPr>
        <w:spacing w:line="360" w:lineRule="auto"/>
        <w:rPr>
          <w:rFonts w:ascii="Arial" w:hAnsi="Arial" w:cs="Arial"/>
        </w:rPr>
      </w:pPr>
      <w:r w:rsidRPr="00A75D9F">
        <w:rPr>
          <w:rFonts w:ascii="Arial" w:hAnsi="Arial" w:cs="Arial"/>
        </w:rPr>
        <w:t>Adjacent innovation extends the brand’s established competencies into new product forms and markets. Transitioning from popcorn to lentil-based chips represents a strategic evolution in product diversification, appealing to consumers seeking alternative textures and nutritional benefits (The Grocer, 2022). International market expansion has also widened Proper’s consumer base, with distribution now spanning multiple regions (Proper Snacks, 2022). Experimentation with plant-based and allergen-aware ingredients reflects responsiveness to evolving consumer preferences for healthier, functional and inclusive food offerings (Mintel, 2023).</w:t>
      </w:r>
    </w:p>
    <w:p w14:paraId="3FEEC25B" w14:textId="77777777" w:rsidR="002818C4" w:rsidRPr="00A75D9F" w:rsidRDefault="002818C4" w:rsidP="00A75D9F">
      <w:pPr>
        <w:spacing w:line="360" w:lineRule="auto"/>
        <w:rPr>
          <w:rFonts w:ascii="Arial" w:hAnsi="Arial" w:cs="Arial"/>
        </w:rPr>
      </w:pPr>
      <w:r w:rsidRPr="00A75D9F">
        <w:rPr>
          <w:rFonts w:ascii="Arial" w:hAnsi="Arial" w:cs="Arial"/>
        </w:rPr>
        <w:t xml:space="preserve">Transformational innovation, although less mature, presents significant strategic potential. Transformational change involves the creation of new business models or consumption logics that alter the market landscape (Christensen, 1997). For Proper, this includes the development of digital direct-to-consumer ecosystems, subscription models and personalised product discovery pathways that move the brand beyond traditional retail channels (Grewal, Roggeveen and </w:t>
      </w:r>
      <w:proofErr w:type="spellStart"/>
      <w:r w:rsidRPr="00A75D9F">
        <w:rPr>
          <w:rFonts w:ascii="Arial" w:hAnsi="Arial" w:cs="Arial"/>
        </w:rPr>
        <w:t>Nordfält</w:t>
      </w:r>
      <w:proofErr w:type="spellEnd"/>
      <w:r w:rsidRPr="00A75D9F">
        <w:rPr>
          <w:rFonts w:ascii="Arial" w:hAnsi="Arial" w:cs="Arial"/>
        </w:rPr>
        <w:t>, 2020). Furthermore, integrating sustainability transparency through digital traceability or circular packaging redesign would allow consumers to participate actively in environmental stewardship (B-Corp, 2022). These initiatives position the brand to respond to the growing influence of digital-native consumer cultures and rising expectations for ethical and interactive product experiences.</w:t>
      </w:r>
    </w:p>
    <w:p w14:paraId="45A2F2ED" w14:textId="77777777" w:rsidR="002818C4" w:rsidRPr="00A75D9F" w:rsidRDefault="002818C4" w:rsidP="00A75D9F">
      <w:pPr>
        <w:spacing w:line="360" w:lineRule="auto"/>
        <w:rPr>
          <w:rFonts w:ascii="Arial" w:hAnsi="Arial" w:cs="Arial"/>
        </w:rPr>
      </w:pPr>
      <w:r w:rsidRPr="00A75D9F">
        <w:rPr>
          <w:rFonts w:ascii="Arial" w:hAnsi="Arial" w:cs="Arial"/>
        </w:rPr>
        <w:t>Together, these innovation horizons indicate a balanced and strategically coherent approach. Core and adjacent innovation maintain competitiveness in the present, while transformational innovation prepares the organisation for future market shifts. This portfolio-based method supports continued growth, differentiation and resilience in a dynamic and highly competitive sector.</w:t>
      </w:r>
    </w:p>
    <w:p w14:paraId="2F2BF479" w14:textId="77777777" w:rsidR="00240168" w:rsidRPr="00A75D9F" w:rsidRDefault="00240168" w:rsidP="00A75D9F">
      <w:pPr>
        <w:spacing w:line="360" w:lineRule="auto"/>
        <w:rPr>
          <w:rFonts w:ascii="Arial" w:hAnsi="Arial" w:cs="Arial"/>
        </w:rPr>
      </w:pPr>
      <w:r w:rsidRPr="00A75D9F">
        <w:rPr>
          <w:rFonts w:ascii="Arial" w:hAnsi="Arial" w:cs="Arial"/>
        </w:rPr>
        <w:t>In summary:</w:t>
      </w:r>
    </w:p>
    <w:p w14:paraId="444E832C" w14:textId="77777777" w:rsidR="00240168" w:rsidRPr="00A75D9F" w:rsidRDefault="00240168" w:rsidP="00A75D9F">
      <w:pPr>
        <w:spacing w:line="360" w:lineRule="auto"/>
        <w:rPr>
          <w:rFonts w:ascii="Arial" w:hAnsi="Arial" w:cs="Arial"/>
        </w:rPr>
      </w:pPr>
      <w:r w:rsidRPr="00A75D9F">
        <w:rPr>
          <w:rFonts w:ascii="Arial" w:hAnsi="Arial" w:cs="Arial"/>
        </w:rPr>
        <w:t>Proper’s strength in brand, healthy credentials and agile manufacturing gives it a solid core/adjacent innovation base.</w:t>
      </w:r>
    </w:p>
    <w:p w14:paraId="130B1830" w14:textId="77777777" w:rsidR="00240168" w:rsidRPr="00A75D9F" w:rsidRDefault="00240168" w:rsidP="00A75D9F">
      <w:pPr>
        <w:spacing w:line="360" w:lineRule="auto"/>
        <w:rPr>
          <w:rFonts w:ascii="Arial" w:hAnsi="Arial" w:cs="Arial"/>
        </w:rPr>
      </w:pPr>
      <w:r w:rsidRPr="00A75D9F">
        <w:rPr>
          <w:rFonts w:ascii="Arial" w:hAnsi="Arial" w:cs="Arial"/>
        </w:rPr>
        <w:t>Its challenge will be to move convincingly into transformational innovation—digital platforms, new snack ecosystems, sustainability leadership—so as to secure long</w:t>
      </w:r>
      <w:r w:rsidRPr="00A75D9F">
        <w:rPr>
          <w:rFonts w:ascii="Cambria Math" w:hAnsi="Cambria Math" w:cs="Cambria Math"/>
        </w:rPr>
        <w:t>‐</w:t>
      </w:r>
      <w:r w:rsidRPr="00A75D9F">
        <w:rPr>
          <w:rFonts w:ascii="Arial" w:hAnsi="Arial" w:cs="Arial"/>
        </w:rPr>
        <w:t>term differentiated growth.</w:t>
      </w:r>
    </w:p>
    <w:p w14:paraId="73701DAE" w14:textId="6B3D213D" w:rsidR="00B23902" w:rsidRPr="00A75D9F" w:rsidRDefault="00240168" w:rsidP="00A75D9F">
      <w:pPr>
        <w:spacing w:line="360" w:lineRule="auto"/>
        <w:rPr>
          <w:rFonts w:ascii="Arial" w:hAnsi="Arial" w:cs="Arial"/>
        </w:rPr>
      </w:pPr>
      <w:r w:rsidRPr="00A75D9F">
        <w:rPr>
          <w:rFonts w:ascii="Arial" w:hAnsi="Arial" w:cs="Arial"/>
        </w:rPr>
        <w:lastRenderedPageBreak/>
        <w:t>The innovation ambition matrix suggests resource allocation: perhaps continue to support core (say ~70%), adjacent (~20%) and transformational (~10%) or other permutations depending on risk appetite.</w:t>
      </w:r>
    </w:p>
    <w:p w14:paraId="5263DD64" w14:textId="10AA3C39" w:rsidR="009B6DDE" w:rsidRPr="00A75D9F" w:rsidRDefault="00240168" w:rsidP="00A75D9F">
      <w:pPr>
        <w:pStyle w:val="Heading1"/>
        <w:spacing w:line="360" w:lineRule="auto"/>
        <w:rPr>
          <w:rFonts w:ascii="Arial" w:hAnsi="Arial" w:cs="Arial"/>
          <w:sz w:val="22"/>
          <w:szCs w:val="22"/>
        </w:rPr>
      </w:pPr>
      <w:bookmarkStart w:id="2" w:name="_Toc214200505"/>
      <w:r w:rsidRPr="00A75D9F">
        <w:rPr>
          <w:rFonts w:ascii="Arial" w:hAnsi="Arial" w:cs="Arial"/>
          <w:sz w:val="22"/>
          <w:szCs w:val="22"/>
        </w:rPr>
        <w:t>Customer Journey Mapping – Proper Snacks UK</w:t>
      </w:r>
      <w:bookmarkEnd w:id="2"/>
    </w:p>
    <w:p w14:paraId="51ACF990" w14:textId="2F2F82F0" w:rsidR="00C97DDC" w:rsidRPr="00A75D9F" w:rsidRDefault="00240168" w:rsidP="00A75D9F">
      <w:pPr>
        <w:spacing w:line="360" w:lineRule="auto"/>
        <w:rPr>
          <w:rFonts w:ascii="Arial" w:hAnsi="Arial" w:cs="Arial"/>
        </w:rPr>
      </w:pPr>
      <w:r w:rsidRPr="00A75D9F">
        <w:rPr>
          <w:rFonts w:ascii="Arial" w:hAnsi="Arial" w:cs="Arial"/>
        </w:rPr>
        <w:t>Mapping the customer journey helps identify how consumers engage with the brand, where the “pain” (frictions) and “gain” (delighters) points are, and where digital innovations might enhance the experience. I adopt frameworks from Joanna Lemon &amp; Peter Verhoef (2016) on customer experience and digital transformation, and ground the journey in service</w:t>
      </w:r>
      <w:r w:rsidRPr="00A75D9F">
        <w:rPr>
          <w:rFonts w:ascii="Cambria Math" w:hAnsi="Cambria Math" w:cs="Cambria Math"/>
        </w:rPr>
        <w:t>‐</w:t>
      </w:r>
      <w:r w:rsidRPr="00A75D9F">
        <w:rPr>
          <w:rFonts w:ascii="Arial" w:hAnsi="Arial" w:cs="Arial"/>
        </w:rPr>
        <w:t>dominant logic (Vargo &amp; Lusch, 2004) emphasising co-creation of value and touches beyond simple transactions.</w:t>
      </w:r>
    </w:p>
    <w:p w14:paraId="255E880A" w14:textId="2DAFF093" w:rsidR="00240168" w:rsidRPr="00A75D9F" w:rsidRDefault="00240168" w:rsidP="00A75D9F">
      <w:pPr>
        <w:pStyle w:val="Heading2"/>
        <w:spacing w:line="360" w:lineRule="auto"/>
        <w:rPr>
          <w:rFonts w:ascii="Arial" w:hAnsi="Arial" w:cs="Arial"/>
          <w:sz w:val="22"/>
          <w:szCs w:val="22"/>
        </w:rPr>
      </w:pPr>
      <w:bookmarkStart w:id="3" w:name="_Toc214200506"/>
      <w:r w:rsidRPr="00A75D9F">
        <w:rPr>
          <w:rFonts w:ascii="Arial" w:hAnsi="Arial" w:cs="Arial"/>
          <w:sz w:val="22"/>
          <w:szCs w:val="22"/>
        </w:rPr>
        <w:t>Customer personas &amp; scenario</w:t>
      </w:r>
      <w:bookmarkEnd w:id="3"/>
    </w:p>
    <w:p w14:paraId="36959E68" w14:textId="77777777" w:rsidR="00240168" w:rsidRPr="00A75D9F" w:rsidRDefault="00240168" w:rsidP="00A75D9F">
      <w:pPr>
        <w:spacing w:line="360" w:lineRule="auto"/>
        <w:rPr>
          <w:rFonts w:ascii="Arial" w:hAnsi="Arial" w:cs="Arial"/>
        </w:rPr>
      </w:pPr>
      <w:r w:rsidRPr="00A75D9F">
        <w:rPr>
          <w:rFonts w:ascii="Arial" w:hAnsi="Arial" w:cs="Arial"/>
        </w:rPr>
        <w:t>Let’s imagine a core consumer: “Busy health-conscious professional” (aged 25-40), living in the UK, who snacks on-the-go and seeks better-for-you alternatives. They buy Proper either via supermarket/instore or online (D2C or retail e-commerce).</w:t>
      </w:r>
    </w:p>
    <w:p w14:paraId="76ACADCC" w14:textId="3F55D3B8" w:rsidR="00240168" w:rsidRPr="00A75D9F" w:rsidRDefault="00240168" w:rsidP="00A75D9F">
      <w:pPr>
        <w:spacing w:line="360" w:lineRule="auto"/>
        <w:rPr>
          <w:rFonts w:ascii="Arial" w:hAnsi="Arial" w:cs="Arial"/>
        </w:rPr>
      </w:pPr>
      <w:r w:rsidRPr="00A75D9F">
        <w:rPr>
          <w:rFonts w:ascii="Arial" w:hAnsi="Arial" w:cs="Arial"/>
        </w:rPr>
        <w:t>Customer Journey Map – Key stages, touchpoints, pain/gain, digital opportunities</w:t>
      </w:r>
      <w:r w:rsidR="00426D98" w:rsidRPr="00A75D9F">
        <w:rPr>
          <w:rFonts w:ascii="Arial" w:hAnsi="Arial" w:cs="Arial"/>
          <w:noProof/>
        </w:rPr>
        <w:drawing>
          <wp:inline distT="0" distB="0" distL="0" distR="0" wp14:anchorId="25171E05" wp14:editId="357E805C">
            <wp:extent cx="5731510" cy="2405380"/>
            <wp:effectExtent l="0" t="0" r="2540" b="0"/>
            <wp:docPr id="2073594920" name="Picture 4" descr="A grid of white boxe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594920" name="Picture 4" descr="A grid of white boxes with black tex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405380"/>
                    </a:xfrm>
                    <a:prstGeom prst="rect">
                      <a:avLst/>
                    </a:prstGeom>
                  </pic:spPr>
                </pic:pic>
              </a:graphicData>
            </a:graphic>
          </wp:inline>
        </w:drawing>
      </w:r>
    </w:p>
    <w:p w14:paraId="360FEDFB" w14:textId="77777777" w:rsidR="00B23902" w:rsidRPr="00A75D9F" w:rsidRDefault="00B23902" w:rsidP="00A75D9F">
      <w:pPr>
        <w:spacing w:line="360" w:lineRule="auto"/>
        <w:rPr>
          <w:rFonts w:ascii="Arial" w:hAnsi="Arial" w:cs="Arial"/>
        </w:rPr>
      </w:pPr>
    </w:p>
    <w:p w14:paraId="69A968E3" w14:textId="7AD7976B" w:rsidR="00DC038F" w:rsidRPr="00A75D9F" w:rsidRDefault="00DC038F" w:rsidP="00A75D9F">
      <w:pPr>
        <w:spacing w:line="360" w:lineRule="auto"/>
        <w:rPr>
          <w:rFonts w:ascii="Arial" w:hAnsi="Arial" w:cs="Arial"/>
        </w:rPr>
      </w:pPr>
      <w:r w:rsidRPr="00A75D9F">
        <w:rPr>
          <w:rFonts w:ascii="Arial" w:hAnsi="Arial" w:cs="Arial"/>
        </w:rPr>
        <w:t>Identify the Core Problem (based on pain points in the customer journey)</w:t>
      </w:r>
    </w:p>
    <w:p w14:paraId="2329B9B6" w14:textId="77777777" w:rsidR="00DC038F" w:rsidRPr="00A75D9F" w:rsidRDefault="00DC038F" w:rsidP="00A75D9F">
      <w:pPr>
        <w:spacing w:line="360" w:lineRule="auto"/>
        <w:rPr>
          <w:rFonts w:ascii="Arial" w:hAnsi="Arial" w:cs="Arial"/>
        </w:rPr>
      </w:pPr>
      <w:r w:rsidRPr="00A75D9F">
        <w:rPr>
          <w:rFonts w:ascii="Arial" w:hAnsi="Arial" w:cs="Arial"/>
        </w:rPr>
        <w:t>From the mapped journey, the main pain points can be summarised as follows:</w:t>
      </w:r>
    </w:p>
    <w:p w14:paraId="12C64E84" w14:textId="77777777" w:rsidR="00DC038F" w:rsidRPr="00A75D9F" w:rsidRDefault="00DC038F" w:rsidP="00A75D9F">
      <w:pPr>
        <w:spacing w:line="360" w:lineRule="auto"/>
        <w:rPr>
          <w:rFonts w:ascii="Arial" w:hAnsi="Arial" w:cs="Arial"/>
        </w:rPr>
      </w:pPr>
      <w:r w:rsidRPr="00A75D9F">
        <w:rPr>
          <w:rFonts w:ascii="Arial" w:hAnsi="Arial" w:cs="Arial"/>
        </w:rPr>
        <w:t>Fragmented digital engagement: Customers experience a disconnect between social media awareness and meaningful brand interaction post-purchase — no cohesive digital ecosystem to sustain engagement.</w:t>
      </w:r>
    </w:p>
    <w:p w14:paraId="5CBED7CC" w14:textId="77777777" w:rsidR="00DC038F" w:rsidRPr="00A75D9F" w:rsidRDefault="00DC038F" w:rsidP="00A75D9F">
      <w:pPr>
        <w:spacing w:line="360" w:lineRule="auto"/>
        <w:rPr>
          <w:rFonts w:ascii="Arial" w:hAnsi="Arial" w:cs="Arial"/>
        </w:rPr>
      </w:pPr>
      <w:r w:rsidRPr="00A75D9F">
        <w:rPr>
          <w:rFonts w:ascii="Arial" w:hAnsi="Arial" w:cs="Arial"/>
        </w:rPr>
        <w:lastRenderedPageBreak/>
        <w:t>Limited personalisation: The brand does not yet provide personalised product recommendations or content based on user preferences, leading to decision fatigue at the point of selection.</w:t>
      </w:r>
    </w:p>
    <w:p w14:paraId="20698FA4" w14:textId="77777777" w:rsidR="00DC038F" w:rsidRPr="00A75D9F" w:rsidRDefault="00DC038F" w:rsidP="00A75D9F">
      <w:pPr>
        <w:spacing w:line="360" w:lineRule="auto"/>
        <w:rPr>
          <w:rFonts w:ascii="Arial" w:hAnsi="Arial" w:cs="Arial"/>
        </w:rPr>
      </w:pPr>
      <w:r w:rsidRPr="00A75D9F">
        <w:rPr>
          <w:rFonts w:ascii="Arial" w:hAnsi="Arial" w:cs="Arial"/>
        </w:rPr>
        <w:t>Lack of post-purchase feedback loop: There is minimal digital feedback or reward mechanism for customers who want to interact after consuming the product.</w:t>
      </w:r>
    </w:p>
    <w:p w14:paraId="0CB85AF3" w14:textId="77777777" w:rsidR="00DC038F" w:rsidRPr="00A75D9F" w:rsidRDefault="00DC038F" w:rsidP="00A75D9F">
      <w:pPr>
        <w:spacing w:line="360" w:lineRule="auto"/>
        <w:rPr>
          <w:rFonts w:ascii="Arial" w:hAnsi="Arial" w:cs="Arial"/>
        </w:rPr>
      </w:pPr>
      <w:r w:rsidRPr="00A75D9F">
        <w:rPr>
          <w:rFonts w:ascii="Arial" w:hAnsi="Arial" w:cs="Arial"/>
        </w:rPr>
        <w:t>Absence of loyalty integration: While Proper’s values resonate with customers, there is no structured loyalty or gamified system that sustains brand advocacy and repeat purchase behaviour.</w:t>
      </w:r>
    </w:p>
    <w:p w14:paraId="1785E3FD" w14:textId="77777777" w:rsidR="00DC038F" w:rsidRPr="00A75D9F" w:rsidRDefault="00DC038F" w:rsidP="00A75D9F">
      <w:pPr>
        <w:spacing w:line="360" w:lineRule="auto"/>
        <w:rPr>
          <w:rFonts w:ascii="Arial" w:hAnsi="Arial" w:cs="Arial"/>
        </w:rPr>
      </w:pPr>
      <w:r w:rsidRPr="00A75D9F">
        <w:rPr>
          <w:rFonts w:ascii="Arial" w:hAnsi="Arial" w:cs="Arial"/>
        </w:rPr>
        <w:t>Core Problem Statement:</w:t>
      </w:r>
    </w:p>
    <w:p w14:paraId="06880DDF" w14:textId="77777777" w:rsidR="00DC038F" w:rsidRPr="00A75D9F" w:rsidRDefault="00DC038F" w:rsidP="00A75D9F">
      <w:pPr>
        <w:spacing w:line="360" w:lineRule="auto"/>
        <w:rPr>
          <w:rFonts w:ascii="Arial" w:hAnsi="Arial" w:cs="Arial"/>
        </w:rPr>
      </w:pPr>
      <w:r w:rsidRPr="00A75D9F">
        <w:rPr>
          <w:rFonts w:ascii="Arial" w:hAnsi="Arial" w:cs="Arial"/>
        </w:rPr>
        <w:t>Proper Snacks lacks a unified, data-driven digital ecosystem that personalises the customer journey, captures feedback, and builds sustained loyalty — limiting engagement and long-term customer lifetime value (Lemon &amp; Verhoef, 2016; Payne et al., 2020).</w:t>
      </w:r>
    </w:p>
    <w:p w14:paraId="7DB51FA8" w14:textId="1E5B9DA2" w:rsidR="00240168" w:rsidRPr="00A75D9F" w:rsidRDefault="00240168" w:rsidP="00A75D9F">
      <w:pPr>
        <w:pStyle w:val="Heading2"/>
        <w:spacing w:line="360" w:lineRule="auto"/>
        <w:rPr>
          <w:rFonts w:ascii="Arial" w:hAnsi="Arial" w:cs="Arial"/>
          <w:sz w:val="22"/>
          <w:szCs w:val="22"/>
        </w:rPr>
      </w:pPr>
      <w:bookmarkStart w:id="4" w:name="_Toc214200507"/>
      <w:r w:rsidRPr="00A75D9F">
        <w:rPr>
          <w:rFonts w:ascii="Arial" w:hAnsi="Arial" w:cs="Arial"/>
          <w:sz w:val="22"/>
          <w:szCs w:val="22"/>
        </w:rPr>
        <w:t>Visualised Journey</w:t>
      </w:r>
      <w:bookmarkEnd w:id="4"/>
    </w:p>
    <w:p w14:paraId="288C6C90" w14:textId="64A52F6E" w:rsidR="00240168" w:rsidRPr="00A75D9F" w:rsidRDefault="002270C1" w:rsidP="00A75D9F">
      <w:pPr>
        <w:spacing w:line="360" w:lineRule="auto"/>
        <w:rPr>
          <w:rFonts w:ascii="Arial" w:hAnsi="Arial" w:cs="Arial"/>
        </w:rPr>
      </w:pPr>
      <w:r w:rsidRPr="00A75D9F">
        <w:rPr>
          <w:rFonts w:ascii="Arial" w:hAnsi="Arial" w:cs="Arial"/>
        </w:rPr>
        <w:t>Below is</w:t>
      </w:r>
      <w:r w:rsidR="00240168" w:rsidRPr="00A75D9F">
        <w:rPr>
          <w:rFonts w:ascii="Arial" w:hAnsi="Arial" w:cs="Arial"/>
        </w:rPr>
        <w:t xml:space="preserve"> the journey in a linear flow. (In a full paper one might include a graphic.)</w:t>
      </w:r>
    </w:p>
    <w:p w14:paraId="2E2DA5F5" w14:textId="77777777" w:rsidR="00240168" w:rsidRPr="00A75D9F" w:rsidRDefault="00240168" w:rsidP="00A75D9F">
      <w:pPr>
        <w:spacing w:line="360" w:lineRule="auto"/>
        <w:rPr>
          <w:rFonts w:ascii="Arial" w:hAnsi="Arial" w:cs="Arial"/>
        </w:rPr>
      </w:pPr>
      <w:r w:rsidRPr="00A75D9F">
        <w:rPr>
          <w:rFonts w:ascii="Arial" w:hAnsi="Arial" w:cs="Arial"/>
        </w:rPr>
        <w:t>Discovery → 2. Consideration/Selection → 3. Purchase/Acquisition → 4. Consumption → 5. Post-Consumption/Loyalty</w:t>
      </w:r>
      <w:r w:rsidRPr="00A75D9F">
        <w:rPr>
          <w:rFonts w:ascii="Arial" w:hAnsi="Arial" w:cs="Arial"/>
        </w:rPr>
        <w:br/>
        <w:t>At each stage there are touchpoints (digital &amp; physical), gains, pains and digital innovation opportunities.</w:t>
      </w:r>
    </w:p>
    <w:p w14:paraId="31DF6A7C" w14:textId="77777777" w:rsidR="00A75D9F" w:rsidRPr="00A75D9F" w:rsidRDefault="00A75D9F" w:rsidP="00A75D9F">
      <w:pPr>
        <w:pStyle w:val="Heading1"/>
        <w:spacing w:line="360" w:lineRule="auto"/>
        <w:rPr>
          <w:rFonts w:ascii="Arial" w:hAnsi="Arial" w:cs="Arial"/>
          <w:sz w:val="22"/>
          <w:szCs w:val="22"/>
        </w:rPr>
      </w:pPr>
      <w:bookmarkStart w:id="5" w:name="_Toc214200508"/>
      <w:r w:rsidRPr="00A75D9F">
        <w:rPr>
          <w:rFonts w:ascii="Arial" w:hAnsi="Arial" w:cs="Arial"/>
          <w:sz w:val="22"/>
          <w:szCs w:val="22"/>
        </w:rPr>
        <w:t>Identified Pain &amp; Gain Points</w:t>
      </w:r>
      <w:bookmarkEnd w:id="5"/>
    </w:p>
    <w:p w14:paraId="6304F47B" w14:textId="77777777" w:rsidR="00A75D9F" w:rsidRPr="00A75D9F" w:rsidRDefault="00A75D9F" w:rsidP="00A75D9F">
      <w:pPr>
        <w:spacing w:line="360" w:lineRule="auto"/>
        <w:rPr>
          <w:rFonts w:ascii="Arial" w:hAnsi="Arial" w:cs="Arial"/>
        </w:rPr>
      </w:pPr>
      <w:r w:rsidRPr="00A75D9F">
        <w:rPr>
          <w:rFonts w:ascii="Arial" w:hAnsi="Arial" w:cs="Arial"/>
        </w:rPr>
        <w:t>Gain Points</w:t>
      </w:r>
      <w:r w:rsidRPr="00A75D9F">
        <w:rPr>
          <w:rFonts w:ascii="Arial" w:hAnsi="Arial" w:cs="Arial"/>
        </w:rPr>
        <w:br/>
        <w:t>Several aspects of Proper Snacks’ customer journey contribute positively to brand perception. The brand’s strong visual identity and distinctive packaging enhance shelf visibility and recognition, helping it stand out in a crowded healthy snacking market (Retail Gazette, 2023). Clear communication of nutritional benefits supports consumer preferences for responsibly formulated and healthier snacks (Proper Snacks, 2022). Moreover, Proper’s commitment to sustainability and ethical sourcing strengthens its credibility among environmentally conscious shoppers, reinforcing trust and adding emotional value to the purchase experience (B-Corp, 2022).</w:t>
      </w:r>
    </w:p>
    <w:p w14:paraId="5023FFEE" w14:textId="77777777" w:rsidR="00A75D9F" w:rsidRPr="00A75D9F" w:rsidRDefault="00A75D9F" w:rsidP="00A75D9F">
      <w:pPr>
        <w:spacing w:line="360" w:lineRule="auto"/>
        <w:rPr>
          <w:rFonts w:ascii="Arial" w:hAnsi="Arial" w:cs="Arial"/>
        </w:rPr>
      </w:pPr>
      <w:r w:rsidRPr="00A75D9F">
        <w:rPr>
          <w:rFonts w:ascii="Arial" w:hAnsi="Arial" w:cs="Arial"/>
        </w:rPr>
        <w:t>Pain Points</w:t>
      </w:r>
      <w:r w:rsidRPr="00A75D9F">
        <w:rPr>
          <w:rFonts w:ascii="Arial" w:hAnsi="Arial" w:cs="Arial"/>
        </w:rPr>
        <w:br/>
        <w:t xml:space="preserve">Despite these strengths, the current journey reveals friction that may limit engagement and repeat purchase. Consumers receive little personalised guidance when choosing flavours, which often leads to uncertainty and reduces their willingness to experiment with new </w:t>
      </w:r>
      <w:r w:rsidRPr="00A75D9F">
        <w:rPr>
          <w:rFonts w:ascii="Arial" w:hAnsi="Arial" w:cs="Arial"/>
        </w:rPr>
        <w:lastRenderedPageBreak/>
        <w:t>products (Mintel, 2023). Post-purchase engagement is also minimal, offering few pathways for customers to build an ongoing relationship with the brand or participate in any form of structured loyalty (Payne, Frow and Eggert, 2020). While sustainability is central to Proper’s positioning, related communication remains largely informational rather than interactive, providing no mechanism for consumers to track or influence the environmental impact of their choices (B-Corp, 2022).</w:t>
      </w:r>
    </w:p>
    <w:p w14:paraId="6EDF51C4" w14:textId="77777777" w:rsidR="00A75D9F" w:rsidRPr="00A75D9F" w:rsidRDefault="00A75D9F" w:rsidP="00C44EC1">
      <w:pPr>
        <w:pStyle w:val="Heading1"/>
        <w:rPr>
          <w:rFonts w:ascii="Arial" w:hAnsi="Arial" w:cs="Arial"/>
          <w:sz w:val="22"/>
          <w:szCs w:val="22"/>
        </w:rPr>
      </w:pPr>
      <w:bookmarkStart w:id="6" w:name="_Toc214200509"/>
      <w:r w:rsidRPr="00A75D9F">
        <w:rPr>
          <w:rFonts w:ascii="Arial" w:hAnsi="Arial" w:cs="Arial"/>
          <w:sz w:val="22"/>
          <w:szCs w:val="22"/>
        </w:rPr>
        <w:t>Digital Innovation Opportunities</w:t>
      </w:r>
      <w:bookmarkEnd w:id="6"/>
    </w:p>
    <w:p w14:paraId="0850AEBD" w14:textId="77777777" w:rsidR="00A75D9F" w:rsidRPr="00A75D9F" w:rsidRDefault="00A75D9F" w:rsidP="00A75D9F">
      <w:pPr>
        <w:spacing w:line="360" w:lineRule="auto"/>
        <w:rPr>
          <w:rFonts w:ascii="Arial" w:hAnsi="Arial" w:cs="Arial"/>
        </w:rPr>
      </w:pPr>
      <w:r w:rsidRPr="00A75D9F">
        <w:rPr>
          <w:rFonts w:ascii="Arial" w:hAnsi="Arial" w:cs="Arial"/>
        </w:rPr>
        <w:t>Opportunities for innovation lie in personalisation, data-driven engagement, and digital experiences that enrich each stage of the journey. A personalised flavour-matching tool on the website or app could guide consumers through flavour discovery based on taste preferences, health goals or snacking occasions. A subscription-based snack box model would introduce curated selections, personalised assortments, early-release flavours and feedback loops, shifting the business towards recurring revenue and deeper consumer relationships. Smart packaging using QR or NFC technology could invite consumers to scan packs, submit feedback, earn loyalty rewards, access behind-the-scenes content or receive guidance on packaging reuse. In-store digital features such as mobile scanning for flavour information, virtual flavour launches or AR shelf experiences could enrich the consideration stage. Sustainability could become more engaging through digital traceability tools enabling users to scan packs and view ingredient origins or carbon footprints. A branded community space integrating social sharing, “snacking missions” and gamification could build emotional connection, while data analytics and AI could help Proper optimise flavour development, identify emerging trends and improve operational efficiency.</w:t>
      </w:r>
    </w:p>
    <w:p w14:paraId="1A4C36BE" w14:textId="16FCEE06" w:rsidR="00A75D9F" w:rsidRPr="00A75D9F" w:rsidRDefault="00A75D9F" w:rsidP="00A75D9F">
      <w:pPr>
        <w:spacing w:line="360" w:lineRule="auto"/>
        <w:rPr>
          <w:rFonts w:ascii="Arial" w:hAnsi="Arial" w:cs="Arial"/>
        </w:rPr>
      </w:pPr>
    </w:p>
    <w:p w14:paraId="78DCE5B2" w14:textId="77777777" w:rsidR="00A75D9F" w:rsidRPr="00A75D9F" w:rsidRDefault="00A75D9F" w:rsidP="00C44EC1">
      <w:pPr>
        <w:pStyle w:val="Heading1"/>
        <w:rPr>
          <w:rFonts w:ascii="Arial" w:hAnsi="Arial" w:cs="Arial"/>
          <w:sz w:val="22"/>
          <w:szCs w:val="22"/>
        </w:rPr>
      </w:pPr>
      <w:bookmarkStart w:id="7" w:name="_Toc214200510"/>
      <w:r w:rsidRPr="00A75D9F">
        <w:rPr>
          <w:rFonts w:ascii="Arial" w:hAnsi="Arial" w:cs="Arial"/>
          <w:sz w:val="22"/>
          <w:szCs w:val="22"/>
        </w:rPr>
        <w:t>Theory Integration: Touchpoint Theory &amp; Service-Dominant Logic</w:t>
      </w:r>
      <w:bookmarkEnd w:id="7"/>
    </w:p>
    <w:p w14:paraId="4D64D33A" w14:textId="77777777" w:rsidR="00A75D9F" w:rsidRPr="00A75D9F" w:rsidRDefault="00A75D9F" w:rsidP="00A75D9F">
      <w:pPr>
        <w:spacing w:line="360" w:lineRule="auto"/>
        <w:rPr>
          <w:rFonts w:ascii="Arial" w:hAnsi="Arial" w:cs="Arial"/>
        </w:rPr>
      </w:pPr>
      <w:r w:rsidRPr="00A75D9F">
        <w:rPr>
          <w:rFonts w:ascii="Arial" w:hAnsi="Arial" w:cs="Arial"/>
        </w:rPr>
        <w:t>Touchpoint Theory emphasises that each brand interaction, whether digital or physical, shapes the consumer experience. Lemon and Verhoef (2016) argue that the orchestration of these touchpoints must be coherent, especially as digital interfaces grow. For Proper, this spans initial discovery on social media, website exploration, in-store navigation, packaging interaction and post-purchase feedback. Mapping these touchpoints highlights where friction occurs—such as a lack of flavour guidance—and where value-enhancing features could be introduced.</w:t>
      </w:r>
    </w:p>
    <w:p w14:paraId="300831C3" w14:textId="77777777" w:rsidR="00A75D9F" w:rsidRPr="00A75D9F" w:rsidRDefault="00A75D9F" w:rsidP="00C44EC1">
      <w:r w:rsidRPr="00A75D9F">
        <w:t xml:space="preserve">Service-Dominant Logic (Vargo &amp; Lusch, 2004) reframes value as co-created by consumers and brands. In this view, snacks are integrated into lifestyle, identity and social context rather than consumed as isolated products. Digital features that encourage feedback, customisation and community participation therefore strengthen co-creation. Low post-purchase engagement </w:t>
      </w:r>
      <w:r w:rsidRPr="00A75D9F">
        <w:lastRenderedPageBreak/>
        <w:t>suggests missed opportunities for consumers to shape the brand experience beyond consumption.</w:t>
      </w:r>
    </w:p>
    <w:p w14:paraId="0666EE0A" w14:textId="77777777" w:rsidR="00A75D9F" w:rsidRPr="00A75D9F" w:rsidRDefault="00A75D9F" w:rsidP="00C44EC1">
      <w:pPr>
        <w:pStyle w:val="Heading1"/>
        <w:rPr>
          <w:rFonts w:ascii="Arial" w:hAnsi="Arial" w:cs="Arial"/>
          <w:sz w:val="22"/>
          <w:szCs w:val="22"/>
        </w:rPr>
      </w:pPr>
      <w:bookmarkStart w:id="8" w:name="_Toc214200511"/>
      <w:r w:rsidRPr="00A75D9F">
        <w:rPr>
          <w:rFonts w:ascii="Arial" w:hAnsi="Arial" w:cs="Arial"/>
          <w:sz w:val="22"/>
          <w:szCs w:val="22"/>
        </w:rPr>
        <w:t>Key Insights, Synthesis &amp; Innovation Opportunity Horizon</w:t>
      </w:r>
      <w:bookmarkEnd w:id="8"/>
    </w:p>
    <w:p w14:paraId="35C69CBF" w14:textId="008EDA51" w:rsidR="00A75D9F" w:rsidRPr="00A75D9F" w:rsidRDefault="00A75D9F" w:rsidP="00A75D9F">
      <w:pPr>
        <w:spacing w:line="360" w:lineRule="auto"/>
        <w:rPr>
          <w:rFonts w:ascii="Arial" w:hAnsi="Arial" w:cs="Arial"/>
        </w:rPr>
      </w:pPr>
      <w:r w:rsidRPr="00A75D9F">
        <w:rPr>
          <w:rFonts w:ascii="Arial" w:hAnsi="Arial" w:cs="Arial"/>
        </w:rPr>
        <w:t xml:space="preserve">Using the Innovation Ambition Matrix alongside the customer journey indicates short-, mid- and long-term priorities. In the short term, Proper should optimise the core through frictionless mobile checkout, subscription options, clear stock visibility and incremental packaging and manufacturing improvements, </w:t>
      </w:r>
      <w:proofErr w:type="spellStart"/>
      <w:r w:rsidRPr="00A75D9F">
        <w:rPr>
          <w:rFonts w:ascii="Arial" w:hAnsi="Arial" w:cs="Arial"/>
        </w:rPr>
        <w:t>while</w:t>
      </w:r>
      <w:r w:rsidR="00C44EC1">
        <w:rPr>
          <w:rFonts w:ascii="Arial" w:hAnsi="Arial" w:cs="Arial"/>
        </w:rPr>
        <w:t>g</w:t>
      </w:r>
      <w:proofErr w:type="spellEnd"/>
      <w:r w:rsidRPr="00A75D9F">
        <w:rPr>
          <w:rFonts w:ascii="Arial" w:hAnsi="Arial" w:cs="Arial"/>
        </w:rPr>
        <w:t xml:space="preserve"> strengthening digital data capture. In the midterm, growth lies in expanding into adjacent “better-for-you” formats such as bars or veggie crisps, developing functional variants and using digital channels to test flavours before national rollout, as well as expanding internationally. Long-term transformational opportunities include building a direct-to-consumer subscription platform, using behavioural data to drive product development and supply-chain responsiveness, and embedding circular-economy principles into packaging with digital traceability and recycling incentives. AR or gamified experiences could further engage Gen Z and Alpha consumers. Linking these innovations back to the journey illustrates how digital loyalty tools enhance post-purchase stages, smart packaging enriches consumption, and improved online journeys strengthen consideration. Given the continued growth of the UK healthy snacks market, Proper must balance core optimisation with bold digital and product innovation to remain competitive.</w:t>
      </w:r>
    </w:p>
    <w:p w14:paraId="192A75D0" w14:textId="2FAFBC1E" w:rsidR="00240168" w:rsidRPr="00A75D9F" w:rsidRDefault="00240168" w:rsidP="00A75D9F">
      <w:pPr>
        <w:pStyle w:val="Heading1"/>
        <w:spacing w:line="360" w:lineRule="auto"/>
        <w:rPr>
          <w:rFonts w:ascii="Arial" w:hAnsi="Arial" w:cs="Arial"/>
          <w:sz w:val="22"/>
          <w:szCs w:val="22"/>
        </w:rPr>
      </w:pPr>
      <w:bookmarkStart w:id="9" w:name="_Toc214200512"/>
      <w:r w:rsidRPr="00A75D9F">
        <w:rPr>
          <w:rFonts w:ascii="Arial" w:hAnsi="Arial" w:cs="Arial"/>
          <w:sz w:val="22"/>
          <w:szCs w:val="22"/>
        </w:rPr>
        <w:t>Conclusion</w:t>
      </w:r>
      <w:bookmarkEnd w:id="9"/>
    </w:p>
    <w:p w14:paraId="62053E1B" w14:textId="77777777" w:rsidR="00C44EC1" w:rsidRDefault="00240168" w:rsidP="00C44EC1">
      <w:pPr>
        <w:spacing w:line="360" w:lineRule="auto"/>
        <w:rPr>
          <w:rFonts w:ascii="Arial" w:hAnsi="Arial" w:cs="Arial"/>
        </w:rPr>
      </w:pPr>
      <w:r w:rsidRPr="00A75D9F">
        <w:rPr>
          <w:rFonts w:ascii="Arial" w:hAnsi="Arial" w:cs="Arial"/>
        </w:rPr>
        <w:t>This section has applied the Innovation Ambition Matrix to Proper Snacks UK, categorising their innovation initiatives across core, adjacent and transformational horizons; it has also mapped the customer journey for a representative core consumer, identifying key touchpoints, gain and pain points, and digital innovation opportunities. The combined analysis suggests that Proper has a strong foundation but significant opportunity exists (and urgency) in moving further into adjacent and transformational innovation—especially digital engagement, personalised/functional snack models, and new business models.</w:t>
      </w:r>
    </w:p>
    <w:p w14:paraId="0AA3200A" w14:textId="77777777" w:rsidR="00C44EC1" w:rsidRDefault="00C44EC1" w:rsidP="00C44EC1">
      <w:pPr>
        <w:spacing w:line="360" w:lineRule="auto"/>
        <w:rPr>
          <w:rFonts w:ascii="Arial" w:hAnsi="Arial" w:cs="Arial"/>
        </w:rPr>
      </w:pPr>
    </w:p>
    <w:p w14:paraId="3306F047" w14:textId="77777777" w:rsidR="00C44EC1" w:rsidRDefault="00C44EC1" w:rsidP="00C44EC1">
      <w:pPr>
        <w:spacing w:line="360" w:lineRule="auto"/>
        <w:rPr>
          <w:rFonts w:ascii="Arial" w:hAnsi="Arial" w:cs="Arial"/>
        </w:rPr>
      </w:pPr>
    </w:p>
    <w:p w14:paraId="2BFE12A2" w14:textId="77777777" w:rsidR="00C44EC1" w:rsidRDefault="00C44EC1" w:rsidP="00C44EC1">
      <w:pPr>
        <w:spacing w:line="360" w:lineRule="auto"/>
        <w:rPr>
          <w:rFonts w:ascii="Arial" w:hAnsi="Arial" w:cs="Arial"/>
        </w:rPr>
      </w:pPr>
    </w:p>
    <w:p w14:paraId="0338FBDC" w14:textId="77777777" w:rsidR="00C44EC1" w:rsidRDefault="00C44EC1" w:rsidP="00C44EC1">
      <w:pPr>
        <w:spacing w:line="360" w:lineRule="auto"/>
        <w:rPr>
          <w:rFonts w:ascii="Arial" w:hAnsi="Arial" w:cs="Arial"/>
        </w:rPr>
      </w:pPr>
    </w:p>
    <w:p w14:paraId="462AD180" w14:textId="4D1D970F" w:rsidR="00C0456B" w:rsidRPr="00A75D9F" w:rsidRDefault="00C0456B" w:rsidP="00C44EC1">
      <w:pPr>
        <w:pStyle w:val="Heading1"/>
        <w:rPr>
          <w:rFonts w:ascii="Arial" w:hAnsi="Arial" w:cs="Arial"/>
          <w:sz w:val="22"/>
          <w:szCs w:val="22"/>
        </w:rPr>
      </w:pPr>
      <w:bookmarkStart w:id="10" w:name="_Toc214200513"/>
      <w:r w:rsidRPr="00A75D9F">
        <w:rPr>
          <w:rFonts w:ascii="Arial" w:hAnsi="Arial" w:cs="Arial"/>
          <w:sz w:val="22"/>
          <w:szCs w:val="22"/>
        </w:rPr>
        <w:lastRenderedPageBreak/>
        <w:t>Proposed Digital Solution: “Proper+” – A Personalised Snack Engagement Platform</w:t>
      </w:r>
      <w:bookmarkEnd w:id="10"/>
    </w:p>
    <w:p w14:paraId="73B3F2A4" w14:textId="77777777" w:rsidR="00C0456B" w:rsidRPr="00A75D9F" w:rsidRDefault="00C0456B" w:rsidP="00A75D9F">
      <w:pPr>
        <w:spacing w:line="360" w:lineRule="auto"/>
        <w:rPr>
          <w:rFonts w:ascii="Arial" w:hAnsi="Arial" w:cs="Arial"/>
        </w:rPr>
      </w:pPr>
      <w:r w:rsidRPr="00A75D9F">
        <w:rPr>
          <w:rFonts w:ascii="Arial" w:hAnsi="Arial" w:cs="Arial"/>
        </w:rPr>
        <w:t>A mobile-first digital platform integrated with AI and automation that enables:</w:t>
      </w:r>
    </w:p>
    <w:p w14:paraId="597060EF" w14:textId="77777777" w:rsidR="00C0456B" w:rsidRPr="00A75D9F" w:rsidRDefault="00C0456B" w:rsidP="00A75D9F">
      <w:pPr>
        <w:spacing w:line="360" w:lineRule="auto"/>
        <w:rPr>
          <w:rFonts w:ascii="Arial" w:hAnsi="Arial" w:cs="Arial"/>
        </w:rPr>
      </w:pPr>
      <w:r w:rsidRPr="00A75D9F">
        <w:rPr>
          <w:rFonts w:ascii="Arial" w:hAnsi="Arial" w:cs="Arial"/>
        </w:rPr>
        <w:t>AI-Powered Snack Recommender:</w:t>
      </w:r>
      <w:r w:rsidRPr="00A75D9F">
        <w:rPr>
          <w:rFonts w:ascii="Arial" w:hAnsi="Arial" w:cs="Arial"/>
        </w:rPr>
        <w:br/>
        <w:t>Using customer data (taste, dietary preferences, calorie goals), an AI engine suggests optimal snacks and flavour pairings (Grewal et al., 2020).</w:t>
      </w:r>
    </w:p>
    <w:p w14:paraId="47438545" w14:textId="77777777" w:rsidR="00C0456B" w:rsidRPr="00A75D9F" w:rsidRDefault="00C0456B" w:rsidP="00A75D9F">
      <w:pPr>
        <w:spacing w:line="360" w:lineRule="auto"/>
        <w:rPr>
          <w:rFonts w:ascii="Arial" w:hAnsi="Arial" w:cs="Arial"/>
        </w:rPr>
      </w:pPr>
      <w:r w:rsidRPr="00A75D9F">
        <w:rPr>
          <w:rFonts w:ascii="Arial" w:hAnsi="Arial" w:cs="Arial"/>
        </w:rPr>
        <w:t>Smart QR Feedback System:</w:t>
      </w:r>
      <w:r w:rsidRPr="00A75D9F">
        <w:rPr>
          <w:rFonts w:ascii="Arial" w:hAnsi="Arial" w:cs="Arial"/>
        </w:rPr>
        <w:br/>
        <w:t>Every pack includes a scannable QR code. Consumers can scan to rate taste, sustainability, and packaging usability. Feedback is automatically integrated into Proper’s CRM to inform flavour innovation and customer engagement (Chaffey &amp; Ellis-Chadwick, 2019).</w:t>
      </w:r>
    </w:p>
    <w:p w14:paraId="045C76BF" w14:textId="77777777" w:rsidR="00C0456B" w:rsidRPr="00A75D9F" w:rsidRDefault="00C0456B" w:rsidP="00A75D9F">
      <w:pPr>
        <w:spacing w:line="360" w:lineRule="auto"/>
        <w:rPr>
          <w:rFonts w:ascii="Arial" w:hAnsi="Arial" w:cs="Arial"/>
        </w:rPr>
      </w:pPr>
      <w:r w:rsidRPr="00A75D9F">
        <w:rPr>
          <w:rFonts w:ascii="Arial" w:hAnsi="Arial" w:cs="Arial"/>
        </w:rPr>
        <w:t>Gamified Loyalty &amp; Sustainability Tracker:</w:t>
      </w:r>
      <w:r w:rsidRPr="00A75D9F">
        <w:rPr>
          <w:rFonts w:ascii="Arial" w:hAnsi="Arial" w:cs="Arial"/>
        </w:rPr>
        <w:br/>
        <w:t>Users earn “Snack Points” for scanning, recycling packaging, or participating in digital challenges. These points unlock discounts or limited-edition flavours, fostering co-creation and repeat purchases (Prahalad &amp; Ramaswamy, 2004).</w:t>
      </w:r>
    </w:p>
    <w:p w14:paraId="6A442638" w14:textId="77777777" w:rsidR="00C0456B" w:rsidRPr="00A75D9F" w:rsidRDefault="00C0456B" w:rsidP="00A75D9F">
      <w:pPr>
        <w:spacing w:line="360" w:lineRule="auto"/>
        <w:rPr>
          <w:rFonts w:ascii="Arial" w:hAnsi="Arial" w:cs="Arial"/>
        </w:rPr>
      </w:pPr>
      <w:r w:rsidRPr="00A75D9F">
        <w:rPr>
          <w:rFonts w:ascii="Arial" w:hAnsi="Arial" w:cs="Arial"/>
        </w:rPr>
        <w:t>Integration with Retail &amp; E-commerce:</w:t>
      </w:r>
      <w:r w:rsidRPr="00A75D9F">
        <w:rPr>
          <w:rFonts w:ascii="Arial" w:hAnsi="Arial" w:cs="Arial"/>
        </w:rPr>
        <w:br/>
        <w:t>The app connects with retail partners for “click &amp; snack” functionality — customers can reorder via their preferred retailer or subscribe directly through Proper’s D2C model.</w:t>
      </w:r>
    </w:p>
    <w:p w14:paraId="537B3252" w14:textId="77777777" w:rsidR="00C0456B" w:rsidRPr="00A75D9F" w:rsidRDefault="00C0456B" w:rsidP="00A75D9F">
      <w:pPr>
        <w:spacing w:line="360" w:lineRule="auto"/>
        <w:rPr>
          <w:rFonts w:ascii="Arial" w:hAnsi="Arial" w:cs="Arial"/>
        </w:rPr>
      </w:pPr>
      <w:r w:rsidRPr="00A75D9F">
        <w:rPr>
          <w:rFonts w:ascii="Arial" w:hAnsi="Arial" w:cs="Arial"/>
        </w:rPr>
        <w:t>This solution directly targets digital transformation within the snack market by embedding AI, data analytics, and co-creation principles into consumer interaction (Vargo &amp; Lusch, 2004; Lemon &amp; Verhoef, 2016).</w:t>
      </w:r>
    </w:p>
    <w:p w14:paraId="7D815B1F" w14:textId="18A8A91F" w:rsidR="00C0456B" w:rsidRPr="00A75D9F" w:rsidRDefault="00C0456B" w:rsidP="00A75D9F">
      <w:pPr>
        <w:pStyle w:val="Heading1"/>
        <w:spacing w:line="360" w:lineRule="auto"/>
        <w:rPr>
          <w:rFonts w:ascii="Arial" w:hAnsi="Arial" w:cs="Arial"/>
          <w:sz w:val="22"/>
          <w:szCs w:val="22"/>
        </w:rPr>
      </w:pPr>
      <w:bookmarkStart w:id="11" w:name="_Toc214200514"/>
      <w:r w:rsidRPr="00A75D9F">
        <w:rPr>
          <w:rFonts w:ascii="Arial" w:hAnsi="Arial" w:cs="Arial"/>
          <w:sz w:val="22"/>
          <w:szCs w:val="22"/>
        </w:rPr>
        <w:t>Define How the New System Integrates into the Business Model</w:t>
      </w:r>
      <w:bookmarkEnd w:id="11"/>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23"/>
        <w:gridCol w:w="6003"/>
      </w:tblGrid>
      <w:tr w:rsidR="00C0456B" w:rsidRPr="00A75D9F" w14:paraId="2D80A7C4" w14:textId="77777777">
        <w:trPr>
          <w:tblHeader/>
          <w:tblCellSpacing w:w="15" w:type="dxa"/>
        </w:trPr>
        <w:tc>
          <w:tcPr>
            <w:tcW w:w="0" w:type="auto"/>
            <w:vAlign w:val="center"/>
            <w:hideMark/>
          </w:tcPr>
          <w:p w14:paraId="6691A7B9" w14:textId="77777777" w:rsidR="00C0456B" w:rsidRPr="00A75D9F" w:rsidRDefault="00C0456B" w:rsidP="00A75D9F">
            <w:pPr>
              <w:spacing w:line="360" w:lineRule="auto"/>
              <w:rPr>
                <w:rFonts w:ascii="Arial" w:hAnsi="Arial" w:cs="Arial"/>
              </w:rPr>
            </w:pPr>
            <w:r w:rsidRPr="00A75D9F">
              <w:rPr>
                <w:rFonts w:ascii="Arial" w:hAnsi="Arial" w:cs="Arial"/>
              </w:rPr>
              <w:t>Business Model Component (Osterwalder &amp; Pigneur, 2010)</w:t>
            </w:r>
          </w:p>
        </w:tc>
        <w:tc>
          <w:tcPr>
            <w:tcW w:w="0" w:type="auto"/>
            <w:vAlign w:val="center"/>
            <w:hideMark/>
          </w:tcPr>
          <w:p w14:paraId="7CDC60F6" w14:textId="77777777" w:rsidR="00C0456B" w:rsidRPr="00A75D9F" w:rsidRDefault="00C0456B" w:rsidP="00A75D9F">
            <w:pPr>
              <w:spacing w:line="360" w:lineRule="auto"/>
              <w:rPr>
                <w:rFonts w:ascii="Arial" w:hAnsi="Arial" w:cs="Arial"/>
              </w:rPr>
            </w:pPr>
            <w:r w:rsidRPr="00A75D9F">
              <w:rPr>
                <w:rFonts w:ascii="Arial" w:hAnsi="Arial" w:cs="Arial"/>
              </w:rPr>
              <w:t>Integration of “Proper+” System</w:t>
            </w:r>
          </w:p>
        </w:tc>
      </w:tr>
      <w:tr w:rsidR="00C0456B" w:rsidRPr="00A75D9F" w14:paraId="2561D473" w14:textId="77777777">
        <w:trPr>
          <w:tblCellSpacing w:w="15" w:type="dxa"/>
        </w:trPr>
        <w:tc>
          <w:tcPr>
            <w:tcW w:w="0" w:type="auto"/>
            <w:vAlign w:val="center"/>
            <w:hideMark/>
          </w:tcPr>
          <w:p w14:paraId="3BB0E158" w14:textId="77777777" w:rsidR="00C0456B" w:rsidRPr="00A75D9F" w:rsidRDefault="00C0456B" w:rsidP="00A75D9F">
            <w:pPr>
              <w:spacing w:line="360" w:lineRule="auto"/>
              <w:rPr>
                <w:rFonts w:ascii="Arial" w:hAnsi="Arial" w:cs="Arial"/>
              </w:rPr>
            </w:pPr>
            <w:r w:rsidRPr="00A75D9F">
              <w:rPr>
                <w:rFonts w:ascii="Arial" w:hAnsi="Arial" w:cs="Arial"/>
              </w:rPr>
              <w:t>Value Proposition</w:t>
            </w:r>
          </w:p>
        </w:tc>
        <w:tc>
          <w:tcPr>
            <w:tcW w:w="0" w:type="auto"/>
            <w:vAlign w:val="center"/>
            <w:hideMark/>
          </w:tcPr>
          <w:p w14:paraId="0BC1D054" w14:textId="77777777" w:rsidR="00C0456B" w:rsidRPr="00A75D9F" w:rsidRDefault="00C0456B" w:rsidP="00A75D9F">
            <w:pPr>
              <w:spacing w:line="360" w:lineRule="auto"/>
              <w:rPr>
                <w:rFonts w:ascii="Arial" w:hAnsi="Arial" w:cs="Arial"/>
              </w:rPr>
            </w:pPr>
            <w:r w:rsidRPr="00A75D9F">
              <w:rPr>
                <w:rFonts w:ascii="Arial" w:hAnsi="Arial" w:cs="Arial"/>
              </w:rPr>
              <w:t>From “healthy, tasty snacks” → “personalised, interactive, sustainable snacking experience.”</w:t>
            </w:r>
          </w:p>
        </w:tc>
      </w:tr>
      <w:tr w:rsidR="00C0456B" w:rsidRPr="00A75D9F" w14:paraId="23AFBE8F" w14:textId="77777777">
        <w:trPr>
          <w:tblCellSpacing w:w="15" w:type="dxa"/>
        </w:trPr>
        <w:tc>
          <w:tcPr>
            <w:tcW w:w="0" w:type="auto"/>
            <w:vAlign w:val="center"/>
            <w:hideMark/>
          </w:tcPr>
          <w:p w14:paraId="35200084" w14:textId="77777777" w:rsidR="00C0456B" w:rsidRPr="00A75D9F" w:rsidRDefault="00C0456B" w:rsidP="00A75D9F">
            <w:pPr>
              <w:spacing w:line="360" w:lineRule="auto"/>
              <w:rPr>
                <w:rFonts w:ascii="Arial" w:hAnsi="Arial" w:cs="Arial"/>
              </w:rPr>
            </w:pPr>
            <w:r w:rsidRPr="00A75D9F">
              <w:rPr>
                <w:rFonts w:ascii="Arial" w:hAnsi="Arial" w:cs="Arial"/>
              </w:rPr>
              <w:t>Customer Relationships</w:t>
            </w:r>
          </w:p>
        </w:tc>
        <w:tc>
          <w:tcPr>
            <w:tcW w:w="0" w:type="auto"/>
            <w:vAlign w:val="center"/>
            <w:hideMark/>
          </w:tcPr>
          <w:p w14:paraId="27C09F65" w14:textId="77777777" w:rsidR="00C0456B" w:rsidRPr="00A75D9F" w:rsidRDefault="00C0456B" w:rsidP="00A75D9F">
            <w:pPr>
              <w:spacing w:line="360" w:lineRule="auto"/>
              <w:rPr>
                <w:rFonts w:ascii="Arial" w:hAnsi="Arial" w:cs="Arial"/>
              </w:rPr>
            </w:pPr>
            <w:r w:rsidRPr="00A75D9F">
              <w:rPr>
                <w:rFonts w:ascii="Arial" w:hAnsi="Arial" w:cs="Arial"/>
              </w:rPr>
              <w:t>Shift from transactional to relational — ongoing engagement through digital touchpoints, gamified loyalty, and data-driven personalisation.</w:t>
            </w:r>
          </w:p>
        </w:tc>
      </w:tr>
      <w:tr w:rsidR="00C0456B" w:rsidRPr="00A75D9F" w14:paraId="6876269E" w14:textId="77777777">
        <w:trPr>
          <w:tblCellSpacing w:w="15" w:type="dxa"/>
        </w:trPr>
        <w:tc>
          <w:tcPr>
            <w:tcW w:w="0" w:type="auto"/>
            <w:vAlign w:val="center"/>
            <w:hideMark/>
          </w:tcPr>
          <w:p w14:paraId="282E37C3" w14:textId="77777777" w:rsidR="00C0456B" w:rsidRPr="00A75D9F" w:rsidRDefault="00C0456B" w:rsidP="00A75D9F">
            <w:pPr>
              <w:spacing w:line="360" w:lineRule="auto"/>
              <w:rPr>
                <w:rFonts w:ascii="Arial" w:hAnsi="Arial" w:cs="Arial"/>
              </w:rPr>
            </w:pPr>
            <w:r w:rsidRPr="00A75D9F">
              <w:rPr>
                <w:rFonts w:ascii="Arial" w:hAnsi="Arial" w:cs="Arial"/>
              </w:rPr>
              <w:t>Channels</w:t>
            </w:r>
          </w:p>
        </w:tc>
        <w:tc>
          <w:tcPr>
            <w:tcW w:w="0" w:type="auto"/>
            <w:vAlign w:val="center"/>
            <w:hideMark/>
          </w:tcPr>
          <w:p w14:paraId="101DF614" w14:textId="77777777" w:rsidR="00C0456B" w:rsidRPr="00A75D9F" w:rsidRDefault="00C0456B" w:rsidP="00A75D9F">
            <w:pPr>
              <w:spacing w:line="360" w:lineRule="auto"/>
              <w:rPr>
                <w:rFonts w:ascii="Arial" w:hAnsi="Arial" w:cs="Arial"/>
              </w:rPr>
            </w:pPr>
            <w:r w:rsidRPr="00A75D9F">
              <w:rPr>
                <w:rFonts w:ascii="Arial" w:hAnsi="Arial" w:cs="Arial"/>
              </w:rPr>
              <w:t>Adds a new D2C digital channel (Proper+ app) alongside retail distribution. Integrates social media, QR scanning, and subscription models.</w:t>
            </w:r>
          </w:p>
        </w:tc>
      </w:tr>
      <w:tr w:rsidR="00C0456B" w:rsidRPr="00A75D9F" w14:paraId="15357A86" w14:textId="77777777">
        <w:trPr>
          <w:tblCellSpacing w:w="15" w:type="dxa"/>
        </w:trPr>
        <w:tc>
          <w:tcPr>
            <w:tcW w:w="0" w:type="auto"/>
            <w:vAlign w:val="center"/>
            <w:hideMark/>
          </w:tcPr>
          <w:p w14:paraId="17B474EF" w14:textId="77777777" w:rsidR="00C0456B" w:rsidRPr="00A75D9F" w:rsidRDefault="00C0456B" w:rsidP="00A75D9F">
            <w:pPr>
              <w:spacing w:line="360" w:lineRule="auto"/>
              <w:rPr>
                <w:rFonts w:ascii="Arial" w:hAnsi="Arial" w:cs="Arial"/>
              </w:rPr>
            </w:pPr>
            <w:r w:rsidRPr="00A75D9F">
              <w:rPr>
                <w:rFonts w:ascii="Arial" w:hAnsi="Arial" w:cs="Arial"/>
              </w:rPr>
              <w:lastRenderedPageBreak/>
              <w:t>Revenue Streams</w:t>
            </w:r>
          </w:p>
        </w:tc>
        <w:tc>
          <w:tcPr>
            <w:tcW w:w="0" w:type="auto"/>
            <w:vAlign w:val="center"/>
            <w:hideMark/>
          </w:tcPr>
          <w:p w14:paraId="00F6C022" w14:textId="77777777" w:rsidR="00C0456B" w:rsidRPr="00A75D9F" w:rsidRDefault="00C0456B" w:rsidP="00A75D9F">
            <w:pPr>
              <w:spacing w:line="360" w:lineRule="auto"/>
              <w:rPr>
                <w:rFonts w:ascii="Arial" w:hAnsi="Arial" w:cs="Arial"/>
              </w:rPr>
            </w:pPr>
            <w:r w:rsidRPr="00A75D9F">
              <w:rPr>
                <w:rFonts w:ascii="Arial" w:hAnsi="Arial" w:cs="Arial"/>
              </w:rPr>
              <w:t>New opportunities via subscriptions, limited edition drops, partnerships (e.g., sustainability badges with eco-brands).</w:t>
            </w:r>
          </w:p>
        </w:tc>
      </w:tr>
      <w:tr w:rsidR="00C0456B" w:rsidRPr="00A75D9F" w14:paraId="4D0F7403" w14:textId="77777777">
        <w:trPr>
          <w:tblCellSpacing w:w="15" w:type="dxa"/>
        </w:trPr>
        <w:tc>
          <w:tcPr>
            <w:tcW w:w="0" w:type="auto"/>
            <w:vAlign w:val="center"/>
            <w:hideMark/>
          </w:tcPr>
          <w:p w14:paraId="3FAA1390" w14:textId="77777777" w:rsidR="00C0456B" w:rsidRPr="00A75D9F" w:rsidRDefault="00C0456B" w:rsidP="00A75D9F">
            <w:pPr>
              <w:spacing w:line="360" w:lineRule="auto"/>
              <w:rPr>
                <w:rFonts w:ascii="Arial" w:hAnsi="Arial" w:cs="Arial"/>
              </w:rPr>
            </w:pPr>
            <w:r w:rsidRPr="00A75D9F">
              <w:rPr>
                <w:rFonts w:ascii="Arial" w:hAnsi="Arial" w:cs="Arial"/>
              </w:rPr>
              <w:t>Key Resources</w:t>
            </w:r>
          </w:p>
        </w:tc>
        <w:tc>
          <w:tcPr>
            <w:tcW w:w="0" w:type="auto"/>
            <w:vAlign w:val="center"/>
            <w:hideMark/>
          </w:tcPr>
          <w:p w14:paraId="7ABD5915" w14:textId="77777777" w:rsidR="00C0456B" w:rsidRPr="00A75D9F" w:rsidRDefault="00C0456B" w:rsidP="00A75D9F">
            <w:pPr>
              <w:spacing w:line="360" w:lineRule="auto"/>
              <w:rPr>
                <w:rFonts w:ascii="Arial" w:hAnsi="Arial" w:cs="Arial"/>
              </w:rPr>
            </w:pPr>
            <w:r w:rsidRPr="00A75D9F">
              <w:rPr>
                <w:rFonts w:ascii="Arial" w:hAnsi="Arial" w:cs="Arial"/>
              </w:rPr>
              <w:t>AI analytics engine, CRM database, digital marketing automation platform.</w:t>
            </w:r>
          </w:p>
        </w:tc>
      </w:tr>
      <w:tr w:rsidR="00C0456B" w:rsidRPr="00A75D9F" w14:paraId="7CDF874E" w14:textId="77777777">
        <w:trPr>
          <w:tblCellSpacing w:w="15" w:type="dxa"/>
        </w:trPr>
        <w:tc>
          <w:tcPr>
            <w:tcW w:w="0" w:type="auto"/>
            <w:vAlign w:val="center"/>
            <w:hideMark/>
          </w:tcPr>
          <w:p w14:paraId="64E27AD1" w14:textId="77777777" w:rsidR="00C0456B" w:rsidRPr="00A75D9F" w:rsidRDefault="00C0456B" w:rsidP="00A75D9F">
            <w:pPr>
              <w:spacing w:line="360" w:lineRule="auto"/>
              <w:rPr>
                <w:rFonts w:ascii="Arial" w:hAnsi="Arial" w:cs="Arial"/>
              </w:rPr>
            </w:pPr>
            <w:r w:rsidRPr="00A75D9F">
              <w:rPr>
                <w:rFonts w:ascii="Arial" w:hAnsi="Arial" w:cs="Arial"/>
              </w:rPr>
              <w:t>Key Activities</w:t>
            </w:r>
          </w:p>
        </w:tc>
        <w:tc>
          <w:tcPr>
            <w:tcW w:w="0" w:type="auto"/>
            <w:vAlign w:val="center"/>
            <w:hideMark/>
          </w:tcPr>
          <w:p w14:paraId="5F8E9B0F" w14:textId="77777777" w:rsidR="00C0456B" w:rsidRPr="00A75D9F" w:rsidRDefault="00C0456B" w:rsidP="00A75D9F">
            <w:pPr>
              <w:spacing w:line="360" w:lineRule="auto"/>
              <w:rPr>
                <w:rFonts w:ascii="Arial" w:hAnsi="Arial" w:cs="Arial"/>
              </w:rPr>
            </w:pPr>
            <w:r w:rsidRPr="00A75D9F">
              <w:rPr>
                <w:rFonts w:ascii="Arial" w:hAnsi="Arial" w:cs="Arial"/>
              </w:rPr>
              <w:t>Data collection and analysis, app content management, co-created innovation cycles.</w:t>
            </w:r>
          </w:p>
        </w:tc>
      </w:tr>
      <w:tr w:rsidR="00C0456B" w:rsidRPr="00A75D9F" w14:paraId="126BC8FE" w14:textId="77777777">
        <w:trPr>
          <w:tblCellSpacing w:w="15" w:type="dxa"/>
        </w:trPr>
        <w:tc>
          <w:tcPr>
            <w:tcW w:w="0" w:type="auto"/>
            <w:vAlign w:val="center"/>
            <w:hideMark/>
          </w:tcPr>
          <w:p w14:paraId="2656BB04" w14:textId="77777777" w:rsidR="00C0456B" w:rsidRPr="00A75D9F" w:rsidRDefault="00C0456B" w:rsidP="00A75D9F">
            <w:pPr>
              <w:spacing w:line="360" w:lineRule="auto"/>
              <w:rPr>
                <w:rFonts w:ascii="Arial" w:hAnsi="Arial" w:cs="Arial"/>
              </w:rPr>
            </w:pPr>
            <w:r w:rsidRPr="00A75D9F">
              <w:rPr>
                <w:rFonts w:ascii="Arial" w:hAnsi="Arial" w:cs="Arial"/>
              </w:rPr>
              <w:t>Customer Segments</w:t>
            </w:r>
          </w:p>
        </w:tc>
        <w:tc>
          <w:tcPr>
            <w:tcW w:w="0" w:type="auto"/>
            <w:vAlign w:val="center"/>
            <w:hideMark/>
          </w:tcPr>
          <w:p w14:paraId="68514FB5" w14:textId="77777777" w:rsidR="00C0456B" w:rsidRPr="00A75D9F" w:rsidRDefault="00C0456B" w:rsidP="00A75D9F">
            <w:pPr>
              <w:spacing w:line="360" w:lineRule="auto"/>
              <w:rPr>
                <w:rFonts w:ascii="Arial" w:hAnsi="Arial" w:cs="Arial"/>
              </w:rPr>
            </w:pPr>
            <w:r w:rsidRPr="00A75D9F">
              <w:rPr>
                <w:rFonts w:ascii="Arial" w:hAnsi="Arial" w:cs="Arial"/>
              </w:rPr>
              <w:t>Expands from general “snackers” to digital health-conscious microsegments (e.g., vegan, low-</w:t>
            </w:r>
            <w:proofErr w:type="spellStart"/>
            <w:r w:rsidRPr="00A75D9F">
              <w:rPr>
                <w:rFonts w:ascii="Arial" w:hAnsi="Arial" w:cs="Arial"/>
              </w:rPr>
              <w:t>cal</w:t>
            </w:r>
            <w:proofErr w:type="spellEnd"/>
            <w:r w:rsidRPr="00A75D9F">
              <w:rPr>
                <w:rFonts w:ascii="Arial" w:hAnsi="Arial" w:cs="Arial"/>
              </w:rPr>
              <w:t>, high-protein).</w:t>
            </w:r>
          </w:p>
        </w:tc>
      </w:tr>
    </w:tbl>
    <w:p w14:paraId="4C0A83E0" w14:textId="77777777" w:rsidR="00C0456B" w:rsidRPr="00A75D9F" w:rsidRDefault="00C0456B" w:rsidP="00A75D9F">
      <w:pPr>
        <w:spacing w:line="360" w:lineRule="auto"/>
        <w:rPr>
          <w:rFonts w:ascii="Arial" w:hAnsi="Arial" w:cs="Arial"/>
        </w:rPr>
      </w:pPr>
      <w:r w:rsidRPr="00A75D9F">
        <w:rPr>
          <w:rFonts w:ascii="Arial" w:hAnsi="Arial" w:cs="Arial"/>
        </w:rPr>
        <w:t xml:space="preserve">This integration transforms Proper from a traditional FMCG into a data-enabled, experience-driven snack ecosystem — aligning with the transformational innovation horizon in </w:t>
      </w:r>
      <w:proofErr w:type="spellStart"/>
      <w:r w:rsidRPr="00A75D9F">
        <w:rPr>
          <w:rFonts w:ascii="Arial" w:hAnsi="Arial" w:cs="Arial"/>
        </w:rPr>
        <w:t>Nagji</w:t>
      </w:r>
      <w:proofErr w:type="spellEnd"/>
      <w:r w:rsidRPr="00A75D9F">
        <w:rPr>
          <w:rFonts w:ascii="Arial" w:hAnsi="Arial" w:cs="Arial"/>
        </w:rPr>
        <w:t xml:space="preserve"> &amp; Tuff’s (2012) framework.</w:t>
      </w:r>
    </w:p>
    <w:p w14:paraId="11E0EA4D" w14:textId="77777777" w:rsidR="00B23902" w:rsidRPr="00A75D9F" w:rsidRDefault="00B23902" w:rsidP="00A75D9F">
      <w:pPr>
        <w:spacing w:line="360" w:lineRule="auto"/>
        <w:rPr>
          <w:rFonts w:ascii="Arial" w:hAnsi="Arial" w:cs="Arial"/>
        </w:rPr>
      </w:pPr>
    </w:p>
    <w:p w14:paraId="1461176C" w14:textId="196CB7E5" w:rsidR="00C0456B" w:rsidRPr="00A75D9F" w:rsidRDefault="00C0456B" w:rsidP="00A75D9F">
      <w:pPr>
        <w:pStyle w:val="Heading1"/>
        <w:spacing w:line="360" w:lineRule="auto"/>
        <w:rPr>
          <w:rFonts w:ascii="Arial" w:hAnsi="Arial" w:cs="Arial"/>
          <w:sz w:val="22"/>
          <w:szCs w:val="22"/>
        </w:rPr>
      </w:pPr>
      <w:bookmarkStart w:id="12" w:name="_Toc214200515"/>
      <w:r w:rsidRPr="00A75D9F">
        <w:rPr>
          <w:rFonts w:ascii="Arial" w:hAnsi="Arial" w:cs="Arial"/>
          <w:sz w:val="22"/>
          <w:szCs w:val="22"/>
        </w:rPr>
        <w:t>Visualise an Updated Customer Journey (Improved Experience)</w:t>
      </w:r>
      <w:bookmarkEnd w:id="12"/>
    </w:p>
    <w:p w14:paraId="1BEC888C" w14:textId="7F988140" w:rsidR="00B23902" w:rsidRPr="00A75D9F" w:rsidRDefault="00B23902" w:rsidP="00A75D9F">
      <w:pPr>
        <w:spacing w:line="360" w:lineRule="auto"/>
        <w:rPr>
          <w:rFonts w:ascii="Arial" w:hAnsi="Arial" w:cs="Arial"/>
        </w:rPr>
      </w:pPr>
      <w:r w:rsidRPr="00A75D9F">
        <w:rPr>
          <w:rFonts w:ascii="Arial" w:hAnsi="Arial" w:cs="Arial"/>
          <w:noProof/>
        </w:rPr>
        <w:drawing>
          <wp:inline distT="0" distB="0" distL="0" distR="0" wp14:anchorId="18A36A6A" wp14:editId="425EEF69">
            <wp:extent cx="5731510" cy="3458210"/>
            <wp:effectExtent l="0" t="0" r="2540" b="8890"/>
            <wp:docPr id="602018474" name="Picture 5"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018474" name="Picture 5" descr="A table with text on i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3458210"/>
                    </a:xfrm>
                    <a:prstGeom prst="rect">
                      <a:avLst/>
                    </a:prstGeom>
                  </pic:spPr>
                </pic:pic>
              </a:graphicData>
            </a:graphic>
          </wp:inline>
        </w:drawing>
      </w:r>
    </w:p>
    <w:p w14:paraId="1C169214" w14:textId="77777777" w:rsidR="00DC038F" w:rsidRPr="00A75D9F" w:rsidRDefault="00DC038F" w:rsidP="00A75D9F">
      <w:pPr>
        <w:spacing w:line="360" w:lineRule="auto"/>
        <w:rPr>
          <w:rFonts w:ascii="Arial" w:hAnsi="Arial" w:cs="Arial"/>
        </w:rPr>
      </w:pPr>
      <w:r w:rsidRPr="00A75D9F">
        <w:rPr>
          <w:rFonts w:ascii="Arial" w:hAnsi="Arial" w:cs="Arial"/>
        </w:rPr>
        <w:lastRenderedPageBreak/>
        <w:t>The redesigned customer journey places emphasis on ongoing co-created value between the brand and consumer, rather than a primarily transactional interaction (Vargo and Lusch, 2004). Previously, consumer engagement was fragmented, with limited opportunities for feedback, personalisation, or sustained interaction beyond the initial purchase. In contrast, the new journey enables continuous personalised engagement that reinforces consumer identity, supports sustainability-focused behaviours, and encourages consistent habit-building through digital touchpoints and reward mechanisms.</w:t>
      </w:r>
    </w:p>
    <w:p w14:paraId="653DA09D" w14:textId="5C5826B0" w:rsidR="00B23902" w:rsidRPr="00A75D9F" w:rsidRDefault="00B23902" w:rsidP="00A75D9F">
      <w:pPr>
        <w:pStyle w:val="Heading1"/>
        <w:spacing w:line="360" w:lineRule="auto"/>
        <w:rPr>
          <w:rFonts w:ascii="Arial" w:hAnsi="Arial" w:cs="Arial"/>
          <w:sz w:val="22"/>
          <w:szCs w:val="22"/>
        </w:rPr>
      </w:pPr>
      <w:bookmarkStart w:id="13" w:name="_Toc214200516"/>
      <w:r w:rsidRPr="00A75D9F">
        <w:rPr>
          <w:rFonts w:ascii="Arial" w:hAnsi="Arial" w:cs="Arial"/>
          <w:sz w:val="22"/>
          <w:szCs w:val="22"/>
        </w:rPr>
        <w:t>Customer Journey Comparison: Before vs After Digital Transformation (Proper Snacks UK)</w:t>
      </w:r>
      <w:bookmarkEnd w:id="13"/>
    </w:p>
    <w:p w14:paraId="08478508" w14:textId="77777777" w:rsidR="00B23902" w:rsidRPr="00A75D9F" w:rsidRDefault="00B23902" w:rsidP="00A75D9F">
      <w:pPr>
        <w:spacing w:line="360" w:lineRule="auto"/>
        <w:rPr>
          <w:rFonts w:ascii="Arial" w:hAnsi="Arial" w:cs="Arial"/>
        </w:rPr>
      </w:pPr>
      <w:r w:rsidRPr="00A75D9F">
        <w:rPr>
          <w:rFonts w:ascii="Arial" w:hAnsi="Arial" w:cs="Arial"/>
        </w:rPr>
        <w:t>Overview</w:t>
      </w:r>
    </w:p>
    <w:p w14:paraId="089E9107" w14:textId="52A7455B" w:rsidR="00B23902" w:rsidRPr="00A75D9F" w:rsidRDefault="00B23902" w:rsidP="00A75D9F">
      <w:pPr>
        <w:spacing w:line="360" w:lineRule="auto"/>
        <w:rPr>
          <w:rFonts w:ascii="Arial" w:hAnsi="Arial" w:cs="Arial"/>
        </w:rPr>
      </w:pPr>
      <w:r w:rsidRPr="00A75D9F">
        <w:rPr>
          <w:rFonts w:ascii="Arial" w:hAnsi="Arial" w:cs="Arial"/>
        </w:rPr>
        <w:t>The customer journey for Proper Snacks UK evolves from a primarily physical and reactive process to a digitally integrated, data-driven ecosystem (“Proper+”). Using digital tools such as AI, AR, and CRM integration enhances engagement, personalisation, and sustainability tracking (Lemon &amp; Verhoef, 2016; Chaffey &amp; Ellis-Chadwick, 2019).</w:t>
      </w:r>
    </w:p>
    <w:p w14:paraId="597D495F" w14:textId="77777777" w:rsidR="003E4870" w:rsidRPr="00A75D9F" w:rsidRDefault="003E4870" w:rsidP="00A75D9F">
      <w:pPr>
        <w:spacing w:line="360" w:lineRule="auto"/>
        <w:rPr>
          <w:rFonts w:ascii="Arial" w:hAnsi="Arial" w:cs="Arial"/>
        </w:rPr>
      </w:pPr>
    </w:p>
    <w:p w14:paraId="2F12EBB7" w14:textId="77777777" w:rsidR="00A75D9F" w:rsidRPr="00A75D9F" w:rsidRDefault="00A75D9F" w:rsidP="00A75D9F">
      <w:pPr>
        <w:pStyle w:val="Heading2"/>
        <w:spacing w:line="360" w:lineRule="auto"/>
        <w:rPr>
          <w:rFonts w:ascii="Arial" w:hAnsi="Arial" w:cs="Arial"/>
          <w:sz w:val="22"/>
          <w:szCs w:val="22"/>
        </w:rPr>
      </w:pPr>
    </w:p>
    <w:p w14:paraId="6A6ED21E" w14:textId="77777777" w:rsidR="00A75D9F" w:rsidRPr="00A75D9F" w:rsidRDefault="00A75D9F" w:rsidP="00A75D9F">
      <w:pPr>
        <w:pStyle w:val="Heading2"/>
        <w:spacing w:line="360" w:lineRule="auto"/>
        <w:rPr>
          <w:rFonts w:ascii="Arial" w:hAnsi="Arial" w:cs="Arial"/>
          <w:sz w:val="22"/>
          <w:szCs w:val="22"/>
        </w:rPr>
      </w:pPr>
    </w:p>
    <w:p w14:paraId="462E5F4F" w14:textId="0228987E" w:rsidR="00B23902" w:rsidRPr="00A75D9F" w:rsidRDefault="00B23902" w:rsidP="00A75D9F">
      <w:pPr>
        <w:pStyle w:val="Heading2"/>
        <w:spacing w:line="360" w:lineRule="auto"/>
        <w:rPr>
          <w:rFonts w:ascii="Arial" w:hAnsi="Arial" w:cs="Arial"/>
          <w:sz w:val="22"/>
          <w:szCs w:val="22"/>
        </w:rPr>
      </w:pPr>
      <w:bookmarkStart w:id="14" w:name="_Toc214200517"/>
      <w:r w:rsidRPr="00A75D9F">
        <w:rPr>
          <w:rFonts w:ascii="Arial" w:hAnsi="Arial" w:cs="Arial"/>
          <w:sz w:val="22"/>
          <w:szCs w:val="22"/>
        </w:rPr>
        <w:t>Detailed Before-and-After Comparison</w:t>
      </w:r>
      <w:bookmarkEnd w:id="1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97"/>
        <w:gridCol w:w="3604"/>
        <w:gridCol w:w="3725"/>
      </w:tblGrid>
      <w:tr w:rsidR="00B23902" w:rsidRPr="00A75D9F" w14:paraId="78441DFE" w14:textId="77777777">
        <w:trPr>
          <w:tblHeader/>
          <w:tblCellSpacing w:w="15" w:type="dxa"/>
        </w:trPr>
        <w:tc>
          <w:tcPr>
            <w:tcW w:w="0" w:type="auto"/>
            <w:vAlign w:val="center"/>
            <w:hideMark/>
          </w:tcPr>
          <w:p w14:paraId="7C0B2227" w14:textId="77777777" w:rsidR="00B23902" w:rsidRPr="00A75D9F" w:rsidRDefault="00B23902" w:rsidP="00A75D9F">
            <w:pPr>
              <w:spacing w:line="360" w:lineRule="auto"/>
              <w:rPr>
                <w:rFonts w:ascii="Arial" w:hAnsi="Arial" w:cs="Arial"/>
              </w:rPr>
            </w:pPr>
            <w:r w:rsidRPr="00A75D9F">
              <w:rPr>
                <w:rFonts w:ascii="Arial" w:hAnsi="Arial" w:cs="Arial"/>
              </w:rPr>
              <w:t>Stage</w:t>
            </w:r>
          </w:p>
        </w:tc>
        <w:tc>
          <w:tcPr>
            <w:tcW w:w="0" w:type="auto"/>
            <w:vAlign w:val="center"/>
            <w:hideMark/>
          </w:tcPr>
          <w:p w14:paraId="522A24CF" w14:textId="77777777" w:rsidR="00B23902" w:rsidRPr="00A75D9F" w:rsidRDefault="00B23902" w:rsidP="00A75D9F">
            <w:pPr>
              <w:spacing w:line="360" w:lineRule="auto"/>
              <w:rPr>
                <w:rFonts w:ascii="Arial" w:hAnsi="Arial" w:cs="Arial"/>
              </w:rPr>
            </w:pPr>
            <w:r w:rsidRPr="00A75D9F">
              <w:rPr>
                <w:rFonts w:ascii="Arial" w:hAnsi="Arial" w:cs="Arial"/>
              </w:rPr>
              <w:t>Before (Current Journey)</w:t>
            </w:r>
          </w:p>
        </w:tc>
        <w:tc>
          <w:tcPr>
            <w:tcW w:w="0" w:type="auto"/>
            <w:vAlign w:val="center"/>
            <w:hideMark/>
          </w:tcPr>
          <w:p w14:paraId="35D2EFBE" w14:textId="77777777" w:rsidR="00B23902" w:rsidRPr="00A75D9F" w:rsidRDefault="00B23902" w:rsidP="00A75D9F">
            <w:pPr>
              <w:spacing w:line="360" w:lineRule="auto"/>
              <w:rPr>
                <w:rFonts w:ascii="Arial" w:hAnsi="Arial" w:cs="Arial"/>
              </w:rPr>
            </w:pPr>
            <w:r w:rsidRPr="00A75D9F">
              <w:rPr>
                <w:rFonts w:ascii="Arial" w:hAnsi="Arial" w:cs="Arial"/>
              </w:rPr>
              <w:t>After (Enhanced Journey – “Proper+”)</w:t>
            </w:r>
          </w:p>
        </w:tc>
      </w:tr>
      <w:tr w:rsidR="00B23902" w:rsidRPr="00A75D9F" w14:paraId="53A13745" w14:textId="77777777">
        <w:trPr>
          <w:tblCellSpacing w:w="15" w:type="dxa"/>
        </w:trPr>
        <w:tc>
          <w:tcPr>
            <w:tcW w:w="0" w:type="auto"/>
            <w:vAlign w:val="center"/>
            <w:hideMark/>
          </w:tcPr>
          <w:p w14:paraId="683F8E89" w14:textId="77777777" w:rsidR="00B23902" w:rsidRPr="00A75D9F" w:rsidRDefault="00B23902" w:rsidP="00A75D9F">
            <w:pPr>
              <w:spacing w:line="360" w:lineRule="auto"/>
              <w:rPr>
                <w:rFonts w:ascii="Arial" w:hAnsi="Arial" w:cs="Arial"/>
              </w:rPr>
            </w:pPr>
            <w:r w:rsidRPr="00A75D9F">
              <w:rPr>
                <w:rFonts w:ascii="Arial" w:hAnsi="Arial" w:cs="Arial"/>
              </w:rPr>
              <w:t>1. Awareness / Discovery</w:t>
            </w:r>
          </w:p>
        </w:tc>
        <w:tc>
          <w:tcPr>
            <w:tcW w:w="0" w:type="auto"/>
            <w:vAlign w:val="center"/>
            <w:hideMark/>
          </w:tcPr>
          <w:p w14:paraId="694C01F2" w14:textId="77777777" w:rsidR="00B23902" w:rsidRPr="00A75D9F" w:rsidRDefault="00B23902" w:rsidP="00A75D9F">
            <w:pPr>
              <w:spacing w:line="360" w:lineRule="auto"/>
              <w:rPr>
                <w:rFonts w:ascii="Arial" w:hAnsi="Arial" w:cs="Arial"/>
              </w:rPr>
            </w:pPr>
            <w:r w:rsidRPr="00A75D9F">
              <w:rPr>
                <w:rFonts w:ascii="Arial" w:hAnsi="Arial" w:cs="Arial"/>
              </w:rPr>
              <w:t xml:space="preserve">Touchpoints / Actions: Social media ads (Instagram, TikTok), in-store shelves, retail sampling, and friend recommendations. </w:t>
            </w:r>
            <w:r w:rsidRPr="00A75D9F">
              <w:rPr>
                <w:rFonts w:ascii="Arial" w:hAnsi="Arial" w:cs="Arial"/>
              </w:rPr>
              <w:br/>
            </w:r>
            <w:r w:rsidRPr="00A75D9F">
              <w:rPr>
                <w:rFonts w:ascii="Arial" w:hAnsi="Arial" w:cs="Arial"/>
              </w:rPr>
              <w:br/>
              <w:t xml:space="preserve">Gains: Eye-catching packaging and “healthy but tasty” positioning. </w:t>
            </w:r>
            <w:r w:rsidRPr="00A75D9F">
              <w:rPr>
                <w:rFonts w:ascii="Arial" w:hAnsi="Arial" w:cs="Arial"/>
              </w:rPr>
              <w:br/>
            </w:r>
            <w:r w:rsidRPr="00A75D9F">
              <w:rPr>
                <w:rFonts w:ascii="Arial" w:hAnsi="Arial" w:cs="Arial"/>
              </w:rPr>
              <w:br/>
              <w:t xml:space="preserve">Pains: Overcrowded snack aisles and unclear brand differentiation. </w:t>
            </w:r>
            <w:r w:rsidRPr="00A75D9F">
              <w:rPr>
                <w:rFonts w:ascii="Arial" w:hAnsi="Arial" w:cs="Arial"/>
              </w:rPr>
              <w:br/>
            </w:r>
            <w:r w:rsidRPr="00A75D9F">
              <w:rPr>
                <w:rFonts w:ascii="Arial" w:hAnsi="Arial" w:cs="Arial"/>
              </w:rPr>
              <w:br/>
              <w:t xml:space="preserve">Digital Opportunity: Early concepts </w:t>
            </w:r>
            <w:r w:rsidRPr="00A75D9F">
              <w:rPr>
                <w:rFonts w:ascii="Arial" w:hAnsi="Arial" w:cs="Arial"/>
              </w:rPr>
              <w:lastRenderedPageBreak/>
              <w:t>for AR scanning and AI-personalised social content.</w:t>
            </w:r>
          </w:p>
        </w:tc>
        <w:tc>
          <w:tcPr>
            <w:tcW w:w="0" w:type="auto"/>
            <w:vAlign w:val="center"/>
            <w:hideMark/>
          </w:tcPr>
          <w:p w14:paraId="23F39B80" w14:textId="77777777" w:rsidR="00B23902" w:rsidRPr="00A75D9F" w:rsidRDefault="00B23902" w:rsidP="00A75D9F">
            <w:pPr>
              <w:spacing w:line="360" w:lineRule="auto"/>
              <w:rPr>
                <w:rFonts w:ascii="Arial" w:hAnsi="Arial" w:cs="Arial"/>
              </w:rPr>
            </w:pPr>
            <w:r w:rsidRPr="00A75D9F">
              <w:rPr>
                <w:rFonts w:ascii="Arial" w:hAnsi="Arial" w:cs="Arial"/>
              </w:rPr>
              <w:lastRenderedPageBreak/>
              <w:t xml:space="preserve">Touchpoints / Actions: Social ads, influencer content, and QR-linked campaigns. </w:t>
            </w:r>
            <w:r w:rsidRPr="00A75D9F">
              <w:rPr>
                <w:rFonts w:ascii="Arial" w:hAnsi="Arial" w:cs="Arial"/>
              </w:rPr>
              <w:br/>
            </w:r>
            <w:r w:rsidRPr="00A75D9F">
              <w:rPr>
                <w:rFonts w:ascii="Arial" w:hAnsi="Arial" w:cs="Arial"/>
              </w:rPr>
              <w:br/>
              <w:t xml:space="preserve">Enhanced Experience: Dynamic storytelling about brand purpose and sustainability values tailored through AI (Chaffey &amp; Ellis-Chadwick, 2019). </w:t>
            </w:r>
            <w:r w:rsidRPr="00A75D9F">
              <w:rPr>
                <w:rFonts w:ascii="Arial" w:hAnsi="Arial" w:cs="Arial"/>
              </w:rPr>
              <w:br/>
            </w:r>
            <w:r w:rsidRPr="00A75D9F">
              <w:rPr>
                <w:rFonts w:ascii="Arial" w:hAnsi="Arial" w:cs="Arial"/>
              </w:rPr>
              <w:br/>
              <w:t>Digital Integration: AI-driven audience targeting and AR-enabled snack visualisation that enhances emotional connection and discovery.</w:t>
            </w:r>
          </w:p>
        </w:tc>
      </w:tr>
      <w:tr w:rsidR="00B23902" w:rsidRPr="00A75D9F" w14:paraId="7AAB6BAA" w14:textId="77777777">
        <w:trPr>
          <w:tblCellSpacing w:w="15" w:type="dxa"/>
        </w:trPr>
        <w:tc>
          <w:tcPr>
            <w:tcW w:w="0" w:type="auto"/>
            <w:vAlign w:val="center"/>
            <w:hideMark/>
          </w:tcPr>
          <w:p w14:paraId="6AD22DA0" w14:textId="77777777" w:rsidR="00B23902" w:rsidRPr="00A75D9F" w:rsidRDefault="00B23902" w:rsidP="00A75D9F">
            <w:pPr>
              <w:spacing w:line="360" w:lineRule="auto"/>
              <w:rPr>
                <w:rFonts w:ascii="Arial" w:hAnsi="Arial" w:cs="Arial"/>
              </w:rPr>
            </w:pPr>
            <w:r w:rsidRPr="00A75D9F">
              <w:rPr>
                <w:rFonts w:ascii="Arial" w:hAnsi="Arial" w:cs="Arial"/>
              </w:rPr>
              <w:t>2. Consideration / Selection</w:t>
            </w:r>
          </w:p>
        </w:tc>
        <w:tc>
          <w:tcPr>
            <w:tcW w:w="0" w:type="auto"/>
            <w:vAlign w:val="center"/>
            <w:hideMark/>
          </w:tcPr>
          <w:p w14:paraId="1C2D51FB" w14:textId="77777777" w:rsidR="00B23902" w:rsidRPr="00A75D9F" w:rsidRDefault="00B23902" w:rsidP="00A75D9F">
            <w:pPr>
              <w:spacing w:line="360" w:lineRule="auto"/>
              <w:rPr>
                <w:rFonts w:ascii="Arial" w:hAnsi="Arial" w:cs="Arial"/>
              </w:rPr>
            </w:pPr>
            <w:r w:rsidRPr="00A75D9F">
              <w:rPr>
                <w:rFonts w:ascii="Arial" w:hAnsi="Arial" w:cs="Arial"/>
              </w:rPr>
              <w:t xml:space="preserve">Touchpoints / Actions: Visiting the website, comparing ingredients and flavours, reviewing nutrition, and choosing purchase channels. </w:t>
            </w:r>
            <w:r w:rsidRPr="00A75D9F">
              <w:rPr>
                <w:rFonts w:ascii="Arial" w:hAnsi="Arial" w:cs="Arial"/>
              </w:rPr>
              <w:br/>
            </w:r>
            <w:r w:rsidRPr="00A75D9F">
              <w:rPr>
                <w:rFonts w:ascii="Arial" w:hAnsi="Arial" w:cs="Arial"/>
              </w:rPr>
              <w:br/>
              <w:t xml:space="preserve">Gains: Clean-label credentials and portion control. </w:t>
            </w:r>
            <w:r w:rsidRPr="00A75D9F">
              <w:rPr>
                <w:rFonts w:ascii="Arial" w:hAnsi="Arial" w:cs="Arial"/>
              </w:rPr>
              <w:br/>
            </w:r>
            <w:r w:rsidRPr="00A75D9F">
              <w:rPr>
                <w:rFonts w:ascii="Arial" w:hAnsi="Arial" w:cs="Arial"/>
              </w:rPr>
              <w:br/>
              <w:t xml:space="preserve">Pains: Incomplete product visibility online; flavour unavailability; limited trial opportunities. </w:t>
            </w:r>
            <w:r w:rsidRPr="00A75D9F">
              <w:rPr>
                <w:rFonts w:ascii="Arial" w:hAnsi="Arial" w:cs="Arial"/>
              </w:rPr>
              <w:br/>
            </w:r>
            <w:r w:rsidRPr="00A75D9F">
              <w:rPr>
                <w:rFonts w:ascii="Arial" w:hAnsi="Arial" w:cs="Arial"/>
              </w:rPr>
              <w:br/>
              <w:t>Digital Opportunity: Chatbot or web widget for snack matching and allergy info.</w:t>
            </w:r>
          </w:p>
        </w:tc>
        <w:tc>
          <w:tcPr>
            <w:tcW w:w="0" w:type="auto"/>
            <w:vAlign w:val="center"/>
            <w:hideMark/>
          </w:tcPr>
          <w:p w14:paraId="11AED198" w14:textId="77777777" w:rsidR="00B23902" w:rsidRPr="00A75D9F" w:rsidRDefault="00B23902" w:rsidP="00A75D9F">
            <w:pPr>
              <w:spacing w:line="360" w:lineRule="auto"/>
              <w:rPr>
                <w:rFonts w:ascii="Arial" w:hAnsi="Arial" w:cs="Arial"/>
              </w:rPr>
            </w:pPr>
            <w:r w:rsidRPr="00A75D9F">
              <w:rPr>
                <w:rFonts w:ascii="Arial" w:hAnsi="Arial" w:cs="Arial"/>
              </w:rPr>
              <w:t xml:space="preserve">Touchpoints / Actions: Proper+ app with an AI-powered recommendation engine. </w:t>
            </w:r>
            <w:r w:rsidRPr="00A75D9F">
              <w:rPr>
                <w:rFonts w:ascii="Arial" w:hAnsi="Arial" w:cs="Arial"/>
              </w:rPr>
              <w:br/>
            </w:r>
            <w:r w:rsidRPr="00A75D9F">
              <w:rPr>
                <w:rFonts w:ascii="Arial" w:hAnsi="Arial" w:cs="Arial"/>
              </w:rPr>
              <w:br/>
              <w:t xml:space="preserve">Enhanced Experience: “Snack Match” tool helps customers find ideal snacks based on taste, mood, and health goals. </w:t>
            </w:r>
            <w:r w:rsidRPr="00A75D9F">
              <w:rPr>
                <w:rFonts w:ascii="Arial" w:hAnsi="Arial" w:cs="Arial"/>
              </w:rPr>
              <w:br/>
            </w:r>
            <w:r w:rsidRPr="00A75D9F">
              <w:rPr>
                <w:rFonts w:ascii="Arial" w:hAnsi="Arial" w:cs="Arial"/>
              </w:rPr>
              <w:br/>
              <w:t>Digital Integration: Real-time personalisation supported by conversational AI, improving convenience and trust (Lemon &amp; Verhoef, 2016; Vargo &amp; Lusch, 2004).</w:t>
            </w:r>
          </w:p>
        </w:tc>
      </w:tr>
      <w:tr w:rsidR="00B23902" w:rsidRPr="00A75D9F" w14:paraId="09CF9578" w14:textId="77777777">
        <w:trPr>
          <w:tblCellSpacing w:w="15" w:type="dxa"/>
        </w:trPr>
        <w:tc>
          <w:tcPr>
            <w:tcW w:w="0" w:type="auto"/>
            <w:vAlign w:val="center"/>
            <w:hideMark/>
          </w:tcPr>
          <w:p w14:paraId="1D4E427C" w14:textId="77777777" w:rsidR="00B23902" w:rsidRPr="00A75D9F" w:rsidRDefault="00B23902" w:rsidP="00A75D9F">
            <w:pPr>
              <w:spacing w:line="360" w:lineRule="auto"/>
              <w:rPr>
                <w:rFonts w:ascii="Arial" w:hAnsi="Arial" w:cs="Arial"/>
              </w:rPr>
            </w:pPr>
            <w:r w:rsidRPr="00A75D9F">
              <w:rPr>
                <w:rFonts w:ascii="Arial" w:hAnsi="Arial" w:cs="Arial"/>
              </w:rPr>
              <w:t>3. Purchase / Acquisition</w:t>
            </w:r>
          </w:p>
        </w:tc>
        <w:tc>
          <w:tcPr>
            <w:tcW w:w="0" w:type="auto"/>
            <w:vAlign w:val="center"/>
            <w:hideMark/>
          </w:tcPr>
          <w:p w14:paraId="5E594DE9" w14:textId="77777777" w:rsidR="00B23902" w:rsidRPr="00A75D9F" w:rsidRDefault="00B23902" w:rsidP="00A75D9F">
            <w:pPr>
              <w:spacing w:line="360" w:lineRule="auto"/>
              <w:rPr>
                <w:rFonts w:ascii="Arial" w:hAnsi="Arial" w:cs="Arial"/>
              </w:rPr>
            </w:pPr>
            <w:r w:rsidRPr="00A75D9F">
              <w:rPr>
                <w:rFonts w:ascii="Arial" w:hAnsi="Arial" w:cs="Arial"/>
              </w:rPr>
              <w:t xml:space="preserve">Touchpoints / Actions: In-store checkout, online purchase, or subscription. </w:t>
            </w:r>
            <w:r w:rsidRPr="00A75D9F">
              <w:rPr>
                <w:rFonts w:ascii="Arial" w:hAnsi="Arial" w:cs="Arial"/>
              </w:rPr>
              <w:br/>
            </w:r>
            <w:r w:rsidRPr="00A75D9F">
              <w:rPr>
                <w:rFonts w:ascii="Arial" w:hAnsi="Arial" w:cs="Arial"/>
              </w:rPr>
              <w:br/>
              <w:t xml:space="preserve">Gains: Broad retailer presence and product availability. </w:t>
            </w:r>
            <w:r w:rsidRPr="00A75D9F">
              <w:rPr>
                <w:rFonts w:ascii="Arial" w:hAnsi="Arial" w:cs="Arial"/>
              </w:rPr>
              <w:br/>
            </w:r>
            <w:r w:rsidRPr="00A75D9F">
              <w:rPr>
                <w:rFonts w:ascii="Arial" w:hAnsi="Arial" w:cs="Arial"/>
              </w:rPr>
              <w:br/>
              <w:t xml:space="preserve">Pains: Stock-outs, long queues, online shipping delays, and limited formats. </w:t>
            </w:r>
            <w:r w:rsidRPr="00A75D9F">
              <w:rPr>
                <w:rFonts w:ascii="Arial" w:hAnsi="Arial" w:cs="Arial"/>
              </w:rPr>
              <w:br/>
            </w:r>
            <w:r w:rsidRPr="00A75D9F">
              <w:rPr>
                <w:rFonts w:ascii="Arial" w:hAnsi="Arial" w:cs="Arial"/>
              </w:rPr>
              <w:br/>
              <w:t>Digital Opportunity: Mobile app for easy reorders and subscription setup.</w:t>
            </w:r>
          </w:p>
        </w:tc>
        <w:tc>
          <w:tcPr>
            <w:tcW w:w="0" w:type="auto"/>
            <w:vAlign w:val="center"/>
            <w:hideMark/>
          </w:tcPr>
          <w:p w14:paraId="230ECCB2" w14:textId="77777777" w:rsidR="00B23902" w:rsidRPr="00A75D9F" w:rsidRDefault="00B23902" w:rsidP="00A75D9F">
            <w:pPr>
              <w:spacing w:line="360" w:lineRule="auto"/>
              <w:rPr>
                <w:rFonts w:ascii="Arial" w:hAnsi="Arial" w:cs="Arial"/>
              </w:rPr>
            </w:pPr>
            <w:r w:rsidRPr="00A75D9F">
              <w:rPr>
                <w:rFonts w:ascii="Arial" w:hAnsi="Arial" w:cs="Arial"/>
              </w:rPr>
              <w:t xml:space="preserve">Touchpoints / Actions: Direct-to-consumer (D2C) Proper+ app, scan-to-buy retail experience, and digital subscriptions. </w:t>
            </w:r>
            <w:r w:rsidRPr="00A75D9F">
              <w:rPr>
                <w:rFonts w:ascii="Arial" w:hAnsi="Arial" w:cs="Arial"/>
              </w:rPr>
              <w:br/>
            </w:r>
            <w:r w:rsidRPr="00A75D9F">
              <w:rPr>
                <w:rFonts w:ascii="Arial" w:hAnsi="Arial" w:cs="Arial"/>
              </w:rPr>
              <w:br/>
              <w:t xml:space="preserve">Enhanced Experience: Frictionless checkout, one-click reordering, and eco-incentives for packaging returns (Osterwalder &amp; Pigneur, 2010). </w:t>
            </w:r>
            <w:r w:rsidRPr="00A75D9F">
              <w:rPr>
                <w:rFonts w:ascii="Arial" w:hAnsi="Arial" w:cs="Arial"/>
              </w:rPr>
              <w:br/>
            </w:r>
            <w:r w:rsidRPr="00A75D9F">
              <w:rPr>
                <w:rFonts w:ascii="Arial" w:hAnsi="Arial" w:cs="Arial"/>
              </w:rPr>
              <w:br/>
              <w:t>Digital Integration: Unified payment, loyalty, and recycling tracking system linking digital and physical purchases.</w:t>
            </w:r>
          </w:p>
        </w:tc>
      </w:tr>
      <w:tr w:rsidR="00B23902" w:rsidRPr="00A75D9F" w14:paraId="548A5EAE" w14:textId="77777777">
        <w:trPr>
          <w:tblCellSpacing w:w="15" w:type="dxa"/>
        </w:trPr>
        <w:tc>
          <w:tcPr>
            <w:tcW w:w="0" w:type="auto"/>
            <w:vAlign w:val="center"/>
            <w:hideMark/>
          </w:tcPr>
          <w:p w14:paraId="7BA5D709" w14:textId="77777777" w:rsidR="00B23902" w:rsidRPr="00A75D9F" w:rsidRDefault="00B23902" w:rsidP="00A75D9F">
            <w:pPr>
              <w:spacing w:line="360" w:lineRule="auto"/>
              <w:rPr>
                <w:rFonts w:ascii="Arial" w:hAnsi="Arial" w:cs="Arial"/>
              </w:rPr>
            </w:pPr>
            <w:r w:rsidRPr="00A75D9F">
              <w:rPr>
                <w:rFonts w:ascii="Arial" w:hAnsi="Arial" w:cs="Arial"/>
              </w:rPr>
              <w:lastRenderedPageBreak/>
              <w:t>4. Consumption / Post-Purchase</w:t>
            </w:r>
          </w:p>
        </w:tc>
        <w:tc>
          <w:tcPr>
            <w:tcW w:w="0" w:type="auto"/>
            <w:vAlign w:val="center"/>
            <w:hideMark/>
          </w:tcPr>
          <w:p w14:paraId="24376830" w14:textId="77777777" w:rsidR="00B23902" w:rsidRPr="00A75D9F" w:rsidRDefault="00B23902" w:rsidP="00A75D9F">
            <w:pPr>
              <w:spacing w:line="360" w:lineRule="auto"/>
              <w:rPr>
                <w:rFonts w:ascii="Arial" w:hAnsi="Arial" w:cs="Arial"/>
              </w:rPr>
            </w:pPr>
            <w:r w:rsidRPr="00A75D9F">
              <w:rPr>
                <w:rFonts w:ascii="Arial" w:hAnsi="Arial" w:cs="Arial"/>
              </w:rPr>
              <w:t xml:space="preserve">Touchpoints / Actions: Snack consumption, social sharing, recycling packaging. </w:t>
            </w:r>
            <w:r w:rsidRPr="00A75D9F">
              <w:rPr>
                <w:rFonts w:ascii="Arial" w:hAnsi="Arial" w:cs="Arial"/>
              </w:rPr>
              <w:br/>
            </w:r>
            <w:r w:rsidRPr="00A75D9F">
              <w:rPr>
                <w:rFonts w:ascii="Arial" w:hAnsi="Arial" w:cs="Arial"/>
              </w:rPr>
              <w:br/>
              <w:t xml:space="preserve">Gains: Great flavour and healthy perception. </w:t>
            </w:r>
            <w:r w:rsidRPr="00A75D9F">
              <w:rPr>
                <w:rFonts w:ascii="Arial" w:hAnsi="Arial" w:cs="Arial"/>
              </w:rPr>
              <w:br/>
            </w:r>
            <w:r w:rsidRPr="00A75D9F">
              <w:rPr>
                <w:rFonts w:ascii="Arial" w:hAnsi="Arial" w:cs="Arial"/>
              </w:rPr>
              <w:br/>
              <w:t xml:space="preserve">Pains: Packaging usability issues, portion size inconsistencies, no structured feedback loop. </w:t>
            </w:r>
            <w:r w:rsidRPr="00A75D9F">
              <w:rPr>
                <w:rFonts w:ascii="Arial" w:hAnsi="Arial" w:cs="Arial"/>
              </w:rPr>
              <w:br/>
            </w:r>
            <w:r w:rsidRPr="00A75D9F">
              <w:rPr>
                <w:rFonts w:ascii="Arial" w:hAnsi="Arial" w:cs="Arial"/>
              </w:rPr>
              <w:br/>
              <w:t>Digital Opportunity: QR code scan for feedback and engagement.</w:t>
            </w:r>
          </w:p>
        </w:tc>
        <w:tc>
          <w:tcPr>
            <w:tcW w:w="0" w:type="auto"/>
            <w:vAlign w:val="center"/>
            <w:hideMark/>
          </w:tcPr>
          <w:p w14:paraId="7CA4ACE9" w14:textId="77777777" w:rsidR="00B23902" w:rsidRPr="00A75D9F" w:rsidRDefault="00B23902" w:rsidP="00A75D9F">
            <w:pPr>
              <w:spacing w:line="360" w:lineRule="auto"/>
              <w:rPr>
                <w:rFonts w:ascii="Arial" w:hAnsi="Arial" w:cs="Arial"/>
              </w:rPr>
            </w:pPr>
            <w:r w:rsidRPr="00A75D9F">
              <w:rPr>
                <w:rFonts w:ascii="Arial" w:hAnsi="Arial" w:cs="Arial"/>
              </w:rPr>
              <w:t xml:space="preserve">Touchpoints / Actions: Snack enjoyment paired with interactive digital experiences. </w:t>
            </w:r>
            <w:r w:rsidRPr="00A75D9F">
              <w:rPr>
                <w:rFonts w:ascii="Arial" w:hAnsi="Arial" w:cs="Arial"/>
              </w:rPr>
              <w:br/>
            </w:r>
            <w:r w:rsidRPr="00A75D9F">
              <w:rPr>
                <w:rFonts w:ascii="Arial" w:hAnsi="Arial" w:cs="Arial"/>
              </w:rPr>
              <w:br/>
              <w:t xml:space="preserve">Enhanced Experience: In-pack AR content and gamified feedback loop with instant digital rewards (Grewal, Roggeveen &amp; </w:t>
            </w:r>
            <w:proofErr w:type="spellStart"/>
            <w:r w:rsidRPr="00A75D9F">
              <w:rPr>
                <w:rFonts w:ascii="Arial" w:hAnsi="Arial" w:cs="Arial"/>
              </w:rPr>
              <w:t>Nordfält</w:t>
            </w:r>
            <w:proofErr w:type="spellEnd"/>
            <w:r w:rsidRPr="00A75D9F">
              <w:rPr>
                <w:rFonts w:ascii="Arial" w:hAnsi="Arial" w:cs="Arial"/>
              </w:rPr>
              <w:t xml:space="preserve">, 2020). </w:t>
            </w:r>
            <w:r w:rsidRPr="00A75D9F">
              <w:rPr>
                <w:rFonts w:ascii="Arial" w:hAnsi="Arial" w:cs="Arial"/>
              </w:rPr>
              <w:br/>
            </w:r>
            <w:r w:rsidRPr="00A75D9F">
              <w:rPr>
                <w:rFonts w:ascii="Arial" w:hAnsi="Arial" w:cs="Arial"/>
              </w:rPr>
              <w:br/>
              <w:t>Digital Integration: QR-based data collection feeds customer relationship management (CRM) for insights and product optimisation.</w:t>
            </w:r>
          </w:p>
        </w:tc>
      </w:tr>
      <w:tr w:rsidR="00B23902" w:rsidRPr="00A75D9F" w14:paraId="2870820B" w14:textId="77777777">
        <w:trPr>
          <w:tblCellSpacing w:w="15" w:type="dxa"/>
        </w:trPr>
        <w:tc>
          <w:tcPr>
            <w:tcW w:w="0" w:type="auto"/>
            <w:vAlign w:val="center"/>
            <w:hideMark/>
          </w:tcPr>
          <w:p w14:paraId="5B5F12C0" w14:textId="77777777" w:rsidR="00B23902" w:rsidRPr="00A75D9F" w:rsidRDefault="00B23902" w:rsidP="00A75D9F">
            <w:pPr>
              <w:spacing w:line="360" w:lineRule="auto"/>
              <w:rPr>
                <w:rFonts w:ascii="Arial" w:hAnsi="Arial" w:cs="Arial"/>
              </w:rPr>
            </w:pPr>
            <w:r w:rsidRPr="00A75D9F">
              <w:rPr>
                <w:rFonts w:ascii="Arial" w:hAnsi="Arial" w:cs="Arial"/>
              </w:rPr>
              <w:t>5. Loyalty / Advocacy</w:t>
            </w:r>
          </w:p>
        </w:tc>
        <w:tc>
          <w:tcPr>
            <w:tcW w:w="0" w:type="auto"/>
            <w:vAlign w:val="center"/>
            <w:hideMark/>
          </w:tcPr>
          <w:p w14:paraId="695F2BE9" w14:textId="77777777" w:rsidR="00B23902" w:rsidRPr="00A75D9F" w:rsidRDefault="00B23902" w:rsidP="00A75D9F">
            <w:pPr>
              <w:spacing w:line="360" w:lineRule="auto"/>
              <w:rPr>
                <w:rFonts w:ascii="Arial" w:hAnsi="Arial" w:cs="Arial"/>
              </w:rPr>
            </w:pPr>
            <w:r w:rsidRPr="00A75D9F">
              <w:rPr>
                <w:rFonts w:ascii="Arial" w:hAnsi="Arial" w:cs="Arial"/>
              </w:rPr>
              <w:t xml:space="preserve">Touchpoints / Actions: Following brand on social media, newsletter subscriptions, recycling packaging, and word-of-mouth recommendations. </w:t>
            </w:r>
            <w:r w:rsidRPr="00A75D9F">
              <w:rPr>
                <w:rFonts w:ascii="Arial" w:hAnsi="Arial" w:cs="Arial"/>
              </w:rPr>
              <w:br/>
            </w:r>
            <w:r w:rsidRPr="00A75D9F">
              <w:rPr>
                <w:rFonts w:ascii="Arial" w:hAnsi="Arial" w:cs="Arial"/>
              </w:rPr>
              <w:br/>
              <w:t xml:space="preserve">Gains: Alignment with sustainable brand identity. </w:t>
            </w:r>
            <w:r w:rsidRPr="00A75D9F">
              <w:rPr>
                <w:rFonts w:ascii="Arial" w:hAnsi="Arial" w:cs="Arial"/>
              </w:rPr>
              <w:br/>
            </w:r>
            <w:r w:rsidRPr="00A75D9F">
              <w:rPr>
                <w:rFonts w:ascii="Arial" w:hAnsi="Arial" w:cs="Arial"/>
              </w:rPr>
              <w:br/>
              <w:t xml:space="preserve">Pains: Limited loyalty rewards and no personalisation between purchases. </w:t>
            </w:r>
            <w:r w:rsidRPr="00A75D9F">
              <w:rPr>
                <w:rFonts w:ascii="Arial" w:hAnsi="Arial" w:cs="Arial"/>
              </w:rPr>
              <w:br/>
            </w:r>
            <w:r w:rsidRPr="00A75D9F">
              <w:rPr>
                <w:rFonts w:ascii="Arial" w:hAnsi="Arial" w:cs="Arial"/>
              </w:rPr>
              <w:br/>
              <w:t>Digital Opportunity: Gamified loyalty and community challenges.</w:t>
            </w:r>
          </w:p>
        </w:tc>
        <w:tc>
          <w:tcPr>
            <w:tcW w:w="0" w:type="auto"/>
            <w:vAlign w:val="center"/>
            <w:hideMark/>
          </w:tcPr>
          <w:p w14:paraId="03247386" w14:textId="77777777" w:rsidR="00B23902" w:rsidRPr="00A75D9F" w:rsidRDefault="00B23902" w:rsidP="00A75D9F">
            <w:pPr>
              <w:spacing w:line="360" w:lineRule="auto"/>
              <w:rPr>
                <w:rFonts w:ascii="Arial" w:hAnsi="Arial" w:cs="Arial"/>
              </w:rPr>
            </w:pPr>
            <w:r w:rsidRPr="00A75D9F">
              <w:rPr>
                <w:rFonts w:ascii="Arial" w:hAnsi="Arial" w:cs="Arial"/>
              </w:rPr>
              <w:t xml:space="preserve">Touchpoints / Actions: Proper+ loyalty dashboard featuring sustainability missions and community activities. </w:t>
            </w:r>
            <w:r w:rsidRPr="00A75D9F">
              <w:rPr>
                <w:rFonts w:ascii="Arial" w:hAnsi="Arial" w:cs="Arial"/>
              </w:rPr>
              <w:br/>
            </w:r>
            <w:r w:rsidRPr="00A75D9F">
              <w:rPr>
                <w:rFonts w:ascii="Arial" w:hAnsi="Arial" w:cs="Arial"/>
              </w:rPr>
              <w:br/>
              <w:t xml:space="preserve">Enhanced Experience: Gamified loyalty ecosystem with badges, rewards, and new flavour voting (Prahalad &amp; Ramaswamy, 2004). </w:t>
            </w:r>
            <w:r w:rsidRPr="00A75D9F">
              <w:rPr>
                <w:rFonts w:ascii="Arial" w:hAnsi="Arial" w:cs="Arial"/>
              </w:rPr>
              <w:br/>
            </w:r>
            <w:r w:rsidRPr="00A75D9F">
              <w:rPr>
                <w:rFonts w:ascii="Arial" w:hAnsi="Arial" w:cs="Arial"/>
              </w:rPr>
              <w:br/>
              <w:t>Digital Integration: Cloud-based CRM and AI analytics provide predictive engagement, fostering deeper customer co-creation and retention.</w:t>
            </w:r>
          </w:p>
        </w:tc>
      </w:tr>
    </w:tbl>
    <w:p w14:paraId="7F39B9D5" w14:textId="761CA57F" w:rsidR="00B23902" w:rsidRPr="00A75D9F" w:rsidRDefault="00B23902" w:rsidP="00A75D9F">
      <w:pPr>
        <w:spacing w:line="360" w:lineRule="auto"/>
        <w:rPr>
          <w:rFonts w:ascii="Arial" w:hAnsi="Arial" w:cs="Arial"/>
        </w:rPr>
      </w:pPr>
    </w:p>
    <w:p w14:paraId="649B2F6A" w14:textId="5FCD2448" w:rsidR="00B23902" w:rsidRPr="00A75D9F" w:rsidRDefault="00B23902" w:rsidP="00A75D9F">
      <w:pPr>
        <w:pStyle w:val="Heading1"/>
        <w:spacing w:line="360" w:lineRule="auto"/>
        <w:rPr>
          <w:rFonts w:ascii="Arial" w:hAnsi="Arial" w:cs="Arial"/>
          <w:sz w:val="22"/>
          <w:szCs w:val="22"/>
        </w:rPr>
      </w:pPr>
      <w:bookmarkStart w:id="15" w:name="_Toc214200518"/>
      <w:r w:rsidRPr="00A75D9F">
        <w:rPr>
          <w:rFonts w:ascii="Arial" w:hAnsi="Arial" w:cs="Arial"/>
          <w:sz w:val="22"/>
          <w:szCs w:val="22"/>
        </w:rPr>
        <w:lastRenderedPageBreak/>
        <w:t>Summary of Key Transformations</w:t>
      </w:r>
      <w:bookmarkEnd w:id="15"/>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61"/>
        <w:gridCol w:w="3370"/>
        <w:gridCol w:w="3995"/>
      </w:tblGrid>
      <w:tr w:rsidR="00B23902" w:rsidRPr="00A75D9F" w14:paraId="25E8BE9C" w14:textId="77777777">
        <w:trPr>
          <w:tblHeader/>
          <w:tblCellSpacing w:w="15" w:type="dxa"/>
        </w:trPr>
        <w:tc>
          <w:tcPr>
            <w:tcW w:w="0" w:type="auto"/>
            <w:vAlign w:val="center"/>
            <w:hideMark/>
          </w:tcPr>
          <w:p w14:paraId="3076EC45" w14:textId="77777777" w:rsidR="00B23902" w:rsidRPr="00A75D9F" w:rsidRDefault="00B23902" w:rsidP="00A75D9F">
            <w:pPr>
              <w:spacing w:line="360" w:lineRule="auto"/>
              <w:rPr>
                <w:rFonts w:ascii="Arial" w:hAnsi="Arial" w:cs="Arial"/>
              </w:rPr>
            </w:pPr>
            <w:r w:rsidRPr="00A75D9F">
              <w:rPr>
                <w:rFonts w:ascii="Arial" w:hAnsi="Arial" w:cs="Arial"/>
              </w:rPr>
              <w:t>Dimension</w:t>
            </w:r>
          </w:p>
        </w:tc>
        <w:tc>
          <w:tcPr>
            <w:tcW w:w="0" w:type="auto"/>
            <w:vAlign w:val="center"/>
            <w:hideMark/>
          </w:tcPr>
          <w:p w14:paraId="5D52E915" w14:textId="77777777" w:rsidR="00B23902" w:rsidRPr="00A75D9F" w:rsidRDefault="00B23902" w:rsidP="00A75D9F">
            <w:pPr>
              <w:spacing w:line="360" w:lineRule="auto"/>
              <w:rPr>
                <w:rFonts w:ascii="Arial" w:hAnsi="Arial" w:cs="Arial"/>
              </w:rPr>
            </w:pPr>
            <w:r w:rsidRPr="00A75D9F">
              <w:rPr>
                <w:rFonts w:ascii="Arial" w:hAnsi="Arial" w:cs="Arial"/>
              </w:rPr>
              <w:t>Before (Traditional)</w:t>
            </w:r>
          </w:p>
        </w:tc>
        <w:tc>
          <w:tcPr>
            <w:tcW w:w="0" w:type="auto"/>
            <w:vAlign w:val="center"/>
            <w:hideMark/>
          </w:tcPr>
          <w:p w14:paraId="50C4B88C" w14:textId="77777777" w:rsidR="00B23902" w:rsidRPr="00A75D9F" w:rsidRDefault="00B23902" w:rsidP="00A75D9F">
            <w:pPr>
              <w:spacing w:line="360" w:lineRule="auto"/>
              <w:rPr>
                <w:rFonts w:ascii="Arial" w:hAnsi="Arial" w:cs="Arial"/>
              </w:rPr>
            </w:pPr>
            <w:r w:rsidRPr="00A75D9F">
              <w:rPr>
                <w:rFonts w:ascii="Arial" w:hAnsi="Arial" w:cs="Arial"/>
              </w:rPr>
              <w:t>After (Proper+ Digital Ecosystem)</w:t>
            </w:r>
          </w:p>
        </w:tc>
      </w:tr>
      <w:tr w:rsidR="00B23902" w:rsidRPr="00A75D9F" w14:paraId="18CE6307" w14:textId="77777777">
        <w:trPr>
          <w:tblCellSpacing w:w="15" w:type="dxa"/>
        </w:trPr>
        <w:tc>
          <w:tcPr>
            <w:tcW w:w="0" w:type="auto"/>
            <w:vAlign w:val="center"/>
            <w:hideMark/>
          </w:tcPr>
          <w:p w14:paraId="6CE521CA" w14:textId="77777777" w:rsidR="00B23902" w:rsidRPr="00A75D9F" w:rsidRDefault="00B23902" w:rsidP="00A75D9F">
            <w:pPr>
              <w:spacing w:line="360" w:lineRule="auto"/>
              <w:rPr>
                <w:rFonts w:ascii="Arial" w:hAnsi="Arial" w:cs="Arial"/>
              </w:rPr>
            </w:pPr>
            <w:r w:rsidRPr="00A75D9F">
              <w:rPr>
                <w:rFonts w:ascii="Arial" w:hAnsi="Arial" w:cs="Arial"/>
              </w:rPr>
              <w:t>Customer Experience</w:t>
            </w:r>
          </w:p>
        </w:tc>
        <w:tc>
          <w:tcPr>
            <w:tcW w:w="0" w:type="auto"/>
            <w:vAlign w:val="center"/>
            <w:hideMark/>
          </w:tcPr>
          <w:p w14:paraId="2D4E2849" w14:textId="77777777" w:rsidR="00B23902" w:rsidRPr="00A75D9F" w:rsidRDefault="00B23902" w:rsidP="00A75D9F">
            <w:pPr>
              <w:spacing w:line="360" w:lineRule="auto"/>
              <w:rPr>
                <w:rFonts w:ascii="Arial" w:hAnsi="Arial" w:cs="Arial"/>
              </w:rPr>
            </w:pPr>
            <w:r w:rsidRPr="00A75D9F">
              <w:rPr>
                <w:rFonts w:ascii="Arial" w:hAnsi="Arial" w:cs="Arial"/>
              </w:rPr>
              <w:t>Fragmented, primarily physical journey with minimal feedback mechanisms.</w:t>
            </w:r>
          </w:p>
        </w:tc>
        <w:tc>
          <w:tcPr>
            <w:tcW w:w="0" w:type="auto"/>
            <w:vAlign w:val="center"/>
            <w:hideMark/>
          </w:tcPr>
          <w:p w14:paraId="2A6C538F" w14:textId="77777777" w:rsidR="00B23902" w:rsidRPr="00A75D9F" w:rsidRDefault="00B23902" w:rsidP="00A75D9F">
            <w:pPr>
              <w:spacing w:line="360" w:lineRule="auto"/>
              <w:rPr>
                <w:rFonts w:ascii="Arial" w:hAnsi="Arial" w:cs="Arial"/>
              </w:rPr>
            </w:pPr>
            <w:r w:rsidRPr="00A75D9F">
              <w:rPr>
                <w:rFonts w:ascii="Arial" w:hAnsi="Arial" w:cs="Arial"/>
              </w:rPr>
              <w:t>Seamless omnichannel journey with AI, AR, and personalised engagement (Lemon &amp; Verhoef, 2016).</w:t>
            </w:r>
          </w:p>
        </w:tc>
      </w:tr>
      <w:tr w:rsidR="00B23902" w:rsidRPr="00A75D9F" w14:paraId="0D0BF2AF" w14:textId="77777777">
        <w:trPr>
          <w:tblCellSpacing w:w="15" w:type="dxa"/>
        </w:trPr>
        <w:tc>
          <w:tcPr>
            <w:tcW w:w="0" w:type="auto"/>
            <w:vAlign w:val="center"/>
            <w:hideMark/>
          </w:tcPr>
          <w:p w14:paraId="40B9C15C" w14:textId="77777777" w:rsidR="00B23902" w:rsidRPr="00A75D9F" w:rsidRDefault="00B23902" w:rsidP="00A75D9F">
            <w:pPr>
              <w:spacing w:line="360" w:lineRule="auto"/>
              <w:rPr>
                <w:rFonts w:ascii="Arial" w:hAnsi="Arial" w:cs="Arial"/>
              </w:rPr>
            </w:pPr>
            <w:r w:rsidRPr="00A75D9F">
              <w:rPr>
                <w:rFonts w:ascii="Arial" w:hAnsi="Arial" w:cs="Arial"/>
              </w:rPr>
              <w:t>Brand Differentiation</w:t>
            </w:r>
          </w:p>
        </w:tc>
        <w:tc>
          <w:tcPr>
            <w:tcW w:w="0" w:type="auto"/>
            <w:vAlign w:val="center"/>
            <w:hideMark/>
          </w:tcPr>
          <w:p w14:paraId="313BBAA4" w14:textId="77777777" w:rsidR="00B23902" w:rsidRPr="00A75D9F" w:rsidRDefault="00B23902" w:rsidP="00A75D9F">
            <w:pPr>
              <w:spacing w:line="360" w:lineRule="auto"/>
              <w:rPr>
                <w:rFonts w:ascii="Arial" w:hAnsi="Arial" w:cs="Arial"/>
              </w:rPr>
            </w:pPr>
            <w:r w:rsidRPr="00A75D9F">
              <w:rPr>
                <w:rFonts w:ascii="Arial" w:hAnsi="Arial" w:cs="Arial"/>
              </w:rPr>
              <w:t>Based on shelf presence and packaging.</w:t>
            </w:r>
          </w:p>
        </w:tc>
        <w:tc>
          <w:tcPr>
            <w:tcW w:w="0" w:type="auto"/>
            <w:vAlign w:val="center"/>
            <w:hideMark/>
          </w:tcPr>
          <w:p w14:paraId="5B7405B6" w14:textId="77777777" w:rsidR="00B23902" w:rsidRPr="00A75D9F" w:rsidRDefault="00B23902" w:rsidP="00A75D9F">
            <w:pPr>
              <w:spacing w:line="360" w:lineRule="auto"/>
              <w:rPr>
                <w:rFonts w:ascii="Arial" w:hAnsi="Arial" w:cs="Arial"/>
              </w:rPr>
            </w:pPr>
            <w:r w:rsidRPr="00A75D9F">
              <w:rPr>
                <w:rFonts w:ascii="Arial" w:hAnsi="Arial" w:cs="Arial"/>
              </w:rPr>
              <w:t>Digital storytelling and sustainability transparency drive emotional engagement.</w:t>
            </w:r>
          </w:p>
        </w:tc>
      </w:tr>
      <w:tr w:rsidR="00B23902" w:rsidRPr="00A75D9F" w14:paraId="3E99F334" w14:textId="77777777">
        <w:trPr>
          <w:tblCellSpacing w:w="15" w:type="dxa"/>
        </w:trPr>
        <w:tc>
          <w:tcPr>
            <w:tcW w:w="0" w:type="auto"/>
            <w:vAlign w:val="center"/>
            <w:hideMark/>
          </w:tcPr>
          <w:p w14:paraId="1E69D5B4" w14:textId="77777777" w:rsidR="00B23902" w:rsidRPr="00A75D9F" w:rsidRDefault="00B23902" w:rsidP="00A75D9F">
            <w:pPr>
              <w:spacing w:line="360" w:lineRule="auto"/>
              <w:rPr>
                <w:rFonts w:ascii="Arial" w:hAnsi="Arial" w:cs="Arial"/>
              </w:rPr>
            </w:pPr>
            <w:r w:rsidRPr="00A75D9F">
              <w:rPr>
                <w:rFonts w:ascii="Arial" w:hAnsi="Arial" w:cs="Arial"/>
              </w:rPr>
              <w:t>Engagement Loop</w:t>
            </w:r>
          </w:p>
        </w:tc>
        <w:tc>
          <w:tcPr>
            <w:tcW w:w="0" w:type="auto"/>
            <w:vAlign w:val="center"/>
            <w:hideMark/>
          </w:tcPr>
          <w:p w14:paraId="5D3821B9" w14:textId="77777777" w:rsidR="00B23902" w:rsidRPr="00A75D9F" w:rsidRDefault="00B23902" w:rsidP="00A75D9F">
            <w:pPr>
              <w:spacing w:line="360" w:lineRule="auto"/>
              <w:rPr>
                <w:rFonts w:ascii="Arial" w:hAnsi="Arial" w:cs="Arial"/>
              </w:rPr>
            </w:pPr>
            <w:r w:rsidRPr="00A75D9F">
              <w:rPr>
                <w:rFonts w:ascii="Arial" w:hAnsi="Arial" w:cs="Arial"/>
              </w:rPr>
              <w:t>One-way marketing communication.</w:t>
            </w:r>
          </w:p>
        </w:tc>
        <w:tc>
          <w:tcPr>
            <w:tcW w:w="0" w:type="auto"/>
            <w:vAlign w:val="center"/>
            <w:hideMark/>
          </w:tcPr>
          <w:p w14:paraId="4D728D0C" w14:textId="77777777" w:rsidR="00B23902" w:rsidRPr="00A75D9F" w:rsidRDefault="00B23902" w:rsidP="00A75D9F">
            <w:pPr>
              <w:spacing w:line="360" w:lineRule="auto"/>
              <w:rPr>
                <w:rFonts w:ascii="Arial" w:hAnsi="Arial" w:cs="Arial"/>
              </w:rPr>
            </w:pPr>
            <w:r w:rsidRPr="00A75D9F">
              <w:rPr>
                <w:rFonts w:ascii="Arial" w:hAnsi="Arial" w:cs="Arial"/>
              </w:rPr>
              <w:t>Continuous data-driven co-creation and interaction (Vargo &amp; Lusch, 2004).</w:t>
            </w:r>
          </w:p>
        </w:tc>
      </w:tr>
      <w:tr w:rsidR="00B23902" w:rsidRPr="00A75D9F" w14:paraId="5661ABDB" w14:textId="77777777">
        <w:trPr>
          <w:tblCellSpacing w:w="15" w:type="dxa"/>
        </w:trPr>
        <w:tc>
          <w:tcPr>
            <w:tcW w:w="0" w:type="auto"/>
            <w:vAlign w:val="center"/>
            <w:hideMark/>
          </w:tcPr>
          <w:p w14:paraId="3313F6AC" w14:textId="77777777" w:rsidR="00B23902" w:rsidRPr="00A75D9F" w:rsidRDefault="00B23902" w:rsidP="00A75D9F">
            <w:pPr>
              <w:spacing w:line="360" w:lineRule="auto"/>
              <w:rPr>
                <w:rFonts w:ascii="Arial" w:hAnsi="Arial" w:cs="Arial"/>
              </w:rPr>
            </w:pPr>
            <w:r w:rsidRPr="00A75D9F">
              <w:rPr>
                <w:rFonts w:ascii="Arial" w:hAnsi="Arial" w:cs="Arial"/>
              </w:rPr>
              <w:t>Loyalty Model</w:t>
            </w:r>
          </w:p>
        </w:tc>
        <w:tc>
          <w:tcPr>
            <w:tcW w:w="0" w:type="auto"/>
            <w:vAlign w:val="center"/>
            <w:hideMark/>
          </w:tcPr>
          <w:p w14:paraId="1FEAE3BA" w14:textId="77777777" w:rsidR="00B23902" w:rsidRPr="00A75D9F" w:rsidRDefault="00B23902" w:rsidP="00A75D9F">
            <w:pPr>
              <w:spacing w:line="360" w:lineRule="auto"/>
              <w:rPr>
                <w:rFonts w:ascii="Arial" w:hAnsi="Arial" w:cs="Arial"/>
              </w:rPr>
            </w:pPr>
            <w:r w:rsidRPr="00A75D9F">
              <w:rPr>
                <w:rFonts w:ascii="Arial" w:hAnsi="Arial" w:cs="Arial"/>
              </w:rPr>
              <w:t>Generic and transactional.</w:t>
            </w:r>
          </w:p>
        </w:tc>
        <w:tc>
          <w:tcPr>
            <w:tcW w:w="0" w:type="auto"/>
            <w:vAlign w:val="center"/>
            <w:hideMark/>
          </w:tcPr>
          <w:p w14:paraId="112F15BD" w14:textId="77777777" w:rsidR="00B23902" w:rsidRPr="00A75D9F" w:rsidRDefault="00B23902" w:rsidP="00A75D9F">
            <w:pPr>
              <w:spacing w:line="360" w:lineRule="auto"/>
              <w:rPr>
                <w:rFonts w:ascii="Arial" w:hAnsi="Arial" w:cs="Arial"/>
              </w:rPr>
            </w:pPr>
            <w:r w:rsidRPr="00A75D9F">
              <w:rPr>
                <w:rFonts w:ascii="Arial" w:hAnsi="Arial" w:cs="Arial"/>
              </w:rPr>
              <w:t>Gamified, personalised, and sustainability-linked loyalty ecosystem.</w:t>
            </w:r>
          </w:p>
        </w:tc>
      </w:tr>
      <w:tr w:rsidR="00B23902" w:rsidRPr="00A75D9F" w14:paraId="4FC1D785" w14:textId="77777777">
        <w:trPr>
          <w:tblCellSpacing w:w="15" w:type="dxa"/>
        </w:trPr>
        <w:tc>
          <w:tcPr>
            <w:tcW w:w="0" w:type="auto"/>
            <w:vAlign w:val="center"/>
            <w:hideMark/>
          </w:tcPr>
          <w:p w14:paraId="7C0AD33C" w14:textId="77777777" w:rsidR="00B23902" w:rsidRPr="00A75D9F" w:rsidRDefault="00B23902" w:rsidP="00A75D9F">
            <w:pPr>
              <w:spacing w:line="360" w:lineRule="auto"/>
              <w:rPr>
                <w:rFonts w:ascii="Arial" w:hAnsi="Arial" w:cs="Arial"/>
              </w:rPr>
            </w:pPr>
            <w:r w:rsidRPr="00A75D9F">
              <w:rPr>
                <w:rFonts w:ascii="Arial" w:hAnsi="Arial" w:cs="Arial"/>
              </w:rPr>
              <w:t>Data Utilisation</w:t>
            </w:r>
          </w:p>
        </w:tc>
        <w:tc>
          <w:tcPr>
            <w:tcW w:w="0" w:type="auto"/>
            <w:vAlign w:val="center"/>
            <w:hideMark/>
          </w:tcPr>
          <w:p w14:paraId="4656AD77" w14:textId="77777777" w:rsidR="00B23902" w:rsidRPr="00A75D9F" w:rsidRDefault="00B23902" w:rsidP="00A75D9F">
            <w:pPr>
              <w:spacing w:line="360" w:lineRule="auto"/>
              <w:rPr>
                <w:rFonts w:ascii="Arial" w:hAnsi="Arial" w:cs="Arial"/>
              </w:rPr>
            </w:pPr>
            <w:r w:rsidRPr="00A75D9F">
              <w:rPr>
                <w:rFonts w:ascii="Arial" w:hAnsi="Arial" w:cs="Arial"/>
              </w:rPr>
              <w:t>Limited retailer-driven data.</w:t>
            </w:r>
          </w:p>
        </w:tc>
        <w:tc>
          <w:tcPr>
            <w:tcW w:w="0" w:type="auto"/>
            <w:vAlign w:val="center"/>
            <w:hideMark/>
          </w:tcPr>
          <w:p w14:paraId="06499410" w14:textId="77777777" w:rsidR="00B23902" w:rsidRPr="00A75D9F" w:rsidRDefault="00B23902" w:rsidP="00A75D9F">
            <w:pPr>
              <w:spacing w:line="360" w:lineRule="auto"/>
              <w:rPr>
                <w:rFonts w:ascii="Arial" w:hAnsi="Arial" w:cs="Arial"/>
              </w:rPr>
            </w:pPr>
            <w:r w:rsidRPr="00A75D9F">
              <w:rPr>
                <w:rFonts w:ascii="Arial" w:hAnsi="Arial" w:cs="Arial"/>
              </w:rPr>
              <w:t>Real-time analytics from QR scans, AI behaviour tracking, and CRM insights supporting innovation.</w:t>
            </w:r>
          </w:p>
        </w:tc>
      </w:tr>
    </w:tbl>
    <w:p w14:paraId="76731464" w14:textId="77777777" w:rsidR="00B23902" w:rsidRPr="00A75D9F" w:rsidRDefault="00B23902" w:rsidP="00A75D9F">
      <w:pPr>
        <w:pStyle w:val="Heading1"/>
        <w:spacing w:line="360" w:lineRule="auto"/>
        <w:rPr>
          <w:rFonts w:ascii="Arial" w:hAnsi="Arial" w:cs="Arial"/>
          <w:sz w:val="22"/>
          <w:szCs w:val="22"/>
        </w:rPr>
      </w:pPr>
      <w:bookmarkStart w:id="16" w:name="_Toc214200519"/>
      <w:r w:rsidRPr="00A75D9F">
        <w:rPr>
          <w:rFonts w:ascii="Arial" w:hAnsi="Arial" w:cs="Arial"/>
          <w:sz w:val="22"/>
          <w:szCs w:val="22"/>
        </w:rPr>
        <w:t>Theoretical Integration</w:t>
      </w:r>
      <w:bookmarkEnd w:id="16"/>
    </w:p>
    <w:p w14:paraId="37E23E6F" w14:textId="77777777" w:rsidR="00B23902" w:rsidRPr="00A75D9F" w:rsidRDefault="00B23902" w:rsidP="00A75D9F">
      <w:pPr>
        <w:spacing w:line="360" w:lineRule="auto"/>
        <w:rPr>
          <w:rFonts w:ascii="Arial" w:hAnsi="Arial" w:cs="Arial"/>
        </w:rPr>
      </w:pPr>
      <w:r w:rsidRPr="00A75D9F">
        <w:rPr>
          <w:rFonts w:ascii="Arial" w:hAnsi="Arial" w:cs="Arial"/>
        </w:rPr>
        <w:t>The transformation aligns with Service-Dominant Logic (Vargo &amp; Lusch, 2004), where value is co-created between Proper and consumers via digital touchpoints rather than through one-way transactions.</w:t>
      </w:r>
      <w:r w:rsidRPr="00A75D9F">
        <w:rPr>
          <w:rFonts w:ascii="Arial" w:hAnsi="Arial" w:cs="Arial"/>
        </w:rPr>
        <w:br/>
        <w:t xml:space="preserve">The move from core improvements to digital transformation also reflects </w:t>
      </w:r>
      <w:proofErr w:type="spellStart"/>
      <w:r w:rsidRPr="00A75D9F">
        <w:rPr>
          <w:rFonts w:ascii="Arial" w:hAnsi="Arial" w:cs="Arial"/>
        </w:rPr>
        <w:t>Nagji</w:t>
      </w:r>
      <w:proofErr w:type="spellEnd"/>
      <w:r w:rsidRPr="00A75D9F">
        <w:rPr>
          <w:rFonts w:ascii="Arial" w:hAnsi="Arial" w:cs="Arial"/>
        </w:rPr>
        <w:t xml:space="preserve"> &amp; Tuff’s (2012) “Innovation Ambition Matrix,” with Proper shifting from core and adjacent innovations (flavour and format expansion) to transformational innovation (digital ecosystems and sustainability data integration).</w:t>
      </w:r>
    </w:p>
    <w:p w14:paraId="13773E77" w14:textId="77777777" w:rsidR="005A11D9" w:rsidRPr="00A75D9F" w:rsidRDefault="005A11D9" w:rsidP="00A75D9F">
      <w:pPr>
        <w:pStyle w:val="Heading1"/>
        <w:spacing w:line="360" w:lineRule="auto"/>
        <w:rPr>
          <w:rFonts w:ascii="Arial" w:hAnsi="Arial" w:cs="Arial"/>
          <w:sz w:val="22"/>
          <w:szCs w:val="22"/>
        </w:rPr>
      </w:pPr>
      <w:bookmarkStart w:id="17" w:name="_Toc214200520"/>
      <w:r w:rsidRPr="00A75D9F">
        <w:rPr>
          <w:rFonts w:ascii="Arial" w:hAnsi="Arial" w:cs="Arial"/>
          <w:sz w:val="22"/>
          <w:szCs w:val="22"/>
        </w:rPr>
        <w:t>Key Performance Indicators (KPIs) and Strategic Alignment</w:t>
      </w:r>
      <w:bookmarkEnd w:id="17"/>
    </w:p>
    <w:p w14:paraId="60A41599" w14:textId="77777777" w:rsidR="005A11D9" w:rsidRPr="00A75D9F" w:rsidRDefault="005A11D9" w:rsidP="00A75D9F">
      <w:pPr>
        <w:spacing w:line="360" w:lineRule="auto"/>
        <w:rPr>
          <w:rFonts w:ascii="Arial" w:hAnsi="Arial" w:cs="Arial"/>
        </w:rPr>
      </w:pPr>
      <w:r w:rsidRPr="00A75D9F">
        <w:rPr>
          <w:rFonts w:ascii="Arial" w:hAnsi="Arial" w:cs="Arial"/>
        </w:rPr>
        <w:t>Defined KPIs for “Proper+” Initiative</w:t>
      </w:r>
    </w:p>
    <w:p w14:paraId="17978750" w14:textId="77777777" w:rsidR="002818C4" w:rsidRPr="00A75D9F" w:rsidRDefault="002818C4" w:rsidP="00A75D9F">
      <w:pPr>
        <w:spacing w:line="360" w:lineRule="auto"/>
        <w:rPr>
          <w:rFonts w:ascii="Arial" w:hAnsi="Arial" w:cs="Arial"/>
        </w:rPr>
      </w:pPr>
      <w:r w:rsidRPr="00A75D9F">
        <w:rPr>
          <w:rFonts w:ascii="Arial" w:hAnsi="Arial" w:cs="Arial"/>
        </w:rPr>
        <w:t xml:space="preserve">To evaluate the impact of the proposed Proper+ platform, a set of performance indicators has been established to measure customer response, behavioural outcomes and operational efficiency. Customer satisfaction is expected to rise to levels exceeding 85 per cent, reflecting improvements in personalised service delivery and more meaningful post-purchase engagement that strengthens perceived value (Lemon and Verhoef, 2016). In </w:t>
      </w:r>
      <w:r w:rsidRPr="00A75D9F">
        <w:rPr>
          <w:rFonts w:ascii="Arial" w:hAnsi="Arial" w:cs="Arial"/>
        </w:rPr>
        <w:lastRenderedPageBreak/>
        <w:t>addition, the Net Promoter Score is projected to increase by at least fifteen points, indicating a shift toward stronger brand advocacy and emotional alignment between consumers and the brand (Payne, Frow and Eggert, 2020). Repeat purchasing frequency is anticipated to grow by approximately twenty per cent, driven by loyalty rewards and greater continuity of interaction, which reinforce habit formation and brand attachment (Mintel, 2023). The platform is also expected to enhance operational efficiency through automation and integrated consumer data systems, reducing manual workload and enabling faster insight-led decision-making (Chaffey and Ellis-Chadwick, 2019).</w:t>
      </w:r>
    </w:p>
    <w:p w14:paraId="2B2EBEB0" w14:textId="77777777" w:rsidR="002818C4" w:rsidRPr="00A75D9F" w:rsidRDefault="002818C4" w:rsidP="00A75D9F">
      <w:pPr>
        <w:spacing w:line="360" w:lineRule="auto"/>
        <w:rPr>
          <w:rFonts w:ascii="Arial" w:hAnsi="Arial" w:cs="Arial"/>
        </w:rPr>
      </w:pPr>
      <w:r w:rsidRPr="00A75D9F">
        <w:rPr>
          <w:rFonts w:ascii="Arial" w:hAnsi="Arial" w:cs="Arial"/>
        </w:rPr>
        <w:t>This performance improvement aligns closely with the strategic objectives of Proper Snacks UK, particularly in strengthening consumer relationships, supporting sustainable growth and maintaining differentiation in the increasingly crowded healthy snack sector. The platform reinforces the brand’s value-led identity by embedding sustainability incentives within everyday interactions, thereby deepening the ethical dimension of consumer experience (Vargo and Lusch, 2004). By encouraging co-creation, personalisation and continuous engagement, Proper+ enhances loyalty, strengthens brand competitiveness, and supports long-term market advantage (Prahalad and Ramaswamy, 2004).</w:t>
      </w:r>
    </w:p>
    <w:p w14:paraId="56560EA4" w14:textId="77777777" w:rsidR="005A11D9" w:rsidRPr="00A75D9F" w:rsidRDefault="005A11D9" w:rsidP="00A75D9F">
      <w:pPr>
        <w:spacing w:line="360" w:lineRule="auto"/>
        <w:rPr>
          <w:rFonts w:ascii="Arial" w:hAnsi="Arial" w:cs="Arial"/>
        </w:rPr>
      </w:pPr>
      <w:r w:rsidRPr="00A75D9F">
        <w:rPr>
          <w:rFonts w:ascii="Arial" w:hAnsi="Arial" w:cs="Arial"/>
        </w:rPr>
        <w:t>In essence, these KPIs collectively ensure that Proper+ strengthens the company’s customer centricity, operational effectiveness, and market competitiveness — aligning with long-term growth ambitions in a rapidly expanding digital consumer landscape.</w:t>
      </w:r>
    </w:p>
    <w:p w14:paraId="33E37763" w14:textId="77777777" w:rsidR="006A77C9" w:rsidRPr="00A75D9F" w:rsidRDefault="006A77C9" w:rsidP="00A75D9F">
      <w:pPr>
        <w:pStyle w:val="Heading1"/>
        <w:spacing w:line="360" w:lineRule="auto"/>
        <w:rPr>
          <w:rFonts w:ascii="Arial" w:hAnsi="Arial" w:cs="Arial"/>
          <w:sz w:val="22"/>
          <w:szCs w:val="22"/>
        </w:rPr>
      </w:pPr>
      <w:bookmarkStart w:id="18" w:name="_Toc214200521"/>
      <w:r w:rsidRPr="00A75D9F">
        <w:rPr>
          <w:rFonts w:ascii="Arial" w:hAnsi="Arial" w:cs="Arial"/>
          <w:sz w:val="22"/>
          <w:szCs w:val="22"/>
        </w:rPr>
        <w:t>Recap of Proper Snacks UK’s Innovation Approach</w:t>
      </w:r>
      <w:bookmarkEnd w:id="18"/>
    </w:p>
    <w:p w14:paraId="3867E4F6" w14:textId="77777777" w:rsidR="006A77C9" w:rsidRPr="00A75D9F" w:rsidRDefault="006A77C9" w:rsidP="00A75D9F">
      <w:pPr>
        <w:spacing w:line="360" w:lineRule="auto"/>
        <w:rPr>
          <w:rFonts w:ascii="Arial" w:hAnsi="Arial" w:cs="Arial"/>
        </w:rPr>
      </w:pPr>
      <w:r w:rsidRPr="00A75D9F">
        <w:rPr>
          <w:rFonts w:ascii="Arial" w:hAnsi="Arial" w:cs="Arial"/>
        </w:rPr>
        <w:t>Proper Snacks UK has pursued a balanced innovation strategy aligned with the Innovation Ambition Matrix (</w:t>
      </w:r>
      <w:proofErr w:type="spellStart"/>
      <w:r w:rsidRPr="00A75D9F">
        <w:rPr>
          <w:rFonts w:ascii="Arial" w:hAnsi="Arial" w:cs="Arial"/>
        </w:rPr>
        <w:t>Nagji</w:t>
      </w:r>
      <w:proofErr w:type="spellEnd"/>
      <w:r w:rsidRPr="00A75D9F">
        <w:rPr>
          <w:rFonts w:ascii="Arial" w:hAnsi="Arial" w:cs="Arial"/>
        </w:rPr>
        <w:t xml:space="preserve"> &amp; Tuff, 2012), combining core, adjacent, and emerging transformational innovations to sustain long-term growth in the competitive “better-for-you” snack market.</w:t>
      </w:r>
    </w:p>
    <w:p w14:paraId="04C77C99" w14:textId="77777777" w:rsidR="006A77C9" w:rsidRPr="00A75D9F" w:rsidRDefault="006A77C9" w:rsidP="00A75D9F">
      <w:pPr>
        <w:spacing w:line="360" w:lineRule="auto"/>
        <w:rPr>
          <w:rFonts w:ascii="Arial" w:hAnsi="Arial" w:cs="Arial"/>
        </w:rPr>
      </w:pPr>
      <w:r w:rsidRPr="00A75D9F">
        <w:rPr>
          <w:rFonts w:ascii="Arial" w:hAnsi="Arial" w:cs="Arial"/>
        </w:rPr>
        <w:t>Core innovation has focused on continuous improvements in packaging, flavour development, and operational efficiency — strengthening the brand’s position within the healthy snacking segment.</w:t>
      </w:r>
    </w:p>
    <w:p w14:paraId="7403BB24" w14:textId="77777777" w:rsidR="006A77C9" w:rsidRPr="00A75D9F" w:rsidRDefault="006A77C9" w:rsidP="00A75D9F">
      <w:pPr>
        <w:spacing w:line="360" w:lineRule="auto"/>
        <w:rPr>
          <w:rFonts w:ascii="Arial" w:hAnsi="Arial" w:cs="Arial"/>
        </w:rPr>
      </w:pPr>
      <w:r w:rsidRPr="00A75D9F">
        <w:rPr>
          <w:rFonts w:ascii="Arial" w:hAnsi="Arial" w:cs="Arial"/>
        </w:rPr>
        <w:t>Adjacent innovation has extended the company’s product portfolio from popcorn to “Proper Chips” and other healthier formats, while expanding into international markets and experimenting with clean-label and functional ingredients.</w:t>
      </w:r>
    </w:p>
    <w:p w14:paraId="4E2F51CF" w14:textId="77777777" w:rsidR="006A77C9" w:rsidRPr="00A75D9F" w:rsidRDefault="006A77C9" w:rsidP="00A75D9F">
      <w:pPr>
        <w:spacing w:line="360" w:lineRule="auto"/>
        <w:rPr>
          <w:rFonts w:ascii="Arial" w:hAnsi="Arial" w:cs="Arial"/>
        </w:rPr>
      </w:pPr>
      <w:r w:rsidRPr="00A75D9F">
        <w:rPr>
          <w:rFonts w:ascii="Arial" w:hAnsi="Arial" w:cs="Arial"/>
        </w:rPr>
        <w:t>Transformational innovation, while still emerging, centres on the potential to digitise the customer experience, integrate sustainability into the value chain, and explore new business models such as direct-to-consumer platforms and personalised snacking ecosystems.</w:t>
      </w:r>
    </w:p>
    <w:p w14:paraId="08624440" w14:textId="77777777" w:rsidR="006A77C9" w:rsidRPr="00A75D9F" w:rsidRDefault="006A77C9" w:rsidP="00A75D9F">
      <w:pPr>
        <w:spacing w:line="360" w:lineRule="auto"/>
        <w:rPr>
          <w:rFonts w:ascii="Arial" w:hAnsi="Arial" w:cs="Arial"/>
        </w:rPr>
      </w:pPr>
      <w:r w:rsidRPr="00A75D9F">
        <w:rPr>
          <w:rFonts w:ascii="Arial" w:hAnsi="Arial" w:cs="Arial"/>
        </w:rPr>
        <w:lastRenderedPageBreak/>
        <w:t>This portfolio approach reflects Proper’s ability to defend its current strengths while exploring new growth horizons, ensuring that innovation remains a deliberate, structured process rather than a series of isolated initiatives.</w:t>
      </w:r>
    </w:p>
    <w:p w14:paraId="1E009E19" w14:textId="77777777" w:rsidR="006A77C9" w:rsidRPr="00A75D9F" w:rsidRDefault="006A77C9" w:rsidP="00A75D9F">
      <w:pPr>
        <w:pStyle w:val="Heading1"/>
        <w:spacing w:line="360" w:lineRule="auto"/>
        <w:rPr>
          <w:rFonts w:ascii="Arial" w:hAnsi="Arial" w:cs="Arial"/>
          <w:sz w:val="22"/>
          <w:szCs w:val="22"/>
        </w:rPr>
      </w:pPr>
      <w:bookmarkStart w:id="19" w:name="_Toc214200522"/>
      <w:r w:rsidRPr="00A75D9F">
        <w:rPr>
          <w:rFonts w:ascii="Arial" w:hAnsi="Arial" w:cs="Arial"/>
          <w:sz w:val="22"/>
          <w:szCs w:val="22"/>
        </w:rPr>
        <w:t>Summary of the Proposed Digital Transformation Initiative – “Proper+”</w:t>
      </w:r>
      <w:bookmarkEnd w:id="19"/>
    </w:p>
    <w:p w14:paraId="18BDF2B6" w14:textId="77777777" w:rsidR="006A77C9" w:rsidRPr="00A75D9F" w:rsidRDefault="006A77C9" w:rsidP="00A75D9F">
      <w:pPr>
        <w:spacing w:line="360" w:lineRule="auto"/>
        <w:rPr>
          <w:rFonts w:ascii="Arial" w:hAnsi="Arial" w:cs="Arial"/>
        </w:rPr>
      </w:pPr>
      <w:r w:rsidRPr="00A75D9F">
        <w:rPr>
          <w:rFonts w:ascii="Arial" w:hAnsi="Arial" w:cs="Arial"/>
        </w:rPr>
        <w:t>To address gaps identified in the customer journey — such as limited personalisation, fragmented engagement, and lack of post-purchase interaction — the proposed “Proper+” digital platform represents a step-change in Proper’s innovation trajectory.</w:t>
      </w:r>
    </w:p>
    <w:p w14:paraId="4A14EA7C" w14:textId="77777777" w:rsidR="006A77C9" w:rsidRPr="00A75D9F" w:rsidRDefault="006A77C9" w:rsidP="00A75D9F">
      <w:pPr>
        <w:spacing w:line="360" w:lineRule="auto"/>
        <w:rPr>
          <w:rFonts w:ascii="Arial" w:hAnsi="Arial" w:cs="Arial"/>
        </w:rPr>
      </w:pPr>
      <w:r w:rsidRPr="00A75D9F">
        <w:rPr>
          <w:rFonts w:ascii="Arial" w:hAnsi="Arial" w:cs="Arial"/>
        </w:rPr>
        <w:t>Key features of Proper+ include:</w:t>
      </w:r>
    </w:p>
    <w:p w14:paraId="7F900E42" w14:textId="13B79273" w:rsidR="006A77C9" w:rsidRPr="00A75D9F" w:rsidRDefault="00DC038F" w:rsidP="00A75D9F">
      <w:pPr>
        <w:spacing w:line="360" w:lineRule="auto"/>
        <w:rPr>
          <w:rFonts w:ascii="Arial" w:hAnsi="Arial" w:cs="Arial"/>
        </w:rPr>
      </w:pPr>
      <w:r w:rsidRPr="00A75D9F">
        <w:rPr>
          <w:rFonts w:ascii="Arial" w:hAnsi="Arial" w:cs="Arial"/>
        </w:rPr>
        <w:br/>
        <w:t xml:space="preserve">The proposed platform incorporates several key features designed to enhance personalisation, engagement, and continuity across the customer journey. The first feature is an AI-powered “Snack Match” tool, which recommends snack options based on individual taste preferences, dietary needs, and consumption behaviours, allowing for a more tailored decision-making experience (Grewal, Roggeveen and </w:t>
      </w:r>
      <w:proofErr w:type="spellStart"/>
      <w:r w:rsidRPr="00A75D9F">
        <w:rPr>
          <w:rFonts w:ascii="Arial" w:hAnsi="Arial" w:cs="Arial"/>
        </w:rPr>
        <w:t>Nordfält</w:t>
      </w:r>
      <w:proofErr w:type="spellEnd"/>
      <w:r w:rsidRPr="00A75D9F">
        <w:rPr>
          <w:rFonts w:ascii="Arial" w:hAnsi="Arial" w:cs="Arial"/>
        </w:rPr>
        <w:t>, 2020). The second feature involves QR-linked packaging feedback, where each product contains a scannable code that directs consumers to a digital interface for rating their experience, accessing sustainability information, and receiving personalised rewards (Chaffey and Ellis-Chadwick, 2019). A further feature is the incorporation of gamified loyalty and sustainability engagement, enabling consumers to accumulate points by reviewing products, recycling packaging, and participating in brand challenges or activities that reinforce co-created value (Prahalad and Ramaswamy, 2004). The final feature is an integrated retail and subscription model that supports both supermarket purchasing and direct-to-consumer replenishment, creating a seamless linkage between in-store discovery and ongoing online procurement (Osterwalder and Pigneur, 2010).</w:t>
      </w:r>
      <w:r w:rsidR="006A77C9" w:rsidRPr="00A75D9F">
        <w:rPr>
          <w:rFonts w:ascii="Arial" w:hAnsi="Arial" w:cs="Arial"/>
        </w:rPr>
        <w:t>Final Thoughts: How Innovation Contributes to Business Success</w:t>
      </w:r>
    </w:p>
    <w:p w14:paraId="548004AB" w14:textId="77777777" w:rsidR="006A77C9" w:rsidRPr="00A75D9F" w:rsidRDefault="006A77C9" w:rsidP="00A75D9F">
      <w:pPr>
        <w:spacing w:line="360" w:lineRule="auto"/>
        <w:rPr>
          <w:rFonts w:ascii="Arial" w:hAnsi="Arial" w:cs="Arial"/>
        </w:rPr>
      </w:pPr>
      <w:r w:rsidRPr="00A75D9F">
        <w:rPr>
          <w:rFonts w:ascii="Arial" w:hAnsi="Arial" w:cs="Arial"/>
        </w:rPr>
        <w:t>Innovation is central to Proper Snacks UK’s sustained competitiveness and growth. By continuously investing across core, adjacent, and transformational innovation horizons, Proper ensures resilience in a rapidly evolving market.</w:t>
      </w:r>
    </w:p>
    <w:p w14:paraId="4E3FF65A" w14:textId="77777777" w:rsidR="006A77C9" w:rsidRPr="00A75D9F" w:rsidRDefault="006A77C9" w:rsidP="00A75D9F">
      <w:pPr>
        <w:spacing w:line="360" w:lineRule="auto"/>
        <w:rPr>
          <w:rFonts w:ascii="Arial" w:hAnsi="Arial" w:cs="Arial"/>
        </w:rPr>
      </w:pPr>
      <w:r w:rsidRPr="00A75D9F">
        <w:rPr>
          <w:rFonts w:ascii="Arial" w:hAnsi="Arial" w:cs="Arial"/>
        </w:rPr>
        <w:t>Strategic differentiation: Innovation in flavour, format, and digital engagement enables Proper to stand out in the crowded healthy snack category.</w:t>
      </w:r>
    </w:p>
    <w:p w14:paraId="06DAB98F" w14:textId="77777777" w:rsidR="006A77C9" w:rsidRPr="00A75D9F" w:rsidRDefault="006A77C9" w:rsidP="00A75D9F">
      <w:pPr>
        <w:spacing w:line="360" w:lineRule="auto"/>
        <w:rPr>
          <w:rFonts w:ascii="Arial" w:hAnsi="Arial" w:cs="Arial"/>
        </w:rPr>
      </w:pPr>
      <w:r w:rsidRPr="00A75D9F">
        <w:rPr>
          <w:rFonts w:ascii="Arial" w:hAnsi="Arial" w:cs="Arial"/>
        </w:rPr>
        <w:t>Customer loyalty and advocacy: Through co-creation and digital personalisation, innovation deepens consumer relationships and strengthens brand equity.</w:t>
      </w:r>
    </w:p>
    <w:p w14:paraId="100D54C8" w14:textId="77777777" w:rsidR="006A77C9" w:rsidRPr="00A75D9F" w:rsidRDefault="006A77C9" w:rsidP="00A75D9F">
      <w:pPr>
        <w:spacing w:line="360" w:lineRule="auto"/>
        <w:rPr>
          <w:rFonts w:ascii="Arial" w:hAnsi="Arial" w:cs="Arial"/>
        </w:rPr>
      </w:pPr>
      <w:r w:rsidRPr="00A75D9F">
        <w:rPr>
          <w:rFonts w:ascii="Arial" w:hAnsi="Arial" w:cs="Arial"/>
        </w:rPr>
        <w:t>Operational excellence: Digital integration improves agility, responsiveness, and data-driven decision-making — critical for scaling efficiently.</w:t>
      </w:r>
    </w:p>
    <w:p w14:paraId="6A7A281D" w14:textId="77777777" w:rsidR="006A77C9" w:rsidRPr="00A75D9F" w:rsidRDefault="006A77C9" w:rsidP="00A75D9F">
      <w:pPr>
        <w:spacing w:line="360" w:lineRule="auto"/>
        <w:rPr>
          <w:rFonts w:ascii="Arial" w:hAnsi="Arial" w:cs="Arial"/>
        </w:rPr>
      </w:pPr>
      <w:r w:rsidRPr="00A75D9F">
        <w:rPr>
          <w:rFonts w:ascii="Arial" w:hAnsi="Arial" w:cs="Arial"/>
        </w:rPr>
        <w:lastRenderedPageBreak/>
        <w:t>Sustainability and purpose alignment: Embedding innovation in eco-friendly practices and community engagement reinforces Proper’s mission to “make snacks that taste great and do good.”</w:t>
      </w:r>
    </w:p>
    <w:p w14:paraId="6B61C7DC" w14:textId="77777777" w:rsidR="006A77C9" w:rsidRPr="00A75D9F" w:rsidRDefault="006A77C9" w:rsidP="00A75D9F">
      <w:pPr>
        <w:spacing w:line="360" w:lineRule="auto"/>
        <w:rPr>
          <w:rFonts w:ascii="Arial" w:hAnsi="Arial" w:cs="Arial"/>
        </w:rPr>
      </w:pPr>
      <w:r w:rsidRPr="00A75D9F">
        <w:rPr>
          <w:rFonts w:ascii="Arial" w:hAnsi="Arial" w:cs="Arial"/>
        </w:rPr>
        <w:t>In conclusion, innovation is not just a function within Proper Snacks UK — it is a strategic enabler of value creation, competitive advantage, and long-term success. The proposed “Proper+” transformation encapsulates this vision by merging technology, customer experience, and sustainability into a unified growth engine for the brand’s next phase.</w:t>
      </w:r>
    </w:p>
    <w:p w14:paraId="2AF9852C" w14:textId="019B2569" w:rsidR="00B23902" w:rsidRPr="00A75D9F" w:rsidRDefault="003E4870" w:rsidP="00A75D9F">
      <w:pPr>
        <w:pStyle w:val="Heading1"/>
        <w:spacing w:line="360" w:lineRule="auto"/>
        <w:rPr>
          <w:rFonts w:ascii="Arial" w:hAnsi="Arial" w:cs="Arial"/>
          <w:sz w:val="22"/>
          <w:szCs w:val="22"/>
        </w:rPr>
      </w:pPr>
      <w:bookmarkStart w:id="20" w:name="_Toc214200523"/>
      <w:r w:rsidRPr="00A75D9F">
        <w:rPr>
          <w:rFonts w:ascii="Arial" w:hAnsi="Arial" w:cs="Arial"/>
          <w:sz w:val="22"/>
          <w:szCs w:val="22"/>
        </w:rPr>
        <w:t>References</w:t>
      </w:r>
      <w:bookmarkEnd w:id="20"/>
      <w:r w:rsidR="00B23902" w:rsidRPr="00A75D9F">
        <w:rPr>
          <w:rFonts w:ascii="Arial" w:hAnsi="Arial" w:cs="Arial"/>
          <w:sz w:val="22"/>
          <w:szCs w:val="22"/>
        </w:rPr>
        <w:t xml:space="preserve"> </w:t>
      </w:r>
    </w:p>
    <w:p w14:paraId="76797ED0" w14:textId="1B27BB59" w:rsidR="003E4870" w:rsidRPr="00A75D9F" w:rsidRDefault="003E4870" w:rsidP="00A75D9F">
      <w:pPr>
        <w:spacing w:line="360" w:lineRule="auto"/>
        <w:rPr>
          <w:rFonts w:ascii="Arial" w:hAnsi="Arial" w:cs="Arial"/>
        </w:rPr>
      </w:pPr>
      <w:r w:rsidRPr="00A75D9F">
        <w:rPr>
          <w:rFonts w:ascii="Arial" w:hAnsi="Arial" w:cs="Arial"/>
        </w:rPr>
        <w:t xml:space="preserve">B-Corp (2022) Proper Snacks: B-Corp Impact Report. Available at: </w:t>
      </w:r>
      <w:hyperlink r:id="rId18" w:tgtFrame="_new" w:history="1">
        <w:r w:rsidRPr="00A75D9F">
          <w:rPr>
            <w:rStyle w:val="Hyperlink"/>
            <w:rFonts w:ascii="Arial" w:hAnsi="Arial" w:cs="Arial"/>
          </w:rPr>
          <w:t>https://www.bcorporation.net</w:t>
        </w:r>
      </w:hyperlink>
      <w:r w:rsidRPr="00A75D9F">
        <w:rPr>
          <w:rFonts w:ascii="Arial" w:hAnsi="Arial" w:cs="Arial"/>
        </w:rPr>
        <w:t xml:space="preserve"> (Accessed: [</w:t>
      </w:r>
      <w:r w:rsidR="00A75D9F" w:rsidRPr="00A75D9F">
        <w:rPr>
          <w:rFonts w:ascii="Arial" w:hAnsi="Arial" w:cs="Arial"/>
        </w:rPr>
        <w:t>14.11.2025</w:t>
      </w:r>
      <w:r w:rsidRPr="00A75D9F">
        <w:rPr>
          <w:rFonts w:ascii="Arial" w:hAnsi="Arial" w:cs="Arial"/>
        </w:rPr>
        <w:t>]</w:t>
      </w:r>
    </w:p>
    <w:p w14:paraId="2E02EB9F" w14:textId="77777777" w:rsidR="003E4870" w:rsidRPr="00A75D9F" w:rsidRDefault="003E4870" w:rsidP="00A75D9F">
      <w:pPr>
        <w:spacing w:line="360" w:lineRule="auto"/>
        <w:rPr>
          <w:rFonts w:ascii="Arial" w:hAnsi="Arial" w:cs="Arial"/>
        </w:rPr>
      </w:pPr>
      <w:r w:rsidRPr="00A75D9F">
        <w:rPr>
          <w:rFonts w:ascii="Arial" w:hAnsi="Arial" w:cs="Arial"/>
        </w:rPr>
        <w:t xml:space="preserve">Chaffey, D. and Ellis-Chadwick, F. (2019) Digital Marketing: Strategy, Implementation and Practice. 7th </w:t>
      </w:r>
      <w:proofErr w:type="spellStart"/>
      <w:r w:rsidRPr="00A75D9F">
        <w:rPr>
          <w:rFonts w:ascii="Arial" w:hAnsi="Arial" w:cs="Arial"/>
        </w:rPr>
        <w:t>edn</w:t>
      </w:r>
      <w:proofErr w:type="spellEnd"/>
      <w:r w:rsidRPr="00A75D9F">
        <w:rPr>
          <w:rFonts w:ascii="Arial" w:hAnsi="Arial" w:cs="Arial"/>
        </w:rPr>
        <w:t>. Harlow: Pearson.</w:t>
      </w:r>
    </w:p>
    <w:p w14:paraId="4116088E" w14:textId="77777777" w:rsidR="003E4870" w:rsidRPr="00A75D9F" w:rsidRDefault="003E4870" w:rsidP="00A75D9F">
      <w:pPr>
        <w:spacing w:line="360" w:lineRule="auto"/>
        <w:rPr>
          <w:rFonts w:ascii="Arial" w:hAnsi="Arial" w:cs="Arial"/>
        </w:rPr>
      </w:pPr>
      <w:r w:rsidRPr="00A75D9F">
        <w:rPr>
          <w:rFonts w:ascii="Arial" w:hAnsi="Arial" w:cs="Arial"/>
        </w:rPr>
        <w:t>Christensen, C.M. (1997) The Innovator’s Dilemma: When New Technologies Cause Great Firms to Fail. Boston, MA: Harvard Business School Press.</w:t>
      </w:r>
    </w:p>
    <w:p w14:paraId="0553089B" w14:textId="4788BE5B" w:rsidR="003E4870" w:rsidRPr="00A75D9F" w:rsidRDefault="003E4870" w:rsidP="00A75D9F">
      <w:pPr>
        <w:spacing w:line="360" w:lineRule="auto"/>
        <w:rPr>
          <w:rFonts w:ascii="Arial" w:hAnsi="Arial" w:cs="Arial"/>
        </w:rPr>
      </w:pPr>
      <w:r w:rsidRPr="00A75D9F">
        <w:rPr>
          <w:rFonts w:ascii="Arial" w:hAnsi="Arial" w:cs="Arial"/>
        </w:rPr>
        <w:t xml:space="preserve">Exponent (2021) Exponent Private Equity Investment Portfolio Announcement. Available at: </w:t>
      </w:r>
      <w:hyperlink r:id="rId19" w:tgtFrame="_new" w:history="1">
        <w:r w:rsidRPr="00A75D9F">
          <w:rPr>
            <w:rStyle w:val="Hyperlink"/>
            <w:rFonts w:ascii="Arial" w:hAnsi="Arial" w:cs="Arial"/>
          </w:rPr>
          <w:t>https://www.exponentpe.com</w:t>
        </w:r>
      </w:hyperlink>
      <w:r w:rsidRPr="00A75D9F">
        <w:rPr>
          <w:rFonts w:ascii="Arial" w:hAnsi="Arial" w:cs="Arial"/>
        </w:rPr>
        <w:t xml:space="preserve"> (Accessed: </w:t>
      </w:r>
      <w:r w:rsidR="00A75D9F" w:rsidRPr="00A75D9F">
        <w:rPr>
          <w:rFonts w:ascii="Arial" w:hAnsi="Arial" w:cs="Arial"/>
        </w:rPr>
        <w:t>[1</w:t>
      </w:r>
      <w:r w:rsidR="00A75D9F" w:rsidRPr="00A75D9F">
        <w:rPr>
          <w:rFonts w:ascii="Arial" w:hAnsi="Arial" w:cs="Arial"/>
        </w:rPr>
        <w:t>2</w:t>
      </w:r>
      <w:r w:rsidR="00A75D9F" w:rsidRPr="00A75D9F">
        <w:rPr>
          <w:rFonts w:ascii="Arial" w:hAnsi="Arial" w:cs="Arial"/>
        </w:rPr>
        <w:t>.11.2025</w:t>
      </w:r>
      <w:r w:rsidR="00A75D9F" w:rsidRPr="00A75D9F">
        <w:rPr>
          <w:rFonts w:ascii="Arial" w:hAnsi="Arial" w:cs="Arial"/>
        </w:rPr>
        <w:t>]</w:t>
      </w:r>
    </w:p>
    <w:p w14:paraId="2EA9E5D6" w14:textId="4BADB4E3" w:rsidR="00A75D9F" w:rsidRPr="00A75D9F" w:rsidRDefault="003E4870" w:rsidP="00A75D9F">
      <w:pPr>
        <w:spacing w:line="360" w:lineRule="auto"/>
        <w:rPr>
          <w:rFonts w:ascii="Arial" w:hAnsi="Arial" w:cs="Arial"/>
        </w:rPr>
      </w:pPr>
      <w:r w:rsidRPr="00A75D9F">
        <w:rPr>
          <w:rFonts w:ascii="Arial" w:hAnsi="Arial" w:cs="Arial"/>
        </w:rPr>
        <w:t xml:space="preserve">Food Manufacture (2023) ‘Proper Snacks invests in manufacturing capability’. Food Manufacture. Available at: </w:t>
      </w:r>
      <w:hyperlink r:id="rId20" w:tgtFrame="_new" w:history="1">
        <w:r w:rsidRPr="00A75D9F">
          <w:rPr>
            <w:rStyle w:val="Hyperlink"/>
            <w:rFonts w:ascii="Arial" w:hAnsi="Arial" w:cs="Arial"/>
          </w:rPr>
          <w:t>https://www.foodmanufacture.co.uk</w:t>
        </w:r>
      </w:hyperlink>
      <w:r w:rsidRPr="00A75D9F">
        <w:rPr>
          <w:rFonts w:ascii="Arial" w:hAnsi="Arial" w:cs="Arial"/>
        </w:rPr>
        <w:t xml:space="preserve"> (Accessed: </w:t>
      </w:r>
      <w:r w:rsidR="00A75D9F" w:rsidRPr="00A75D9F">
        <w:rPr>
          <w:rFonts w:ascii="Arial" w:hAnsi="Arial" w:cs="Arial"/>
        </w:rPr>
        <w:t>[</w:t>
      </w:r>
      <w:r w:rsidR="00A75D9F" w:rsidRPr="00A75D9F">
        <w:rPr>
          <w:rFonts w:ascii="Arial" w:hAnsi="Arial" w:cs="Arial"/>
        </w:rPr>
        <w:t>09</w:t>
      </w:r>
      <w:r w:rsidR="00A75D9F" w:rsidRPr="00A75D9F">
        <w:rPr>
          <w:rFonts w:ascii="Arial" w:hAnsi="Arial" w:cs="Arial"/>
        </w:rPr>
        <w:t>.11.2025]</w:t>
      </w:r>
    </w:p>
    <w:p w14:paraId="3E48DFA9" w14:textId="21C571C2" w:rsidR="003E4870" w:rsidRPr="00A75D9F" w:rsidRDefault="003E4870" w:rsidP="00A75D9F">
      <w:pPr>
        <w:spacing w:line="360" w:lineRule="auto"/>
        <w:rPr>
          <w:rFonts w:ascii="Arial" w:hAnsi="Arial" w:cs="Arial"/>
        </w:rPr>
      </w:pPr>
      <w:r w:rsidRPr="00A75D9F">
        <w:rPr>
          <w:rFonts w:ascii="Arial" w:hAnsi="Arial" w:cs="Arial"/>
        </w:rPr>
        <w:t xml:space="preserve">Grewal, D., Roggeveen, A.L. and </w:t>
      </w:r>
      <w:proofErr w:type="spellStart"/>
      <w:r w:rsidRPr="00A75D9F">
        <w:rPr>
          <w:rFonts w:ascii="Arial" w:hAnsi="Arial" w:cs="Arial"/>
        </w:rPr>
        <w:t>Nordfält</w:t>
      </w:r>
      <w:proofErr w:type="spellEnd"/>
      <w:r w:rsidRPr="00A75D9F">
        <w:rPr>
          <w:rFonts w:ascii="Arial" w:hAnsi="Arial" w:cs="Arial"/>
        </w:rPr>
        <w:t>, J. (2020) ‘The future of retailing’, Journal of Retailing, 96(1), pp. 69–76.</w:t>
      </w:r>
    </w:p>
    <w:p w14:paraId="0CB92081" w14:textId="77777777" w:rsidR="003E4870" w:rsidRPr="00A75D9F" w:rsidRDefault="003E4870" w:rsidP="00A75D9F">
      <w:pPr>
        <w:spacing w:line="360" w:lineRule="auto"/>
        <w:rPr>
          <w:rFonts w:ascii="Arial" w:hAnsi="Arial" w:cs="Arial"/>
        </w:rPr>
      </w:pPr>
      <w:r w:rsidRPr="00A75D9F">
        <w:rPr>
          <w:rFonts w:ascii="Arial" w:hAnsi="Arial" w:cs="Arial"/>
        </w:rPr>
        <w:t>Lemon, K.N. and Verhoef, P.C. (2016) ‘Understanding customer experience throughout the customer journey’, Journal of Marketing, 80(6), pp. 69–96.</w:t>
      </w:r>
    </w:p>
    <w:p w14:paraId="35209AA1" w14:textId="77777777" w:rsidR="003E4870" w:rsidRPr="00A75D9F" w:rsidRDefault="003E4870" w:rsidP="00A75D9F">
      <w:pPr>
        <w:spacing w:line="360" w:lineRule="auto"/>
        <w:rPr>
          <w:rFonts w:ascii="Arial" w:hAnsi="Arial" w:cs="Arial"/>
        </w:rPr>
      </w:pPr>
      <w:r w:rsidRPr="00A75D9F">
        <w:rPr>
          <w:rFonts w:ascii="Arial" w:hAnsi="Arial" w:cs="Arial"/>
        </w:rPr>
        <w:t>Mintel (2023) UK Healthy Snacking Market Report. London: Mintel Group Ltd.</w:t>
      </w:r>
    </w:p>
    <w:p w14:paraId="3ED8DAF2" w14:textId="77777777" w:rsidR="003E4870" w:rsidRPr="00A75D9F" w:rsidRDefault="003E4870" w:rsidP="00A75D9F">
      <w:pPr>
        <w:spacing w:line="360" w:lineRule="auto"/>
        <w:rPr>
          <w:rFonts w:ascii="Arial" w:hAnsi="Arial" w:cs="Arial"/>
        </w:rPr>
      </w:pPr>
      <w:proofErr w:type="spellStart"/>
      <w:r w:rsidRPr="00A75D9F">
        <w:rPr>
          <w:rFonts w:ascii="Arial" w:hAnsi="Arial" w:cs="Arial"/>
        </w:rPr>
        <w:t>Nagji</w:t>
      </w:r>
      <w:proofErr w:type="spellEnd"/>
      <w:r w:rsidRPr="00A75D9F">
        <w:rPr>
          <w:rFonts w:ascii="Arial" w:hAnsi="Arial" w:cs="Arial"/>
        </w:rPr>
        <w:t>, B. and Tuff, G. (2012) ‘Managing your innovation portfolio’, Harvard Business Review, 90(5), pp. 66–74.</w:t>
      </w:r>
    </w:p>
    <w:p w14:paraId="20544231" w14:textId="77777777" w:rsidR="003E4870" w:rsidRPr="00A75D9F" w:rsidRDefault="003E4870" w:rsidP="00A75D9F">
      <w:pPr>
        <w:spacing w:line="360" w:lineRule="auto"/>
        <w:rPr>
          <w:rFonts w:ascii="Arial" w:hAnsi="Arial" w:cs="Arial"/>
        </w:rPr>
      </w:pPr>
      <w:r w:rsidRPr="00A75D9F">
        <w:rPr>
          <w:rFonts w:ascii="Arial" w:hAnsi="Arial" w:cs="Arial"/>
        </w:rPr>
        <w:t>Osterwalder, A. and Pigneur, Y. (2010) Business Model Generation: A Handbook for Visionaries, Game Changers and Challengers. Hoboken, NJ: John Wiley &amp; Sons.</w:t>
      </w:r>
    </w:p>
    <w:p w14:paraId="5B7C2831" w14:textId="77777777" w:rsidR="003E4870" w:rsidRPr="00A75D9F" w:rsidRDefault="003E4870" w:rsidP="00A75D9F">
      <w:pPr>
        <w:spacing w:line="360" w:lineRule="auto"/>
        <w:rPr>
          <w:rFonts w:ascii="Arial" w:hAnsi="Arial" w:cs="Arial"/>
        </w:rPr>
      </w:pPr>
      <w:r w:rsidRPr="00A75D9F">
        <w:rPr>
          <w:rFonts w:ascii="Arial" w:hAnsi="Arial" w:cs="Arial"/>
        </w:rPr>
        <w:t>Payne, A., Frow, P. and Eggert, A. (2020) ‘The customer value proposition: evolution, development, and application in marketing’, Journal of the Academy of Marketing Science, 48(1), pp. 23–46.</w:t>
      </w:r>
    </w:p>
    <w:p w14:paraId="451ECA33" w14:textId="77777777" w:rsidR="003E4870" w:rsidRPr="00A75D9F" w:rsidRDefault="003E4870" w:rsidP="00A75D9F">
      <w:pPr>
        <w:spacing w:line="360" w:lineRule="auto"/>
        <w:rPr>
          <w:rFonts w:ascii="Arial" w:hAnsi="Arial" w:cs="Arial"/>
        </w:rPr>
      </w:pPr>
      <w:r w:rsidRPr="00A75D9F">
        <w:rPr>
          <w:rFonts w:ascii="Arial" w:hAnsi="Arial" w:cs="Arial"/>
        </w:rPr>
        <w:lastRenderedPageBreak/>
        <w:t>Prahalad, C.K. and Ramaswamy, V. (2004) The Future of Competition: Co-Creating Unique Value with Customers. Boston, MA: Harvard Business School Press.</w:t>
      </w:r>
    </w:p>
    <w:p w14:paraId="493FDDAB" w14:textId="77777777" w:rsidR="003E4870" w:rsidRPr="00A75D9F" w:rsidRDefault="003E4870" w:rsidP="00A75D9F">
      <w:pPr>
        <w:spacing w:line="360" w:lineRule="auto"/>
        <w:rPr>
          <w:rFonts w:ascii="Arial" w:hAnsi="Arial" w:cs="Arial"/>
        </w:rPr>
      </w:pPr>
      <w:r w:rsidRPr="00A75D9F">
        <w:rPr>
          <w:rFonts w:ascii="Arial" w:hAnsi="Arial" w:cs="Arial"/>
        </w:rPr>
        <w:t>Proper Snacks (2021) Brand Background and Company Overview. London: Proper Snacks Ltd.</w:t>
      </w:r>
    </w:p>
    <w:p w14:paraId="3227CC7A" w14:textId="77777777" w:rsidR="003E4870" w:rsidRPr="00A75D9F" w:rsidRDefault="003E4870" w:rsidP="00A75D9F">
      <w:pPr>
        <w:spacing w:line="360" w:lineRule="auto"/>
        <w:rPr>
          <w:rFonts w:ascii="Arial" w:hAnsi="Arial" w:cs="Arial"/>
        </w:rPr>
      </w:pPr>
      <w:r w:rsidRPr="00A75D9F">
        <w:rPr>
          <w:rFonts w:ascii="Arial" w:hAnsi="Arial" w:cs="Arial"/>
        </w:rPr>
        <w:t>Proper Snacks (2022) Product and Sustainability Information. London: Proper Snacks Ltd.</w:t>
      </w:r>
    </w:p>
    <w:p w14:paraId="3BDC389D" w14:textId="3FD71251" w:rsidR="003E4870" w:rsidRPr="00A75D9F" w:rsidRDefault="003E4870" w:rsidP="00A75D9F">
      <w:pPr>
        <w:spacing w:line="360" w:lineRule="auto"/>
        <w:rPr>
          <w:rFonts w:ascii="Arial" w:hAnsi="Arial" w:cs="Arial"/>
        </w:rPr>
      </w:pPr>
      <w:r w:rsidRPr="00A75D9F">
        <w:rPr>
          <w:rFonts w:ascii="Arial" w:hAnsi="Arial" w:cs="Arial"/>
        </w:rPr>
        <w:t xml:space="preserve">Retail Gazette (2023) ‘Healthy snack category growth and branding impact’. Retail Gazette. Available at: </w:t>
      </w:r>
      <w:hyperlink r:id="rId21" w:tgtFrame="_new" w:history="1">
        <w:r w:rsidRPr="00A75D9F">
          <w:rPr>
            <w:rStyle w:val="Hyperlink"/>
            <w:rFonts w:ascii="Arial" w:hAnsi="Arial" w:cs="Arial"/>
          </w:rPr>
          <w:t>https://www.retailgazette.co.uk</w:t>
        </w:r>
      </w:hyperlink>
      <w:r w:rsidRPr="00A75D9F">
        <w:rPr>
          <w:rFonts w:ascii="Arial" w:hAnsi="Arial" w:cs="Arial"/>
        </w:rPr>
        <w:t xml:space="preserve"> (Accessed: </w:t>
      </w:r>
      <w:r w:rsidR="00A75D9F" w:rsidRPr="00A75D9F">
        <w:rPr>
          <w:rFonts w:ascii="Arial" w:hAnsi="Arial" w:cs="Arial"/>
        </w:rPr>
        <w:t>[</w:t>
      </w:r>
      <w:r w:rsidR="00A75D9F" w:rsidRPr="00A75D9F">
        <w:rPr>
          <w:rFonts w:ascii="Arial" w:hAnsi="Arial" w:cs="Arial"/>
        </w:rPr>
        <w:t>07</w:t>
      </w:r>
      <w:r w:rsidR="00A75D9F" w:rsidRPr="00A75D9F">
        <w:rPr>
          <w:rFonts w:ascii="Arial" w:hAnsi="Arial" w:cs="Arial"/>
        </w:rPr>
        <w:t>.11.2025]</w:t>
      </w:r>
    </w:p>
    <w:p w14:paraId="0A74C624" w14:textId="00AA04C0" w:rsidR="003E4870" w:rsidRPr="00A75D9F" w:rsidRDefault="003E4870" w:rsidP="00A75D9F">
      <w:pPr>
        <w:spacing w:line="360" w:lineRule="auto"/>
        <w:rPr>
          <w:rFonts w:ascii="Arial" w:hAnsi="Arial" w:cs="Arial"/>
        </w:rPr>
      </w:pPr>
      <w:r w:rsidRPr="00A75D9F">
        <w:rPr>
          <w:rFonts w:ascii="Arial" w:hAnsi="Arial" w:cs="Arial"/>
        </w:rPr>
        <w:t xml:space="preserve">The Grocer (2022) ‘Healthy snacking brands expand market presence’. The Grocer. Available at: </w:t>
      </w:r>
      <w:hyperlink r:id="rId22" w:tgtFrame="_new" w:history="1">
        <w:r w:rsidRPr="00A75D9F">
          <w:rPr>
            <w:rStyle w:val="Hyperlink"/>
            <w:rFonts w:ascii="Arial" w:hAnsi="Arial" w:cs="Arial"/>
          </w:rPr>
          <w:t>https://www.thegrocer.co.uk</w:t>
        </w:r>
      </w:hyperlink>
      <w:r w:rsidRPr="00A75D9F">
        <w:rPr>
          <w:rFonts w:ascii="Arial" w:hAnsi="Arial" w:cs="Arial"/>
        </w:rPr>
        <w:t xml:space="preserve"> (Accessed: </w:t>
      </w:r>
      <w:r w:rsidR="00A75D9F" w:rsidRPr="00A75D9F">
        <w:rPr>
          <w:rFonts w:ascii="Arial" w:hAnsi="Arial" w:cs="Arial"/>
        </w:rPr>
        <w:t>[</w:t>
      </w:r>
      <w:r w:rsidR="00A75D9F" w:rsidRPr="00A75D9F">
        <w:rPr>
          <w:rFonts w:ascii="Arial" w:hAnsi="Arial" w:cs="Arial"/>
        </w:rPr>
        <w:t>12</w:t>
      </w:r>
      <w:r w:rsidR="00A75D9F" w:rsidRPr="00A75D9F">
        <w:rPr>
          <w:rFonts w:ascii="Arial" w:hAnsi="Arial" w:cs="Arial"/>
        </w:rPr>
        <w:t>.11.2025]</w:t>
      </w:r>
    </w:p>
    <w:p w14:paraId="3CE20428" w14:textId="77777777" w:rsidR="003E4870" w:rsidRPr="00A75D9F" w:rsidRDefault="003E4870" w:rsidP="00A75D9F">
      <w:pPr>
        <w:spacing w:line="360" w:lineRule="auto"/>
        <w:rPr>
          <w:rFonts w:ascii="Arial" w:hAnsi="Arial" w:cs="Arial"/>
        </w:rPr>
      </w:pPr>
      <w:r w:rsidRPr="00A75D9F">
        <w:rPr>
          <w:rFonts w:ascii="Arial" w:hAnsi="Arial" w:cs="Arial"/>
        </w:rPr>
        <w:t>Vargo, S.L. and Lusch, R.F. (2004) ‘Evolving to a new dominant logic for marketing’, Journal of Marketing, 68(1), pp. 1–17.</w:t>
      </w:r>
    </w:p>
    <w:p w14:paraId="3400A54E" w14:textId="77777777" w:rsidR="00B23902" w:rsidRPr="00A75D9F" w:rsidRDefault="00B23902" w:rsidP="00A75D9F">
      <w:pPr>
        <w:spacing w:line="360" w:lineRule="auto"/>
        <w:rPr>
          <w:rFonts w:ascii="Arial" w:hAnsi="Arial" w:cs="Arial"/>
        </w:rPr>
      </w:pPr>
    </w:p>
    <w:p w14:paraId="7579CAFA" w14:textId="77777777" w:rsidR="00C0456B" w:rsidRPr="00A75D9F" w:rsidRDefault="00C0456B" w:rsidP="00A75D9F">
      <w:pPr>
        <w:spacing w:line="360" w:lineRule="auto"/>
        <w:rPr>
          <w:rFonts w:ascii="Arial" w:hAnsi="Arial" w:cs="Arial"/>
        </w:rPr>
      </w:pPr>
    </w:p>
    <w:p w14:paraId="59DF064F" w14:textId="77777777" w:rsidR="006F06DA" w:rsidRPr="00A75D9F" w:rsidRDefault="006F06DA" w:rsidP="00A75D9F">
      <w:pPr>
        <w:spacing w:line="360" w:lineRule="auto"/>
        <w:rPr>
          <w:rFonts w:ascii="Arial" w:hAnsi="Arial" w:cs="Arial"/>
        </w:rPr>
      </w:pPr>
    </w:p>
    <w:sectPr w:rsidR="006F06DA" w:rsidRPr="00A75D9F">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254370" w14:textId="77777777" w:rsidR="00524F49" w:rsidRDefault="00524F49" w:rsidP="003E4870">
      <w:pPr>
        <w:spacing w:after="0" w:line="240" w:lineRule="auto"/>
      </w:pPr>
      <w:r>
        <w:separator/>
      </w:r>
    </w:p>
  </w:endnote>
  <w:endnote w:type="continuationSeparator" w:id="0">
    <w:p w14:paraId="4955776D" w14:textId="77777777" w:rsidR="00524F49" w:rsidRDefault="00524F49" w:rsidP="003E48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075545"/>
      <w:docPartObj>
        <w:docPartGallery w:val="Page Numbers (Bottom of Page)"/>
        <w:docPartUnique/>
      </w:docPartObj>
    </w:sdtPr>
    <w:sdtContent>
      <w:p w14:paraId="3B1F8922" w14:textId="2E00E11E" w:rsidR="003E4870" w:rsidRDefault="003E4870">
        <w:pPr>
          <w:pStyle w:val="Footer"/>
          <w:jc w:val="center"/>
        </w:pPr>
        <w:r>
          <w:fldChar w:fldCharType="begin"/>
        </w:r>
        <w:r>
          <w:instrText>PAGE   \* MERGEFORMAT</w:instrText>
        </w:r>
        <w:r>
          <w:fldChar w:fldCharType="separate"/>
        </w:r>
        <w:r>
          <w:t>2</w:t>
        </w:r>
        <w:r>
          <w:fldChar w:fldCharType="end"/>
        </w:r>
      </w:p>
    </w:sdtContent>
  </w:sdt>
  <w:p w14:paraId="28782C58" w14:textId="77777777" w:rsidR="003E4870" w:rsidRDefault="003E48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A2C3A9" w14:textId="77777777" w:rsidR="00524F49" w:rsidRDefault="00524F49" w:rsidP="003E4870">
      <w:pPr>
        <w:spacing w:after="0" w:line="240" w:lineRule="auto"/>
      </w:pPr>
      <w:r>
        <w:separator/>
      </w:r>
    </w:p>
  </w:footnote>
  <w:footnote w:type="continuationSeparator" w:id="0">
    <w:p w14:paraId="762F80CF" w14:textId="77777777" w:rsidR="00524F49" w:rsidRDefault="00524F49" w:rsidP="003E48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E7B5A"/>
    <w:multiLevelType w:val="multilevel"/>
    <w:tmpl w:val="F45617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C61724"/>
    <w:multiLevelType w:val="multilevel"/>
    <w:tmpl w:val="D3B45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ED0F67"/>
    <w:multiLevelType w:val="multilevel"/>
    <w:tmpl w:val="120010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622EA8"/>
    <w:multiLevelType w:val="multilevel"/>
    <w:tmpl w:val="49A80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583505"/>
    <w:multiLevelType w:val="multilevel"/>
    <w:tmpl w:val="7BF4C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2B0D21"/>
    <w:multiLevelType w:val="multilevel"/>
    <w:tmpl w:val="954E43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7532135"/>
    <w:multiLevelType w:val="multilevel"/>
    <w:tmpl w:val="3D5AF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BE34AF"/>
    <w:multiLevelType w:val="multilevel"/>
    <w:tmpl w:val="B7306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9CF265F"/>
    <w:multiLevelType w:val="multilevel"/>
    <w:tmpl w:val="7666A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A43A5F"/>
    <w:multiLevelType w:val="multilevel"/>
    <w:tmpl w:val="0AE8E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14259E"/>
    <w:multiLevelType w:val="multilevel"/>
    <w:tmpl w:val="A27E5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AB4476"/>
    <w:multiLevelType w:val="multilevel"/>
    <w:tmpl w:val="33BAC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796AB2"/>
    <w:multiLevelType w:val="multilevel"/>
    <w:tmpl w:val="E1AE56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A1F7BCF"/>
    <w:multiLevelType w:val="multilevel"/>
    <w:tmpl w:val="FD987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DA057DB"/>
    <w:multiLevelType w:val="multilevel"/>
    <w:tmpl w:val="78FCC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644A9F"/>
    <w:multiLevelType w:val="multilevel"/>
    <w:tmpl w:val="DE46E0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A043C47"/>
    <w:multiLevelType w:val="multilevel"/>
    <w:tmpl w:val="6AD27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2931775">
    <w:abstractNumId w:val="4"/>
  </w:num>
  <w:num w:numId="2" w16cid:durableId="454376366">
    <w:abstractNumId w:val="16"/>
  </w:num>
  <w:num w:numId="3" w16cid:durableId="1725715650">
    <w:abstractNumId w:val="6"/>
  </w:num>
  <w:num w:numId="4" w16cid:durableId="154029367">
    <w:abstractNumId w:val="8"/>
  </w:num>
  <w:num w:numId="5" w16cid:durableId="1947157875">
    <w:abstractNumId w:val="10"/>
  </w:num>
  <w:num w:numId="6" w16cid:durableId="317274569">
    <w:abstractNumId w:val="7"/>
  </w:num>
  <w:num w:numId="7" w16cid:durableId="980573886">
    <w:abstractNumId w:val="1"/>
  </w:num>
  <w:num w:numId="8" w16cid:durableId="1052998960">
    <w:abstractNumId w:val="9"/>
  </w:num>
  <w:num w:numId="9" w16cid:durableId="1390835866">
    <w:abstractNumId w:val="11"/>
  </w:num>
  <w:num w:numId="10" w16cid:durableId="77408807">
    <w:abstractNumId w:val="15"/>
  </w:num>
  <w:num w:numId="11" w16cid:durableId="999238007">
    <w:abstractNumId w:val="5"/>
  </w:num>
  <w:num w:numId="12" w16cid:durableId="1246114778">
    <w:abstractNumId w:val="0"/>
  </w:num>
  <w:num w:numId="13" w16cid:durableId="1791127322">
    <w:abstractNumId w:val="2"/>
  </w:num>
  <w:num w:numId="14" w16cid:durableId="671491539">
    <w:abstractNumId w:val="3"/>
  </w:num>
  <w:num w:numId="15" w16cid:durableId="1131286817">
    <w:abstractNumId w:val="14"/>
  </w:num>
  <w:num w:numId="16" w16cid:durableId="1050305935">
    <w:abstractNumId w:val="12"/>
  </w:num>
  <w:num w:numId="17" w16cid:durableId="70695694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168"/>
    <w:rsid w:val="00162986"/>
    <w:rsid w:val="001C36B5"/>
    <w:rsid w:val="002270C1"/>
    <w:rsid w:val="00240168"/>
    <w:rsid w:val="002818C4"/>
    <w:rsid w:val="003E4870"/>
    <w:rsid w:val="00422CB8"/>
    <w:rsid w:val="00425A0A"/>
    <w:rsid w:val="00426D98"/>
    <w:rsid w:val="00524F49"/>
    <w:rsid w:val="005A11D9"/>
    <w:rsid w:val="005E4925"/>
    <w:rsid w:val="006A77C9"/>
    <w:rsid w:val="006F06DA"/>
    <w:rsid w:val="00760B60"/>
    <w:rsid w:val="00810A5F"/>
    <w:rsid w:val="00837C8F"/>
    <w:rsid w:val="00870F98"/>
    <w:rsid w:val="009B6DDE"/>
    <w:rsid w:val="009C40DA"/>
    <w:rsid w:val="00A351E3"/>
    <w:rsid w:val="00A75D9F"/>
    <w:rsid w:val="00AE320E"/>
    <w:rsid w:val="00B211D6"/>
    <w:rsid w:val="00B23902"/>
    <w:rsid w:val="00BD697F"/>
    <w:rsid w:val="00C0456B"/>
    <w:rsid w:val="00C44EC1"/>
    <w:rsid w:val="00C853A6"/>
    <w:rsid w:val="00C97DDC"/>
    <w:rsid w:val="00D0471D"/>
    <w:rsid w:val="00DC038F"/>
    <w:rsid w:val="00E807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75013"/>
  <w15:chartTrackingRefBased/>
  <w15:docId w15:val="{F118403C-5F3F-48AE-80DA-D03B0085B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01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01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01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01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01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01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01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01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01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01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01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01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01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01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01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01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01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0168"/>
    <w:rPr>
      <w:rFonts w:eastAsiaTheme="majorEastAsia" w:cstheme="majorBidi"/>
      <w:color w:val="272727" w:themeColor="text1" w:themeTint="D8"/>
    </w:rPr>
  </w:style>
  <w:style w:type="paragraph" w:styleId="Title">
    <w:name w:val="Title"/>
    <w:basedOn w:val="Normal"/>
    <w:next w:val="Normal"/>
    <w:link w:val="TitleChar"/>
    <w:uiPriority w:val="10"/>
    <w:qFormat/>
    <w:rsid w:val="002401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01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01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01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0168"/>
    <w:pPr>
      <w:spacing w:before="160"/>
      <w:jc w:val="center"/>
    </w:pPr>
    <w:rPr>
      <w:i/>
      <w:iCs/>
      <w:color w:val="404040" w:themeColor="text1" w:themeTint="BF"/>
    </w:rPr>
  </w:style>
  <w:style w:type="character" w:customStyle="1" w:styleId="QuoteChar">
    <w:name w:val="Quote Char"/>
    <w:basedOn w:val="DefaultParagraphFont"/>
    <w:link w:val="Quote"/>
    <w:uiPriority w:val="29"/>
    <w:rsid w:val="00240168"/>
    <w:rPr>
      <w:i/>
      <w:iCs/>
      <w:color w:val="404040" w:themeColor="text1" w:themeTint="BF"/>
    </w:rPr>
  </w:style>
  <w:style w:type="paragraph" w:styleId="ListParagraph">
    <w:name w:val="List Paragraph"/>
    <w:basedOn w:val="Normal"/>
    <w:uiPriority w:val="34"/>
    <w:qFormat/>
    <w:rsid w:val="00240168"/>
    <w:pPr>
      <w:ind w:left="720"/>
      <w:contextualSpacing/>
    </w:pPr>
  </w:style>
  <w:style w:type="character" w:styleId="IntenseEmphasis">
    <w:name w:val="Intense Emphasis"/>
    <w:basedOn w:val="DefaultParagraphFont"/>
    <w:uiPriority w:val="21"/>
    <w:qFormat/>
    <w:rsid w:val="00240168"/>
    <w:rPr>
      <w:i/>
      <w:iCs/>
      <w:color w:val="0F4761" w:themeColor="accent1" w:themeShade="BF"/>
    </w:rPr>
  </w:style>
  <w:style w:type="paragraph" w:styleId="IntenseQuote">
    <w:name w:val="Intense Quote"/>
    <w:basedOn w:val="Normal"/>
    <w:next w:val="Normal"/>
    <w:link w:val="IntenseQuoteChar"/>
    <w:uiPriority w:val="30"/>
    <w:qFormat/>
    <w:rsid w:val="002401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0168"/>
    <w:rPr>
      <w:i/>
      <w:iCs/>
      <w:color w:val="0F4761" w:themeColor="accent1" w:themeShade="BF"/>
    </w:rPr>
  </w:style>
  <w:style w:type="character" w:styleId="IntenseReference">
    <w:name w:val="Intense Reference"/>
    <w:basedOn w:val="DefaultParagraphFont"/>
    <w:uiPriority w:val="32"/>
    <w:qFormat/>
    <w:rsid w:val="00240168"/>
    <w:rPr>
      <w:b/>
      <w:bCs/>
      <w:smallCaps/>
      <w:color w:val="0F4761" w:themeColor="accent1" w:themeShade="BF"/>
      <w:spacing w:val="5"/>
    </w:rPr>
  </w:style>
  <w:style w:type="character" w:styleId="Hyperlink">
    <w:name w:val="Hyperlink"/>
    <w:basedOn w:val="DefaultParagraphFont"/>
    <w:uiPriority w:val="99"/>
    <w:unhideWhenUsed/>
    <w:rsid w:val="00240168"/>
    <w:rPr>
      <w:color w:val="467886" w:themeColor="hyperlink"/>
      <w:u w:val="single"/>
    </w:rPr>
  </w:style>
  <w:style w:type="character" w:styleId="UnresolvedMention">
    <w:name w:val="Unresolved Mention"/>
    <w:basedOn w:val="DefaultParagraphFont"/>
    <w:uiPriority w:val="99"/>
    <w:semiHidden/>
    <w:unhideWhenUsed/>
    <w:rsid w:val="00240168"/>
    <w:rPr>
      <w:color w:val="605E5C"/>
      <w:shd w:val="clear" w:color="auto" w:fill="E1DFDD"/>
    </w:rPr>
  </w:style>
  <w:style w:type="paragraph" w:styleId="Header">
    <w:name w:val="header"/>
    <w:basedOn w:val="Normal"/>
    <w:link w:val="HeaderChar"/>
    <w:uiPriority w:val="99"/>
    <w:unhideWhenUsed/>
    <w:rsid w:val="003E48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870"/>
  </w:style>
  <w:style w:type="paragraph" w:styleId="Footer">
    <w:name w:val="footer"/>
    <w:basedOn w:val="Normal"/>
    <w:link w:val="FooterChar"/>
    <w:uiPriority w:val="99"/>
    <w:unhideWhenUsed/>
    <w:rsid w:val="003E48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870"/>
  </w:style>
  <w:style w:type="paragraph" w:styleId="TOCHeading">
    <w:name w:val="TOC Heading"/>
    <w:basedOn w:val="Heading1"/>
    <w:next w:val="Normal"/>
    <w:uiPriority w:val="39"/>
    <w:unhideWhenUsed/>
    <w:qFormat/>
    <w:rsid w:val="003E4870"/>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3E4870"/>
    <w:pPr>
      <w:spacing w:after="100"/>
    </w:pPr>
  </w:style>
  <w:style w:type="paragraph" w:styleId="TOC2">
    <w:name w:val="toc 2"/>
    <w:basedOn w:val="Normal"/>
    <w:next w:val="Normal"/>
    <w:autoRedefine/>
    <w:uiPriority w:val="39"/>
    <w:unhideWhenUsed/>
    <w:rsid w:val="003E487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QuickStyle" Target="diagrams/quickStyle1.xml"/><Relationship Id="rId18" Type="http://schemas.openxmlformats.org/officeDocument/2006/relationships/hyperlink" Target="https://www.bcorporation.net" TargetMode="External"/><Relationship Id="rId3" Type="http://schemas.openxmlformats.org/officeDocument/2006/relationships/customXml" Target="../customXml/item3.xml"/><Relationship Id="rId21" Type="http://schemas.openxmlformats.org/officeDocument/2006/relationships/hyperlink" Target="https://www.retailgazette.co.uk" TargetMode="External"/><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image" Target="media/image2.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yperlink" Target="https://www.foodmanufacture.co.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24" Type="http://schemas.openxmlformats.org/officeDocument/2006/relationships/fontTable" Target="fontTable.xml"/><Relationship Id="rId5" Type="http://schemas.openxmlformats.org/officeDocument/2006/relationships/numbering" Target="numbering.xml"/><Relationship Id="rId15" Type="http://schemas.microsoft.com/office/2007/relationships/diagramDrawing" Target="diagrams/drawing1.xm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exponentpe.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 Id="rId22" Type="http://schemas.openxmlformats.org/officeDocument/2006/relationships/hyperlink" Target="https://www.thegrocer.co.uk"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802FA47-82DD-4765-A648-9FA3A8C59B53}" type="doc">
      <dgm:prSet loTypeId="urn:microsoft.com/office/officeart/2005/8/layout/lProcess2" loCatId="relationship" qsTypeId="urn:microsoft.com/office/officeart/2005/8/quickstyle/simple1" qsCatId="simple" csTypeId="urn:microsoft.com/office/officeart/2005/8/colors/accent1_2" csCatId="accent1" phldr="1"/>
      <dgm:spPr/>
      <dgm:t>
        <a:bodyPr/>
        <a:lstStyle/>
        <a:p>
          <a:endParaRPr lang="en-GB"/>
        </a:p>
      </dgm:t>
    </dgm:pt>
    <dgm:pt modelId="{7FC99518-7FEF-45FC-B77D-6EAE214FFCED}">
      <dgm:prSet phldrT="[Text]"/>
      <dgm:spPr/>
      <dgm:t>
        <a:bodyPr/>
        <a:lstStyle/>
        <a:p>
          <a:r>
            <a:rPr lang="en-GB"/>
            <a:t>Core innovation</a:t>
          </a:r>
        </a:p>
      </dgm:t>
    </dgm:pt>
    <dgm:pt modelId="{C8922CF3-1252-4A08-8387-20E77A218F29}" type="parTrans" cxnId="{B8BA58F5-A2D7-4D70-BCD4-42DD3BEFC686}">
      <dgm:prSet/>
      <dgm:spPr/>
      <dgm:t>
        <a:bodyPr/>
        <a:lstStyle/>
        <a:p>
          <a:endParaRPr lang="en-GB"/>
        </a:p>
      </dgm:t>
    </dgm:pt>
    <dgm:pt modelId="{54272C79-0A2E-4815-937D-692DE4A4B0AF}" type="sibTrans" cxnId="{B8BA58F5-A2D7-4D70-BCD4-42DD3BEFC686}">
      <dgm:prSet/>
      <dgm:spPr/>
      <dgm:t>
        <a:bodyPr/>
        <a:lstStyle/>
        <a:p>
          <a:endParaRPr lang="en-GB"/>
        </a:p>
      </dgm:t>
    </dgm:pt>
    <dgm:pt modelId="{3B5E785F-88E0-4AA3-BA2E-C0EAA79FEAE2}">
      <dgm:prSet phldrT="[Text]"/>
      <dgm:spPr/>
      <dgm:t>
        <a:bodyPr/>
        <a:lstStyle/>
        <a:p>
          <a:r>
            <a:rPr lang="en-GB"/>
            <a:t>Packaging refreshes; flavour/variant tweaks in popcorn/chips; manufacturing efficiency improvements.</a:t>
          </a:r>
        </a:p>
      </dgm:t>
    </dgm:pt>
    <dgm:pt modelId="{F7557583-0A8E-4D64-982F-22AA0B7AE09B}" type="parTrans" cxnId="{2C132825-EA5B-4E6A-BC54-0D04D7835B2C}">
      <dgm:prSet/>
      <dgm:spPr/>
      <dgm:t>
        <a:bodyPr/>
        <a:lstStyle/>
        <a:p>
          <a:endParaRPr lang="en-GB"/>
        </a:p>
      </dgm:t>
    </dgm:pt>
    <dgm:pt modelId="{748C4EC8-F7DF-424A-A413-8D9CD81CA617}" type="sibTrans" cxnId="{2C132825-EA5B-4E6A-BC54-0D04D7835B2C}">
      <dgm:prSet/>
      <dgm:spPr/>
      <dgm:t>
        <a:bodyPr/>
        <a:lstStyle/>
        <a:p>
          <a:endParaRPr lang="en-GB"/>
        </a:p>
      </dgm:t>
    </dgm:pt>
    <dgm:pt modelId="{627EC79D-5377-4139-909E-44FC7C7BA460}">
      <dgm:prSet phldrT="[Text]"/>
      <dgm:spPr/>
      <dgm:t>
        <a:bodyPr/>
        <a:lstStyle/>
        <a:p>
          <a:r>
            <a:rPr lang="en-GB"/>
            <a:t>Protect &amp; optimise current business.</a:t>
          </a:r>
        </a:p>
      </dgm:t>
    </dgm:pt>
    <dgm:pt modelId="{78B4EB6B-3F43-4510-86C8-F46456B6339D}" type="parTrans" cxnId="{DC34085A-8466-44A6-9B10-9DC30E58DDC2}">
      <dgm:prSet/>
      <dgm:spPr/>
      <dgm:t>
        <a:bodyPr/>
        <a:lstStyle/>
        <a:p>
          <a:endParaRPr lang="en-GB"/>
        </a:p>
      </dgm:t>
    </dgm:pt>
    <dgm:pt modelId="{AE41DDC2-C162-4EC0-ABCF-E1FD536FCFC0}" type="sibTrans" cxnId="{DC34085A-8466-44A6-9B10-9DC30E58DDC2}">
      <dgm:prSet/>
      <dgm:spPr/>
      <dgm:t>
        <a:bodyPr/>
        <a:lstStyle/>
        <a:p>
          <a:endParaRPr lang="en-GB"/>
        </a:p>
      </dgm:t>
    </dgm:pt>
    <dgm:pt modelId="{CEFF00F6-D7F4-4BB6-91CE-A352FEB9DF3F}">
      <dgm:prSet phldrT="[Text]"/>
      <dgm:spPr/>
      <dgm:t>
        <a:bodyPr/>
        <a:lstStyle/>
        <a:p>
          <a:r>
            <a:rPr lang="en-GB"/>
            <a:t>Adjacent innovation</a:t>
          </a:r>
        </a:p>
      </dgm:t>
    </dgm:pt>
    <dgm:pt modelId="{3E9190E3-70DF-46E8-8059-3C340FAC6D33}" type="parTrans" cxnId="{B41712E7-F54B-489E-A85D-97C7FEB1EAD1}">
      <dgm:prSet/>
      <dgm:spPr/>
      <dgm:t>
        <a:bodyPr/>
        <a:lstStyle/>
        <a:p>
          <a:endParaRPr lang="en-GB"/>
        </a:p>
      </dgm:t>
    </dgm:pt>
    <dgm:pt modelId="{998D3BF9-F0C2-4A0E-837B-82E6D70A0B2D}" type="sibTrans" cxnId="{B41712E7-F54B-489E-A85D-97C7FEB1EAD1}">
      <dgm:prSet/>
      <dgm:spPr/>
      <dgm:t>
        <a:bodyPr/>
        <a:lstStyle/>
        <a:p>
          <a:endParaRPr lang="en-GB"/>
        </a:p>
      </dgm:t>
    </dgm:pt>
    <dgm:pt modelId="{4F2B6F99-2872-4B3C-824B-0CB0EFC9C1CA}">
      <dgm:prSet phldrT="[Text]"/>
      <dgm:spPr/>
      <dgm:t>
        <a:bodyPr/>
        <a:lstStyle/>
        <a:p>
          <a:r>
            <a:rPr lang="en-GB"/>
            <a:t>Launching chips from popcorn; expanding into overseas markets; ingredients/clean‐label extensions.</a:t>
          </a:r>
        </a:p>
      </dgm:t>
    </dgm:pt>
    <dgm:pt modelId="{434D08CD-F760-4798-808A-C832065E11FF}" type="parTrans" cxnId="{C151EFB9-6A1A-4700-8308-EC627F023C1E}">
      <dgm:prSet/>
      <dgm:spPr/>
      <dgm:t>
        <a:bodyPr/>
        <a:lstStyle/>
        <a:p>
          <a:endParaRPr lang="en-GB"/>
        </a:p>
      </dgm:t>
    </dgm:pt>
    <dgm:pt modelId="{735FED28-9B21-4699-A27D-E45382FB9D20}" type="sibTrans" cxnId="{C151EFB9-6A1A-4700-8308-EC627F023C1E}">
      <dgm:prSet/>
      <dgm:spPr/>
      <dgm:t>
        <a:bodyPr/>
        <a:lstStyle/>
        <a:p>
          <a:endParaRPr lang="en-GB"/>
        </a:p>
      </dgm:t>
    </dgm:pt>
    <dgm:pt modelId="{3869080F-6E0E-4C6C-8DF6-A88F2DB328EA}">
      <dgm:prSet phldrT="[Text]"/>
      <dgm:spPr/>
      <dgm:t>
        <a:bodyPr/>
        <a:lstStyle/>
        <a:p>
          <a:r>
            <a:rPr lang="en-GB"/>
            <a:t>Expand into related spaces leveraging brand and capabilities.</a:t>
          </a:r>
        </a:p>
      </dgm:t>
    </dgm:pt>
    <dgm:pt modelId="{263C1832-F18B-44FB-A6A8-7127024D4740}" type="parTrans" cxnId="{53EFA8D2-31A8-4A0C-A00F-A4C74DD1B26A}">
      <dgm:prSet/>
      <dgm:spPr/>
      <dgm:t>
        <a:bodyPr/>
        <a:lstStyle/>
        <a:p>
          <a:endParaRPr lang="en-GB"/>
        </a:p>
      </dgm:t>
    </dgm:pt>
    <dgm:pt modelId="{0694D69B-C034-4040-98A9-2281F813AFFE}" type="sibTrans" cxnId="{53EFA8D2-31A8-4A0C-A00F-A4C74DD1B26A}">
      <dgm:prSet/>
      <dgm:spPr/>
      <dgm:t>
        <a:bodyPr/>
        <a:lstStyle/>
        <a:p>
          <a:endParaRPr lang="en-GB"/>
        </a:p>
      </dgm:t>
    </dgm:pt>
    <dgm:pt modelId="{47D4324D-A146-4B90-AF8B-4B8F0BCE4B40}">
      <dgm:prSet phldrT="[Text]"/>
      <dgm:spPr/>
      <dgm:t>
        <a:bodyPr/>
        <a:lstStyle/>
        <a:p>
          <a:r>
            <a:rPr lang="en-GB"/>
            <a:t>Transformational innovation</a:t>
          </a:r>
        </a:p>
      </dgm:t>
    </dgm:pt>
    <dgm:pt modelId="{5A705318-A03E-4A8A-9625-61275B728A76}" type="parTrans" cxnId="{4C54361C-FCE5-410E-A06F-5CC0F87B458E}">
      <dgm:prSet/>
      <dgm:spPr/>
      <dgm:t>
        <a:bodyPr/>
        <a:lstStyle/>
        <a:p>
          <a:endParaRPr lang="en-GB"/>
        </a:p>
      </dgm:t>
    </dgm:pt>
    <dgm:pt modelId="{EEEAA50C-0074-48B8-8C26-D66B9ECC6ADC}" type="sibTrans" cxnId="{4C54361C-FCE5-410E-A06F-5CC0F87B458E}">
      <dgm:prSet/>
      <dgm:spPr/>
      <dgm:t>
        <a:bodyPr/>
        <a:lstStyle/>
        <a:p>
          <a:endParaRPr lang="en-GB"/>
        </a:p>
      </dgm:t>
    </dgm:pt>
    <dgm:pt modelId="{2F60269B-7F73-4432-A2B3-B4A15997917B}">
      <dgm:prSet phldrT="[Text]"/>
      <dgm:spPr/>
      <dgm:t>
        <a:bodyPr/>
        <a:lstStyle/>
        <a:p>
          <a:r>
            <a:rPr lang="en-GB"/>
            <a:t>Potential digital D2C platform; functional snack platforms (protein / gut health); circular economy business model.</a:t>
          </a:r>
        </a:p>
      </dgm:t>
    </dgm:pt>
    <dgm:pt modelId="{3592FA76-9861-4EA2-AA35-D1530849066E}" type="parTrans" cxnId="{5545613B-4B11-4F68-8244-C30EAE7944D8}">
      <dgm:prSet/>
      <dgm:spPr/>
      <dgm:t>
        <a:bodyPr/>
        <a:lstStyle/>
        <a:p>
          <a:endParaRPr lang="en-GB"/>
        </a:p>
      </dgm:t>
    </dgm:pt>
    <dgm:pt modelId="{AF391EF8-94D3-4B3D-9E06-4B43134D4E09}" type="sibTrans" cxnId="{5545613B-4B11-4F68-8244-C30EAE7944D8}">
      <dgm:prSet/>
      <dgm:spPr/>
      <dgm:t>
        <a:bodyPr/>
        <a:lstStyle/>
        <a:p>
          <a:endParaRPr lang="en-GB"/>
        </a:p>
      </dgm:t>
    </dgm:pt>
    <dgm:pt modelId="{C5FB1C4F-038C-41FB-A71F-B9A4DE1B4BC2}">
      <dgm:prSet phldrT="[Text]"/>
      <dgm:spPr/>
      <dgm:t>
        <a:bodyPr/>
        <a:lstStyle/>
        <a:p>
          <a:r>
            <a:rPr lang="en-GB"/>
            <a:t>Create new markets, new business models, higher growth.</a:t>
          </a:r>
        </a:p>
      </dgm:t>
    </dgm:pt>
    <dgm:pt modelId="{B754446F-79FC-4269-9376-7F0C88E3067B}" type="parTrans" cxnId="{F480394F-35DB-4437-B787-00BB04F8C807}">
      <dgm:prSet/>
      <dgm:spPr/>
      <dgm:t>
        <a:bodyPr/>
        <a:lstStyle/>
        <a:p>
          <a:endParaRPr lang="en-GB"/>
        </a:p>
      </dgm:t>
    </dgm:pt>
    <dgm:pt modelId="{E71E44E4-F5DF-4445-B032-66F4E5DEEC41}" type="sibTrans" cxnId="{F480394F-35DB-4437-B787-00BB04F8C807}">
      <dgm:prSet/>
      <dgm:spPr/>
      <dgm:t>
        <a:bodyPr/>
        <a:lstStyle/>
        <a:p>
          <a:endParaRPr lang="en-GB"/>
        </a:p>
      </dgm:t>
    </dgm:pt>
    <dgm:pt modelId="{971A699A-859A-4DC5-9FB8-5B94E34FAB1E}" type="pres">
      <dgm:prSet presAssocID="{6802FA47-82DD-4765-A648-9FA3A8C59B53}" presName="theList" presStyleCnt="0">
        <dgm:presLayoutVars>
          <dgm:dir/>
          <dgm:animLvl val="lvl"/>
          <dgm:resizeHandles val="exact"/>
        </dgm:presLayoutVars>
      </dgm:prSet>
      <dgm:spPr/>
    </dgm:pt>
    <dgm:pt modelId="{9C4BB066-BF9D-4969-B076-4566E8D78210}" type="pres">
      <dgm:prSet presAssocID="{7FC99518-7FEF-45FC-B77D-6EAE214FFCED}" presName="compNode" presStyleCnt="0"/>
      <dgm:spPr/>
    </dgm:pt>
    <dgm:pt modelId="{19B2E7F9-4163-4FCD-9DCB-C0C455D04025}" type="pres">
      <dgm:prSet presAssocID="{7FC99518-7FEF-45FC-B77D-6EAE214FFCED}" presName="aNode" presStyleLbl="bgShp" presStyleIdx="0" presStyleCnt="3"/>
      <dgm:spPr/>
    </dgm:pt>
    <dgm:pt modelId="{63D63C13-E753-45AD-ADFD-99462E537D84}" type="pres">
      <dgm:prSet presAssocID="{7FC99518-7FEF-45FC-B77D-6EAE214FFCED}" presName="textNode" presStyleLbl="bgShp" presStyleIdx="0" presStyleCnt="3"/>
      <dgm:spPr/>
    </dgm:pt>
    <dgm:pt modelId="{08C46DCE-870D-4920-9E86-12E925CDC636}" type="pres">
      <dgm:prSet presAssocID="{7FC99518-7FEF-45FC-B77D-6EAE214FFCED}" presName="compChildNode" presStyleCnt="0"/>
      <dgm:spPr/>
    </dgm:pt>
    <dgm:pt modelId="{5F041F48-3C5E-4290-B6FA-C19A9CEE46BC}" type="pres">
      <dgm:prSet presAssocID="{7FC99518-7FEF-45FC-B77D-6EAE214FFCED}" presName="theInnerList" presStyleCnt="0"/>
      <dgm:spPr/>
    </dgm:pt>
    <dgm:pt modelId="{D82F3BB2-9097-4832-8442-AD4C4649429D}" type="pres">
      <dgm:prSet presAssocID="{3B5E785F-88E0-4AA3-BA2E-C0EAA79FEAE2}" presName="childNode" presStyleLbl="node1" presStyleIdx="0" presStyleCnt="6">
        <dgm:presLayoutVars>
          <dgm:bulletEnabled val="1"/>
        </dgm:presLayoutVars>
      </dgm:prSet>
      <dgm:spPr/>
    </dgm:pt>
    <dgm:pt modelId="{8F03F5CF-00C2-416A-AF9B-C21CADD42537}" type="pres">
      <dgm:prSet presAssocID="{3B5E785F-88E0-4AA3-BA2E-C0EAA79FEAE2}" presName="aSpace2" presStyleCnt="0"/>
      <dgm:spPr/>
    </dgm:pt>
    <dgm:pt modelId="{5F06A87A-3690-4251-ACA3-E97C32FF2DC6}" type="pres">
      <dgm:prSet presAssocID="{627EC79D-5377-4139-909E-44FC7C7BA460}" presName="childNode" presStyleLbl="node1" presStyleIdx="1" presStyleCnt="6">
        <dgm:presLayoutVars>
          <dgm:bulletEnabled val="1"/>
        </dgm:presLayoutVars>
      </dgm:prSet>
      <dgm:spPr/>
    </dgm:pt>
    <dgm:pt modelId="{2452B7BE-D6CB-49FB-96EC-AA65C7DCD050}" type="pres">
      <dgm:prSet presAssocID="{7FC99518-7FEF-45FC-B77D-6EAE214FFCED}" presName="aSpace" presStyleCnt="0"/>
      <dgm:spPr/>
    </dgm:pt>
    <dgm:pt modelId="{E78E7E02-68F9-40A6-9B97-00823107131C}" type="pres">
      <dgm:prSet presAssocID="{CEFF00F6-D7F4-4BB6-91CE-A352FEB9DF3F}" presName="compNode" presStyleCnt="0"/>
      <dgm:spPr/>
    </dgm:pt>
    <dgm:pt modelId="{26CF2679-C43E-4FCC-A4EA-51F388EE2FCD}" type="pres">
      <dgm:prSet presAssocID="{CEFF00F6-D7F4-4BB6-91CE-A352FEB9DF3F}" presName="aNode" presStyleLbl="bgShp" presStyleIdx="1" presStyleCnt="3"/>
      <dgm:spPr/>
    </dgm:pt>
    <dgm:pt modelId="{EC2BA8A3-A3B3-4522-B6B4-07F26FB82ECD}" type="pres">
      <dgm:prSet presAssocID="{CEFF00F6-D7F4-4BB6-91CE-A352FEB9DF3F}" presName="textNode" presStyleLbl="bgShp" presStyleIdx="1" presStyleCnt="3"/>
      <dgm:spPr/>
    </dgm:pt>
    <dgm:pt modelId="{68C3E02E-A482-43CF-A2E1-CEEDFF433D53}" type="pres">
      <dgm:prSet presAssocID="{CEFF00F6-D7F4-4BB6-91CE-A352FEB9DF3F}" presName="compChildNode" presStyleCnt="0"/>
      <dgm:spPr/>
    </dgm:pt>
    <dgm:pt modelId="{9C9727B4-0355-4387-912E-E146F26FFC78}" type="pres">
      <dgm:prSet presAssocID="{CEFF00F6-D7F4-4BB6-91CE-A352FEB9DF3F}" presName="theInnerList" presStyleCnt="0"/>
      <dgm:spPr/>
    </dgm:pt>
    <dgm:pt modelId="{48F1F7C1-1808-4937-A0C7-DDE33175DB5D}" type="pres">
      <dgm:prSet presAssocID="{4F2B6F99-2872-4B3C-824B-0CB0EFC9C1CA}" presName="childNode" presStyleLbl="node1" presStyleIdx="2" presStyleCnt="6">
        <dgm:presLayoutVars>
          <dgm:bulletEnabled val="1"/>
        </dgm:presLayoutVars>
      </dgm:prSet>
      <dgm:spPr/>
    </dgm:pt>
    <dgm:pt modelId="{5C5D0E11-585A-4C7E-BAD9-B52225084CBE}" type="pres">
      <dgm:prSet presAssocID="{4F2B6F99-2872-4B3C-824B-0CB0EFC9C1CA}" presName="aSpace2" presStyleCnt="0"/>
      <dgm:spPr/>
    </dgm:pt>
    <dgm:pt modelId="{21588BD3-72C2-4609-B1B8-3E868DD66B5A}" type="pres">
      <dgm:prSet presAssocID="{3869080F-6E0E-4C6C-8DF6-A88F2DB328EA}" presName="childNode" presStyleLbl="node1" presStyleIdx="3" presStyleCnt="6">
        <dgm:presLayoutVars>
          <dgm:bulletEnabled val="1"/>
        </dgm:presLayoutVars>
      </dgm:prSet>
      <dgm:spPr/>
    </dgm:pt>
    <dgm:pt modelId="{576D4805-2166-41FB-A7E9-ABD4E61F8EB8}" type="pres">
      <dgm:prSet presAssocID="{CEFF00F6-D7F4-4BB6-91CE-A352FEB9DF3F}" presName="aSpace" presStyleCnt="0"/>
      <dgm:spPr/>
    </dgm:pt>
    <dgm:pt modelId="{D66061D2-2D07-4641-969E-5379CA945558}" type="pres">
      <dgm:prSet presAssocID="{47D4324D-A146-4B90-AF8B-4B8F0BCE4B40}" presName="compNode" presStyleCnt="0"/>
      <dgm:spPr/>
    </dgm:pt>
    <dgm:pt modelId="{76AB95AE-7BB0-4EC0-A3FF-06E3BF5BA61C}" type="pres">
      <dgm:prSet presAssocID="{47D4324D-A146-4B90-AF8B-4B8F0BCE4B40}" presName="aNode" presStyleLbl="bgShp" presStyleIdx="2" presStyleCnt="3"/>
      <dgm:spPr/>
    </dgm:pt>
    <dgm:pt modelId="{399E1C3C-0466-489F-8609-E2C4DAEE8C6C}" type="pres">
      <dgm:prSet presAssocID="{47D4324D-A146-4B90-AF8B-4B8F0BCE4B40}" presName="textNode" presStyleLbl="bgShp" presStyleIdx="2" presStyleCnt="3"/>
      <dgm:spPr/>
    </dgm:pt>
    <dgm:pt modelId="{967885BC-39FA-4957-961A-86049321319C}" type="pres">
      <dgm:prSet presAssocID="{47D4324D-A146-4B90-AF8B-4B8F0BCE4B40}" presName="compChildNode" presStyleCnt="0"/>
      <dgm:spPr/>
    </dgm:pt>
    <dgm:pt modelId="{055EA77F-FACC-47A0-955A-D0ADB47372E3}" type="pres">
      <dgm:prSet presAssocID="{47D4324D-A146-4B90-AF8B-4B8F0BCE4B40}" presName="theInnerList" presStyleCnt="0"/>
      <dgm:spPr/>
    </dgm:pt>
    <dgm:pt modelId="{F8746467-891E-446E-80B0-7759CBD32C39}" type="pres">
      <dgm:prSet presAssocID="{2F60269B-7F73-4432-A2B3-B4A15997917B}" presName="childNode" presStyleLbl="node1" presStyleIdx="4" presStyleCnt="6">
        <dgm:presLayoutVars>
          <dgm:bulletEnabled val="1"/>
        </dgm:presLayoutVars>
      </dgm:prSet>
      <dgm:spPr/>
    </dgm:pt>
    <dgm:pt modelId="{51755617-BFFE-4036-A3FE-1CD3E897D0E4}" type="pres">
      <dgm:prSet presAssocID="{2F60269B-7F73-4432-A2B3-B4A15997917B}" presName="aSpace2" presStyleCnt="0"/>
      <dgm:spPr/>
    </dgm:pt>
    <dgm:pt modelId="{F299DAF7-5293-4753-B501-491AA69C5294}" type="pres">
      <dgm:prSet presAssocID="{C5FB1C4F-038C-41FB-A71F-B9A4DE1B4BC2}" presName="childNode" presStyleLbl="node1" presStyleIdx="5" presStyleCnt="6">
        <dgm:presLayoutVars>
          <dgm:bulletEnabled val="1"/>
        </dgm:presLayoutVars>
      </dgm:prSet>
      <dgm:spPr/>
    </dgm:pt>
  </dgm:ptLst>
  <dgm:cxnLst>
    <dgm:cxn modelId="{5FDD0312-D035-4A56-AAF4-56172FEEF781}" type="presOf" srcId="{7FC99518-7FEF-45FC-B77D-6EAE214FFCED}" destId="{63D63C13-E753-45AD-ADFD-99462E537D84}" srcOrd="1" destOrd="0" presId="urn:microsoft.com/office/officeart/2005/8/layout/lProcess2"/>
    <dgm:cxn modelId="{4C54361C-FCE5-410E-A06F-5CC0F87B458E}" srcId="{6802FA47-82DD-4765-A648-9FA3A8C59B53}" destId="{47D4324D-A146-4B90-AF8B-4B8F0BCE4B40}" srcOrd="2" destOrd="0" parTransId="{5A705318-A03E-4A8A-9625-61275B728A76}" sibTransId="{EEEAA50C-0074-48B8-8C26-D66B9ECC6ADC}"/>
    <dgm:cxn modelId="{2C132825-EA5B-4E6A-BC54-0D04D7835B2C}" srcId="{7FC99518-7FEF-45FC-B77D-6EAE214FFCED}" destId="{3B5E785F-88E0-4AA3-BA2E-C0EAA79FEAE2}" srcOrd="0" destOrd="0" parTransId="{F7557583-0A8E-4D64-982F-22AA0B7AE09B}" sibTransId="{748C4EC8-F7DF-424A-A413-8D9CD81CA617}"/>
    <dgm:cxn modelId="{1068F330-C8B4-4F6E-8154-6697D406EF7D}" type="presOf" srcId="{2F60269B-7F73-4432-A2B3-B4A15997917B}" destId="{F8746467-891E-446E-80B0-7759CBD32C39}" srcOrd="0" destOrd="0" presId="urn:microsoft.com/office/officeart/2005/8/layout/lProcess2"/>
    <dgm:cxn modelId="{5545613B-4B11-4F68-8244-C30EAE7944D8}" srcId="{47D4324D-A146-4B90-AF8B-4B8F0BCE4B40}" destId="{2F60269B-7F73-4432-A2B3-B4A15997917B}" srcOrd="0" destOrd="0" parTransId="{3592FA76-9861-4EA2-AA35-D1530849066E}" sibTransId="{AF391EF8-94D3-4B3D-9E06-4B43134D4E09}"/>
    <dgm:cxn modelId="{CE83BE3E-E7A3-41B6-A635-103B8C8B0870}" type="presOf" srcId="{3869080F-6E0E-4C6C-8DF6-A88F2DB328EA}" destId="{21588BD3-72C2-4609-B1B8-3E868DD66B5A}" srcOrd="0" destOrd="0" presId="urn:microsoft.com/office/officeart/2005/8/layout/lProcess2"/>
    <dgm:cxn modelId="{F480394F-35DB-4437-B787-00BB04F8C807}" srcId="{47D4324D-A146-4B90-AF8B-4B8F0BCE4B40}" destId="{C5FB1C4F-038C-41FB-A71F-B9A4DE1B4BC2}" srcOrd="1" destOrd="0" parTransId="{B754446F-79FC-4269-9376-7F0C88E3067B}" sibTransId="{E71E44E4-F5DF-4445-B032-66F4E5DEEC41}"/>
    <dgm:cxn modelId="{29DE5156-28AE-4998-9B33-7DBE437E74F4}" type="presOf" srcId="{CEFF00F6-D7F4-4BB6-91CE-A352FEB9DF3F}" destId="{26CF2679-C43E-4FCC-A4EA-51F388EE2FCD}" srcOrd="0" destOrd="0" presId="urn:microsoft.com/office/officeart/2005/8/layout/lProcess2"/>
    <dgm:cxn modelId="{564BC058-D203-43E5-AD43-CE7824F88A42}" type="presOf" srcId="{47D4324D-A146-4B90-AF8B-4B8F0BCE4B40}" destId="{76AB95AE-7BB0-4EC0-A3FF-06E3BF5BA61C}" srcOrd="0" destOrd="0" presId="urn:microsoft.com/office/officeart/2005/8/layout/lProcess2"/>
    <dgm:cxn modelId="{0BA6F179-9D47-40CF-B581-2C10FEDC436F}" type="presOf" srcId="{4F2B6F99-2872-4B3C-824B-0CB0EFC9C1CA}" destId="{48F1F7C1-1808-4937-A0C7-DDE33175DB5D}" srcOrd="0" destOrd="0" presId="urn:microsoft.com/office/officeart/2005/8/layout/lProcess2"/>
    <dgm:cxn modelId="{DC34085A-8466-44A6-9B10-9DC30E58DDC2}" srcId="{7FC99518-7FEF-45FC-B77D-6EAE214FFCED}" destId="{627EC79D-5377-4139-909E-44FC7C7BA460}" srcOrd="1" destOrd="0" parTransId="{78B4EB6B-3F43-4510-86C8-F46456B6339D}" sibTransId="{AE41DDC2-C162-4EC0-ABCF-E1FD536FCFC0}"/>
    <dgm:cxn modelId="{A059179A-C752-4C6C-A7FA-7184F5BEE883}" type="presOf" srcId="{CEFF00F6-D7F4-4BB6-91CE-A352FEB9DF3F}" destId="{EC2BA8A3-A3B3-4522-B6B4-07F26FB82ECD}" srcOrd="1" destOrd="0" presId="urn:microsoft.com/office/officeart/2005/8/layout/lProcess2"/>
    <dgm:cxn modelId="{BEC34CA8-5BEB-4801-B928-209698451DAA}" type="presOf" srcId="{627EC79D-5377-4139-909E-44FC7C7BA460}" destId="{5F06A87A-3690-4251-ACA3-E97C32FF2DC6}" srcOrd="0" destOrd="0" presId="urn:microsoft.com/office/officeart/2005/8/layout/lProcess2"/>
    <dgm:cxn modelId="{D0F027AC-A00D-49E3-ABD6-932177113F57}" type="presOf" srcId="{6802FA47-82DD-4765-A648-9FA3A8C59B53}" destId="{971A699A-859A-4DC5-9FB8-5B94E34FAB1E}" srcOrd="0" destOrd="0" presId="urn:microsoft.com/office/officeart/2005/8/layout/lProcess2"/>
    <dgm:cxn modelId="{91A4F6B6-AC36-4CE1-906A-8FA19ADB6A29}" type="presOf" srcId="{3B5E785F-88E0-4AA3-BA2E-C0EAA79FEAE2}" destId="{D82F3BB2-9097-4832-8442-AD4C4649429D}" srcOrd="0" destOrd="0" presId="urn:microsoft.com/office/officeart/2005/8/layout/lProcess2"/>
    <dgm:cxn modelId="{C151EFB9-6A1A-4700-8308-EC627F023C1E}" srcId="{CEFF00F6-D7F4-4BB6-91CE-A352FEB9DF3F}" destId="{4F2B6F99-2872-4B3C-824B-0CB0EFC9C1CA}" srcOrd="0" destOrd="0" parTransId="{434D08CD-F760-4798-808A-C832065E11FF}" sibTransId="{735FED28-9B21-4699-A27D-E45382FB9D20}"/>
    <dgm:cxn modelId="{D4B405C1-C0B2-46F5-A89E-1F5DC36692DC}" type="presOf" srcId="{7FC99518-7FEF-45FC-B77D-6EAE214FFCED}" destId="{19B2E7F9-4163-4FCD-9DCB-C0C455D04025}" srcOrd="0" destOrd="0" presId="urn:microsoft.com/office/officeart/2005/8/layout/lProcess2"/>
    <dgm:cxn modelId="{53EFA8D2-31A8-4A0C-A00F-A4C74DD1B26A}" srcId="{CEFF00F6-D7F4-4BB6-91CE-A352FEB9DF3F}" destId="{3869080F-6E0E-4C6C-8DF6-A88F2DB328EA}" srcOrd="1" destOrd="0" parTransId="{263C1832-F18B-44FB-A6A8-7127024D4740}" sibTransId="{0694D69B-C034-4040-98A9-2281F813AFFE}"/>
    <dgm:cxn modelId="{21CB0ED4-3B60-4E6C-A019-166A7641FBB2}" type="presOf" srcId="{47D4324D-A146-4B90-AF8B-4B8F0BCE4B40}" destId="{399E1C3C-0466-489F-8609-E2C4DAEE8C6C}" srcOrd="1" destOrd="0" presId="urn:microsoft.com/office/officeart/2005/8/layout/lProcess2"/>
    <dgm:cxn modelId="{B41712E7-F54B-489E-A85D-97C7FEB1EAD1}" srcId="{6802FA47-82DD-4765-A648-9FA3A8C59B53}" destId="{CEFF00F6-D7F4-4BB6-91CE-A352FEB9DF3F}" srcOrd="1" destOrd="0" parTransId="{3E9190E3-70DF-46E8-8059-3C340FAC6D33}" sibTransId="{998D3BF9-F0C2-4A0E-837B-82E6D70A0B2D}"/>
    <dgm:cxn modelId="{96AF1DEE-9D51-42AB-ACD2-D83323897A44}" type="presOf" srcId="{C5FB1C4F-038C-41FB-A71F-B9A4DE1B4BC2}" destId="{F299DAF7-5293-4753-B501-491AA69C5294}" srcOrd="0" destOrd="0" presId="urn:microsoft.com/office/officeart/2005/8/layout/lProcess2"/>
    <dgm:cxn modelId="{B8BA58F5-A2D7-4D70-BCD4-42DD3BEFC686}" srcId="{6802FA47-82DD-4765-A648-9FA3A8C59B53}" destId="{7FC99518-7FEF-45FC-B77D-6EAE214FFCED}" srcOrd="0" destOrd="0" parTransId="{C8922CF3-1252-4A08-8387-20E77A218F29}" sibTransId="{54272C79-0A2E-4815-937D-692DE4A4B0AF}"/>
    <dgm:cxn modelId="{2797CA56-0001-4008-AAE7-ACD1B8212D07}" type="presParOf" srcId="{971A699A-859A-4DC5-9FB8-5B94E34FAB1E}" destId="{9C4BB066-BF9D-4969-B076-4566E8D78210}" srcOrd="0" destOrd="0" presId="urn:microsoft.com/office/officeart/2005/8/layout/lProcess2"/>
    <dgm:cxn modelId="{703270C3-26B5-43FC-9212-1495B22F5312}" type="presParOf" srcId="{9C4BB066-BF9D-4969-B076-4566E8D78210}" destId="{19B2E7F9-4163-4FCD-9DCB-C0C455D04025}" srcOrd="0" destOrd="0" presId="urn:microsoft.com/office/officeart/2005/8/layout/lProcess2"/>
    <dgm:cxn modelId="{6064A912-86D1-4C29-82DE-9A3A29F3D032}" type="presParOf" srcId="{9C4BB066-BF9D-4969-B076-4566E8D78210}" destId="{63D63C13-E753-45AD-ADFD-99462E537D84}" srcOrd="1" destOrd="0" presId="urn:microsoft.com/office/officeart/2005/8/layout/lProcess2"/>
    <dgm:cxn modelId="{4BACB4AB-DAD8-4B2E-BFDF-B414ABC9258D}" type="presParOf" srcId="{9C4BB066-BF9D-4969-B076-4566E8D78210}" destId="{08C46DCE-870D-4920-9E86-12E925CDC636}" srcOrd="2" destOrd="0" presId="urn:microsoft.com/office/officeart/2005/8/layout/lProcess2"/>
    <dgm:cxn modelId="{8ED3D864-CE96-4DBA-866C-FFA4762317FD}" type="presParOf" srcId="{08C46DCE-870D-4920-9E86-12E925CDC636}" destId="{5F041F48-3C5E-4290-B6FA-C19A9CEE46BC}" srcOrd="0" destOrd="0" presId="urn:microsoft.com/office/officeart/2005/8/layout/lProcess2"/>
    <dgm:cxn modelId="{E72B8BE2-987F-4928-A70F-F315C1D1BB07}" type="presParOf" srcId="{5F041F48-3C5E-4290-B6FA-C19A9CEE46BC}" destId="{D82F3BB2-9097-4832-8442-AD4C4649429D}" srcOrd="0" destOrd="0" presId="urn:microsoft.com/office/officeart/2005/8/layout/lProcess2"/>
    <dgm:cxn modelId="{641116F4-9042-433A-BDC5-D19BC07520D2}" type="presParOf" srcId="{5F041F48-3C5E-4290-B6FA-C19A9CEE46BC}" destId="{8F03F5CF-00C2-416A-AF9B-C21CADD42537}" srcOrd="1" destOrd="0" presId="urn:microsoft.com/office/officeart/2005/8/layout/lProcess2"/>
    <dgm:cxn modelId="{EABB8558-A291-4102-B5E5-BED4679A3D61}" type="presParOf" srcId="{5F041F48-3C5E-4290-B6FA-C19A9CEE46BC}" destId="{5F06A87A-3690-4251-ACA3-E97C32FF2DC6}" srcOrd="2" destOrd="0" presId="urn:microsoft.com/office/officeart/2005/8/layout/lProcess2"/>
    <dgm:cxn modelId="{C79D603A-DB92-48F3-BEBC-D89D569F0973}" type="presParOf" srcId="{971A699A-859A-4DC5-9FB8-5B94E34FAB1E}" destId="{2452B7BE-D6CB-49FB-96EC-AA65C7DCD050}" srcOrd="1" destOrd="0" presId="urn:microsoft.com/office/officeart/2005/8/layout/lProcess2"/>
    <dgm:cxn modelId="{F2258129-6DBC-4898-B27F-3938E46E709F}" type="presParOf" srcId="{971A699A-859A-4DC5-9FB8-5B94E34FAB1E}" destId="{E78E7E02-68F9-40A6-9B97-00823107131C}" srcOrd="2" destOrd="0" presId="urn:microsoft.com/office/officeart/2005/8/layout/lProcess2"/>
    <dgm:cxn modelId="{A69D8245-A35A-4288-9E04-A055C6AA889B}" type="presParOf" srcId="{E78E7E02-68F9-40A6-9B97-00823107131C}" destId="{26CF2679-C43E-4FCC-A4EA-51F388EE2FCD}" srcOrd="0" destOrd="0" presId="urn:microsoft.com/office/officeart/2005/8/layout/lProcess2"/>
    <dgm:cxn modelId="{519968A2-5BC7-4289-AD4E-058A8BC00A4C}" type="presParOf" srcId="{E78E7E02-68F9-40A6-9B97-00823107131C}" destId="{EC2BA8A3-A3B3-4522-B6B4-07F26FB82ECD}" srcOrd="1" destOrd="0" presId="urn:microsoft.com/office/officeart/2005/8/layout/lProcess2"/>
    <dgm:cxn modelId="{54F29839-349E-4204-8BAC-FA22A636596A}" type="presParOf" srcId="{E78E7E02-68F9-40A6-9B97-00823107131C}" destId="{68C3E02E-A482-43CF-A2E1-CEEDFF433D53}" srcOrd="2" destOrd="0" presId="urn:microsoft.com/office/officeart/2005/8/layout/lProcess2"/>
    <dgm:cxn modelId="{D2380AB1-15D6-4792-A296-E685136C05AB}" type="presParOf" srcId="{68C3E02E-A482-43CF-A2E1-CEEDFF433D53}" destId="{9C9727B4-0355-4387-912E-E146F26FFC78}" srcOrd="0" destOrd="0" presId="urn:microsoft.com/office/officeart/2005/8/layout/lProcess2"/>
    <dgm:cxn modelId="{DA6FAD74-A062-45D9-86EC-B4A83BD4EB74}" type="presParOf" srcId="{9C9727B4-0355-4387-912E-E146F26FFC78}" destId="{48F1F7C1-1808-4937-A0C7-DDE33175DB5D}" srcOrd="0" destOrd="0" presId="urn:microsoft.com/office/officeart/2005/8/layout/lProcess2"/>
    <dgm:cxn modelId="{202CE5F3-C8C6-482C-A792-BD81FA647516}" type="presParOf" srcId="{9C9727B4-0355-4387-912E-E146F26FFC78}" destId="{5C5D0E11-585A-4C7E-BAD9-B52225084CBE}" srcOrd="1" destOrd="0" presId="urn:microsoft.com/office/officeart/2005/8/layout/lProcess2"/>
    <dgm:cxn modelId="{6064AFE2-061B-4AA5-A6EB-D3804A23559D}" type="presParOf" srcId="{9C9727B4-0355-4387-912E-E146F26FFC78}" destId="{21588BD3-72C2-4609-B1B8-3E868DD66B5A}" srcOrd="2" destOrd="0" presId="urn:microsoft.com/office/officeart/2005/8/layout/lProcess2"/>
    <dgm:cxn modelId="{7D0E4E92-3AD7-4892-89CF-E4C3A9817D9F}" type="presParOf" srcId="{971A699A-859A-4DC5-9FB8-5B94E34FAB1E}" destId="{576D4805-2166-41FB-A7E9-ABD4E61F8EB8}" srcOrd="3" destOrd="0" presId="urn:microsoft.com/office/officeart/2005/8/layout/lProcess2"/>
    <dgm:cxn modelId="{0FFA7AF2-0282-4F41-9685-D2A8E2DD387D}" type="presParOf" srcId="{971A699A-859A-4DC5-9FB8-5B94E34FAB1E}" destId="{D66061D2-2D07-4641-969E-5379CA945558}" srcOrd="4" destOrd="0" presId="urn:microsoft.com/office/officeart/2005/8/layout/lProcess2"/>
    <dgm:cxn modelId="{AD8D2F1D-9CF4-46D0-8F92-2C064C14C2C0}" type="presParOf" srcId="{D66061D2-2D07-4641-969E-5379CA945558}" destId="{76AB95AE-7BB0-4EC0-A3FF-06E3BF5BA61C}" srcOrd="0" destOrd="0" presId="urn:microsoft.com/office/officeart/2005/8/layout/lProcess2"/>
    <dgm:cxn modelId="{0B9E2D51-2C86-477D-8FAA-2F55A8B56882}" type="presParOf" srcId="{D66061D2-2D07-4641-969E-5379CA945558}" destId="{399E1C3C-0466-489F-8609-E2C4DAEE8C6C}" srcOrd="1" destOrd="0" presId="urn:microsoft.com/office/officeart/2005/8/layout/lProcess2"/>
    <dgm:cxn modelId="{239B3622-E5B6-4C0B-9520-971FF5409ECE}" type="presParOf" srcId="{D66061D2-2D07-4641-969E-5379CA945558}" destId="{967885BC-39FA-4957-961A-86049321319C}" srcOrd="2" destOrd="0" presId="urn:microsoft.com/office/officeart/2005/8/layout/lProcess2"/>
    <dgm:cxn modelId="{6C41C768-3AD1-4136-B8B9-D43AD48FCA39}" type="presParOf" srcId="{967885BC-39FA-4957-961A-86049321319C}" destId="{055EA77F-FACC-47A0-955A-D0ADB47372E3}" srcOrd="0" destOrd="0" presId="urn:microsoft.com/office/officeart/2005/8/layout/lProcess2"/>
    <dgm:cxn modelId="{76A528C7-4489-4F6B-99B3-CB2455573979}" type="presParOf" srcId="{055EA77F-FACC-47A0-955A-D0ADB47372E3}" destId="{F8746467-891E-446E-80B0-7759CBD32C39}" srcOrd="0" destOrd="0" presId="urn:microsoft.com/office/officeart/2005/8/layout/lProcess2"/>
    <dgm:cxn modelId="{06CA0C2F-732F-4615-BDB3-1617E8F78D93}" type="presParOf" srcId="{055EA77F-FACC-47A0-955A-D0ADB47372E3}" destId="{51755617-BFFE-4036-A3FE-1CD3E897D0E4}" srcOrd="1" destOrd="0" presId="urn:microsoft.com/office/officeart/2005/8/layout/lProcess2"/>
    <dgm:cxn modelId="{139B681A-5DD1-4861-8F09-5CFC16F021F8}" type="presParOf" srcId="{055EA77F-FACC-47A0-955A-D0ADB47372E3}" destId="{F299DAF7-5293-4753-B501-491AA69C5294}" srcOrd="2" destOrd="0" presId="urn:microsoft.com/office/officeart/2005/8/layout/lProcess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9B2E7F9-4163-4FCD-9DCB-C0C455D04025}">
      <dsp:nvSpPr>
        <dsp:cNvPr id="0" name=""/>
        <dsp:cNvSpPr/>
      </dsp:nvSpPr>
      <dsp:spPr>
        <a:xfrm>
          <a:off x="669" y="0"/>
          <a:ext cx="1741289" cy="3200400"/>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Core innovation</a:t>
          </a:r>
        </a:p>
      </dsp:txBody>
      <dsp:txXfrm>
        <a:off x="669" y="0"/>
        <a:ext cx="1741289" cy="960120"/>
      </dsp:txXfrm>
    </dsp:sp>
    <dsp:sp modelId="{D82F3BB2-9097-4832-8442-AD4C4649429D}">
      <dsp:nvSpPr>
        <dsp:cNvPr id="0" name=""/>
        <dsp:cNvSpPr/>
      </dsp:nvSpPr>
      <dsp:spPr>
        <a:xfrm>
          <a:off x="174798" y="961057"/>
          <a:ext cx="1393031" cy="9649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19050" rIns="25400" bIns="19050" numCol="1" spcCol="1270" anchor="ctr" anchorCtr="0">
          <a:noAutofit/>
        </a:bodyPr>
        <a:lstStyle/>
        <a:p>
          <a:pPr marL="0" lvl="0" indent="0" algn="ctr" defTabSz="444500">
            <a:lnSpc>
              <a:spcPct val="90000"/>
            </a:lnSpc>
            <a:spcBef>
              <a:spcPct val="0"/>
            </a:spcBef>
            <a:spcAft>
              <a:spcPct val="35000"/>
            </a:spcAft>
            <a:buNone/>
          </a:pPr>
          <a:r>
            <a:rPr lang="en-GB" sz="1000" kern="1200"/>
            <a:t>Packaging refreshes; flavour/variant tweaks in popcorn/chips; manufacturing efficiency improvements.</a:t>
          </a:r>
        </a:p>
      </dsp:txBody>
      <dsp:txXfrm>
        <a:off x="203061" y="989320"/>
        <a:ext cx="1336505" cy="908438"/>
      </dsp:txXfrm>
    </dsp:sp>
    <dsp:sp modelId="{5F06A87A-3690-4251-ACA3-E97C32FF2DC6}">
      <dsp:nvSpPr>
        <dsp:cNvPr id="0" name=""/>
        <dsp:cNvSpPr/>
      </dsp:nvSpPr>
      <dsp:spPr>
        <a:xfrm>
          <a:off x="174798" y="2074478"/>
          <a:ext cx="1393031" cy="9649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19050" rIns="25400" bIns="19050" numCol="1" spcCol="1270" anchor="ctr" anchorCtr="0">
          <a:noAutofit/>
        </a:bodyPr>
        <a:lstStyle/>
        <a:p>
          <a:pPr marL="0" lvl="0" indent="0" algn="ctr" defTabSz="444500">
            <a:lnSpc>
              <a:spcPct val="90000"/>
            </a:lnSpc>
            <a:spcBef>
              <a:spcPct val="0"/>
            </a:spcBef>
            <a:spcAft>
              <a:spcPct val="35000"/>
            </a:spcAft>
            <a:buNone/>
          </a:pPr>
          <a:r>
            <a:rPr lang="en-GB" sz="1000" kern="1200"/>
            <a:t>Protect &amp; optimise current business.</a:t>
          </a:r>
        </a:p>
      </dsp:txBody>
      <dsp:txXfrm>
        <a:off x="203061" y="2102741"/>
        <a:ext cx="1336505" cy="908438"/>
      </dsp:txXfrm>
    </dsp:sp>
    <dsp:sp modelId="{26CF2679-C43E-4FCC-A4EA-51F388EE2FCD}">
      <dsp:nvSpPr>
        <dsp:cNvPr id="0" name=""/>
        <dsp:cNvSpPr/>
      </dsp:nvSpPr>
      <dsp:spPr>
        <a:xfrm>
          <a:off x="1872555" y="0"/>
          <a:ext cx="1741289" cy="3200400"/>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Adjacent innovation</a:t>
          </a:r>
        </a:p>
      </dsp:txBody>
      <dsp:txXfrm>
        <a:off x="1872555" y="0"/>
        <a:ext cx="1741289" cy="960120"/>
      </dsp:txXfrm>
    </dsp:sp>
    <dsp:sp modelId="{48F1F7C1-1808-4937-A0C7-DDE33175DB5D}">
      <dsp:nvSpPr>
        <dsp:cNvPr id="0" name=""/>
        <dsp:cNvSpPr/>
      </dsp:nvSpPr>
      <dsp:spPr>
        <a:xfrm>
          <a:off x="2046684" y="961057"/>
          <a:ext cx="1393031" cy="9649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19050" rIns="25400" bIns="19050" numCol="1" spcCol="1270" anchor="ctr" anchorCtr="0">
          <a:noAutofit/>
        </a:bodyPr>
        <a:lstStyle/>
        <a:p>
          <a:pPr marL="0" lvl="0" indent="0" algn="ctr" defTabSz="444500">
            <a:lnSpc>
              <a:spcPct val="90000"/>
            </a:lnSpc>
            <a:spcBef>
              <a:spcPct val="0"/>
            </a:spcBef>
            <a:spcAft>
              <a:spcPct val="35000"/>
            </a:spcAft>
            <a:buNone/>
          </a:pPr>
          <a:r>
            <a:rPr lang="en-GB" sz="1000" kern="1200"/>
            <a:t>Launching chips from popcorn; expanding into overseas markets; ingredients/clean‐label extensions.</a:t>
          </a:r>
        </a:p>
      </dsp:txBody>
      <dsp:txXfrm>
        <a:off x="2074947" y="989320"/>
        <a:ext cx="1336505" cy="908438"/>
      </dsp:txXfrm>
    </dsp:sp>
    <dsp:sp modelId="{21588BD3-72C2-4609-B1B8-3E868DD66B5A}">
      <dsp:nvSpPr>
        <dsp:cNvPr id="0" name=""/>
        <dsp:cNvSpPr/>
      </dsp:nvSpPr>
      <dsp:spPr>
        <a:xfrm>
          <a:off x="2046684" y="2074478"/>
          <a:ext cx="1393031" cy="9649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19050" rIns="25400" bIns="19050" numCol="1" spcCol="1270" anchor="ctr" anchorCtr="0">
          <a:noAutofit/>
        </a:bodyPr>
        <a:lstStyle/>
        <a:p>
          <a:pPr marL="0" lvl="0" indent="0" algn="ctr" defTabSz="444500">
            <a:lnSpc>
              <a:spcPct val="90000"/>
            </a:lnSpc>
            <a:spcBef>
              <a:spcPct val="0"/>
            </a:spcBef>
            <a:spcAft>
              <a:spcPct val="35000"/>
            </a:spcAft>
            <a:buNone/>
          </a:pPr>
          <a:r>
            <a:rPr lang="en-GB" sz="1000" kern="1200"/>
            <a:t>Expand into related spaces leveraging brand and capabilities.</a:t>
          </a:r>
        </a:p>
      </dsp:txBody>
      <dsp:txXfrm>
        <a:off x="2074947" y="2102741"/>
        <a:ext cx="1336505" cy="908438"/>
      </dsp:txXfrm>
    </dsp:sp>
    <dsp:sp modelId="{76AB95AE-7BB0-4EC0-A3FF-06E3BF5BA61C}">
      <dsp:nvSpPr>
        <dsp:cNvPr id="0" name=""/>
        <dsp:cNvSpPr/>
      </dsp:nvSpPr>
      <dsp:spPr>
        <a:xfrm>
          <a:off x="3744441" y="0"/>
          <a:ext cx="1741289" cy="3200400"/>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Transformational innovation</a:t>
          </a:r>
        </a:p>
      </dsp:txBody>
      <dsp:txXfrm>
        <a:off x="3744441" y="0"/>
        <a:ext cx="1741289" cy="960120"/>
      </dsp:txXfrm>
    </dsp:sp>
    <dsp:sp modelId="{F8746467-891E-446E-80B0-7759CBD32C39}">
      <dsp:nvSpPr>
        <dsp:cNvPr id="0" name=""/>
        <dsp:cNvSpPr/>
      </dsp:nvSpPr>
      <dsp:spPr>
        <a:xfrm>
          <a:off x="3918570" y="961057"/>
          <a:ext cx="1393031" cy="9649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19050" rIns="25400" bIns="19050" numCol="1" spcCol="1270" anchor="ctr" anchorCtr="0">
          <a:noAutofit/>
        </a:bodyPr>
        <a:lstStyle/>
        <a:p>
          <a:pPr marL="0" lvl="0" indent="0" algn="ctr" defTabSz="444500">
            <a:lnSpc>
              <a:spcPct val="90000"/>
            </a:lnSpc>
            <a:spcBef>
              <a:spcPct val="0"/>
            </a:spcBef>
            <a:spcAft>
              <a:spcPct val="35000"/>
            </a:spcAft>
            <a:buNone/>
          </a:pPr>
          <a:r>
            <a:rPr lang="en-GB" sz="1000" kern="1200"/>
            <a:t>Potential digital D2C platform; functional snack platforms (protein / gut health); circular economy business model.</a:t>
          </a:r>
        </a:p>
      </dsp:txBody>
      <dsp:txXfrm>
        <a:off x="3946833" y="989320"/>
        <a:ext cx="1336505" cy="908438"/>
      </dsp:txXfrm>
    </dsp:sp>
    <dsp:sp modelId="{F299DAF7-5293-4753-B501-491AA69C5294}">
      <dsp:nvSpPr>
        <dsp:cNvPr id="0" name=""/>
        <dsp:cNvSpPr/>
      </dsp:nvSpPr>
      <dsp:spPr>
        <a:xfrm>
          <a:off x="3918570" y="2074478"/>
          <a:ext cx="1393031" cy="9649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19050" rIns="25400" bIns="19050" numCol="1" spcCol="1270" anchor="ctr" anchorCtr="0">
          <a:noAutofit/>
        </a:bodyPr>
        <a:lstStyle/>
        <a:p>
          <a:pPr marL="0" lvl="0" indent="0" algn="ctr" defTabSz="444500">
            <a:lnSpc>
              <a:spcPct val="90000"/>
            </a:lnSpc>
            <a:spcBef>
              <a:spcPct val="0"/>
            </a:spcBef>
            <a:spcAft>
              <a:spcPct val="35000"/>
            </a:spcAft>
            <a:buNone/>
          </a:pPr>
          <a:r>
            <a:rPr lang="en-GB" sz="1000" kern="1200"/>
            <a:t>Create new markets, new business models, higher growth.</a:t>
          </a:r>
        </a:p>
      </dsp:txBody>
      <dsp:txXfrm>
        <a:off x="3946833" y="2102741"/>
        <a:ext cx="1336505" cy="908438"/>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8b80299df224daead972ad128e4e702b">
  <xsd:schema xmlns:xsd="http://www.w3.org/2001/XMLSchema" xmlns:xs="http://www.w3.org/2001/XMLSchema" xmlns:p="http://schemas.microsoft.com/office/2006/metadata/properties" xmlns:ns3="0085e1a2-9cbf-4b92-866b-21f3c89040b6" targetNamespace="http://schemas.microsoft.com/office/2006/metadata/properties" ma:root="true" ma:fieldsID="8c0a483264777075eafd87dce4f465f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ACD23CD-7B18-4396-AE4E-8F9D3DCBD8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7C7CB94-0C2B-4AF5-92C0-F74045F74FB3}">
  <ds:schemaRefs>
    <ds:schemaRef ds:uri="http://schemas.microsoft.com/sharepoint/v3/contenttype/forms"/>
  </ds:schemaRefs>
</ds:datastoreItem>
</file>

<file path=customXml/itemProps3.xml><?xml version="1.0" encoding="utf-8"?>
<ds:datastoreItem xmlns:ds="http://schemas.openxmlformats.org/officeDocument/2006/customXml" ds:itemID="{D4CB1551-2BDA-4BAF-B63E-720A8185DF75}">
  <ds:schemaRefs>
    <ds:schemaRef ds:uri="http://schemas.openxmlformats.org/officeDocument/2006/bibliography"/>
  </ds:schemaRefs>
</ds:datastoreItem>
</file>

<file path=customXml/itemProps4.xml><?xml version="1.0" encoding="utf-8"?>
<ds:datastoreItem xmlns:ds="http://schemas.openxmlformats.org/officeDocument/2006/customXml" ds:itemID="{0F00313D-612D-43B3-9A52-CC81FE8E690F}">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5244</Words>
  <Characters>29893</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Liliana-Claudia Costache (2111821)</dc:creator>
  <cp:keywords/>
  <dc:description/>
  <cp:lastModifiedBy>Liliana-Claudia Costache (2111821)</cp:lastModifiedBy>
  <cp:revision>7</cp:revision>
  <dcterms:created xsi:type="dcterms:W3CDTF">2025-11-02T11:53:00Z</dcterms:created>
  <dcterms:modified xsi:type="dcterms:W3CDTF">2025-11-16T15:48:00Z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