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2C5B" w:rsidRDefault="0A36BC00" w:rsidP="7028D732">
      <w:pPr>
        <w:rPr>
          <w:rFonts w:eastAsiaTheme="minorEastAsia"/>
          <w:sz w:val="24"/>
          <w:szCs w:val="24"/>
        </w:rPr>
      </w:pPr>
      <w:bookmarkStart w:id="0" w:name="_GoBack"/>
      <w:bookmarkEnd w:id="0"/>
      <w:r w:rsidRPr="7028D732">
        <w:rPr>
          <w:rFonts w:eastAsiaTheme="minorEastAsia"/>
          <w:sz w:val="24"/>
          <w:szCs w:val="24"/>
        </w:rPr>
        <w:t xml:space="preserve">Kelsie Andrews </w:t>
      </w:r>
      <w:r w:rsidR="0064676A">
        <w:tab/>
      </w:r>
      <w:r w:rsidR="0064676A">
        <w:tab/>
      </w:r>
      <w:r w:rsidR="0064676A">
        <w:tab/>
      </w:r>
      <w:r w:rsidR="0064676A">
        <w:tab/>
      </w:r>
      <w:r w:rsidR="0064676A">
        <w:tab/>
      </w:r>
      <w:r w:rsidR="0064676A">
        <w:tab/>
      </w:r>
      <w:r w:rsidR="0064676A">
        <w:tab/>
      </w:r>
      <w:r w:rsidR="0064676A">
        <w:tab/>
      </w:r>
      <w:r w:rsidR="0064676A">
        <w:tab/>
      </w:r>
      <w:r w:rsidR="0064676A">
        <w:tab/>
      </w:r>
      <w:r w:rsidRPr="7028D732">
        <w:rPr>
          <w:rFonts w:eastAsiaTheme="minorEastAsia"/>
          <w:sz w:val="24"/>
          <w:szCs w:val="24"/>
        </w:rPr>
        <w:t>1902489</w:t>
      </w:r>
    </w:p>
    <w:p w:rsidR="0A36BC00" w:rsidRDefault="0A36BC00" w:rsidP="7028D732">
      <w:pPr>
        <w:rPr>
          <w:rFonts w:eastAsiaTheme="minorEastAsia"/>
          <w:sz w:val="24"/>
          <w:szCs w:val="24"/>
        </w:rPr>
      </w:pPr>
    </w:p>
    <w:p w:rsidR="0A36BC00" w:rsidRDefault="0A36BC00" w:rsidP="7028D732">
      <w:pPr>
        <w:rPr>
          <w:rFonts w:eastAsiaTheme="minorEastAsia"/>
          <w:sz w:val="24"/>
          <w:szCs w:val="24"/>
          <w:u w:val="single"/>
          <w:lang w:val="en-US"/>
        </w:rPr>
      </w:pPr>
      <w:r w:rsidRPr="7028D732">
        <w:rPr>
          <w:rFonts w:eastAsiaTheme="minorEastAsia"/>
          <w:sz w:val="24"/>
          <w:szCs w:val="24"/>
          <w:u w:val="single"/>
        </w:rPr>
        <w:t xml:space="preserve">ECAD6008 - </w:t>
      </w:r>
      <w:r w:rsidRPr="7028D732">
        <w:rPr>
          <w:rFonts w:eastAsiaTheme="minorEastAsia"/>
          <w:sz w:val="24"/>
          <w:szCs w:val="24"/>
          <w:u w:val="single"/>
          <w:lang w:val="en-US"/>
        </w:rPr>
        <w:t>Adfyfyriwch yn feirniadol ar eich cynnydd wrth gynllunio, paratoi ac addysgu gwersi sy’n ymgorffori egwyddorion pedagogaidd (Dylid cymryd y dystiolaeth hon o’ch Pasbort Dysgu Proffesiynol – PDP). Dylid nodi hyd at 3 o’r egwyddorion pedagogaidd hyn fel maes ar gyfer datblygu a chyfiawnhau</w:t>
      </w:r>
    </w:p>
    <w:p w:rsidR="0A36BC00" w:rsidRDefault="780E7998" w:rsidP="7028D732">
      <w:pPr>
        <w:rPr>
          <w:rFonts w:eastAsiaTheme="minorEastAsia"/>
          <w:sz w:val="24"/>
          <w:szCs w:val="24"/>
          <w:lang w:val="en-US"/>
        </w:rPr>
      </w:pPr>
      <w:r w:rsidRPr="780E7998">
        <w:rPr>
          <w:rFonts w:eastAsiaTheme="minorEastAsia"/>
          <w:sz w:val="24"/>
          <w:szCs w:val="24"/>
          <w:lang w:val="en-US"/>
        </w:rPr>
        <w:t xml:space="preserve">Rhan 1 - </w:t>
      </w:r>
    </w:p>
    <w:p w:rsidR="780E7998" w:rsidRDefault="780E7998" w:rsidP="780E7998">
      <w:pPr>
        <w:rPr>
          <w:rFonts w:ascii="Calibri" w:eastAsia="Calibri" w:hAnsi="Calibri" w:cs="Calibri"/>
          <w:color w:val="000000" w:themeColor="text1"/>
          <w:lang w:val="en-US"/>
        </w:rPr>
      </w:pPr>
      <w:r w:rsidRPr="780E7998">
        <w:rPr>
          <w:rFonts w:ascii="Calibri" w:eastAsia="Calibri" w:hAnsi="Calibri" w:cs="Calibri"/>
          <w:color w:val="000000" w:themeColor="text1"/>
          <w:lang w:val="en-US"/>
        </w:rPr>
        <w:t xml:space="preserve">Y wers/i fwyaf amlwg I mi wrth trafod asesu ar gyfer y dysgu yw’r wers lle wnes I ffocysu’n fawr ar meini prawf llwyddiant. Ar gyfer y wers yma fe wnes i gynllunio meini prawf llwyddiant gyda’r plant. Er mwyn gweld hyn yn effeithio ar dysgu’r disgyblion ac I ddatblygu sgiliau’r disgyblion fe wnes I'r wers yma ddwy waith er mwyn asesu os yw meini prawf llwyddiant yn gweithio i helpu wella datblygiad disgyblion ac os yw’r disgyblion yn dysgu neu’n datblygu ei sgiliau wrth defnyddio’r meini prawf. Pwrpas y dasg oedd i greu poster er mwyn hysbysebu parti Mr Urdd. Ar gyfer y dasg yma fe wnes i ddangos poster wael I'r disgyblion fel enghraifft a poster da fel enghraifft er mwyn helpu dealltwriaeth y disgyblion. Y rheswm dros gwneud hyn yw oherwydd cytunaf gyda …... sy’n awgrymu mae modelu gwaith I disgyblion yn helpu dealltwriaeth sy’n gwthio nhw i gwneud y gwaith gorau posib. Hefyd rhoddais i meini prawf llwyddiant iddyn nhw yn cynnwys yr holl pethau yr oedd eisiau yn y poster gan gynnwys ‘teitl, lluniau, lliwiau, a.y.y.b’. Wrth I'r disgyblion gwneud y poster yma ni oedden nhw yn hollol siwr beth I wneud. Roedd y disgyblion yn gofyn cwestiynau fel ‘Beth ydw I'n gwneud?’ ‘Beth sydd angen nesaf?. Roedd e’n amlwg i mi nid oedd y disgyblion yn hollol siwr o beth I wneud. Yn fy marn I roedd hyn yn golygu bod meini prawf llwyddiant ddim yn gweithio’n dda iawn ar gyfre y disgyblion. Pan wnes I'r wiethgaredd am yr ail tro fe wnes i gofyn I'r disgyblion beth sydd angen mewn poster, y tro yma roeddwn I'n ysgrifennu ei hatebion ar y bwrdd gwyn lle roedden nhw’n allu gweld ei fod nhw yn cyfrannu at y weithgaredd. Pan wnaethon ni’r weithgaredd am yr ail dro roedd hi’n amlwg bod y disgyblion yn deall yn llwyr beth oedd yn disgwyl iddyn nhw i wneud. </w:t>
      </w:r>
    </w:p>
    <w:p w:rsidR="780E7998" w:rsidRDefault="780E7998" w:rsidP="780E7998">
      <w:pPr>
        <w:rPr>
          <w:rFonts w:ascii="Calibri" w:eastAsia="Calibri" w:hAnsi="Calibri" w:cs="Calibri"/>
          <w:color w:val="000000" w:themeColor="text1"/>
          <w:lang w:val="en-US"/>
        </w:rPr>
      </w:pPr>
    </w:p>
    <w:p w:rsidR="780E7998" w:rsidRDefault="780E7998" w:rsidP="780E7998">
      <w:pPr>
        <w:rPr>
          <w:rFonts w:ascii="Calibri" w:eastAsia="Calibri" w:hAnsi="Calibri" w:cs="Calibri"/>
          <w:color w:val="000000" w:themeColor="text1"/>
          <w:lang w:val="en-US"/>
        </w:rPr>
      </w:pPr>
      <w:r w:rsidRPr="780E7998">
        <w:rPr>
          <w:rFonts w:ascii="Calibri" w:eastAsia="Calibri" w:hAnsi="Calibri" w:cs="Calibri"/>
          <w:color w:val="000000" w:themeColor="text1"/>
          <w:lang w:val="en-US"/>
        </w:rPr>
        <w:t xml:space="preserve">Beth dysgais I? </w:t>
      </w:r>
    </w:p>
    <w:p w:rsidR="780E7998" w:rsidRDefault="780E7998" w:rsidP="780E7998">
      <w:pPr>
        <w:rPr>
          <w:rFonts w:ascii="Calibri" w:eastAsia="Calibri" w:hAnsi="Calibri" w:cs="Calibri"/>
          <w:color w:val="000000" w:themeColor="text1"/>
          <w:lang w:val="en-US"/>
        </w:rPr>
      </w:pPr>
      <w:r w:rsidRPr="780E7998">
        <w:rPr>
          <w:rFonts w:ascii="Calibri" w:eastAsia="Calibri" w:hAnsi="Calibri" w:cs="Calibri"/>
          <w:color w:val="000000" w:themeColor="text1"/>
          <w:lang w:val="en-US"/>
        </w:rPr>
        <w:t>Wrth gwneud y tasgau yma roedd e’n amlwg i mi fod y disgyblion yn gweithio’n well ac yn cael dealltwriaeth pan maent yn ei gyfrannu at meini prawf llwyddiant yn hytrach na’r meini prawf yn cael ei greu iddyn nhw. Yn fy marn I roedd y meini prawf llwyddiant yn gweithio’n wych ond os nad oeddwn I wedi modelu’r posteri gwael ac dda cyn y wers ni fydd yrun ymateb yn digwydd.</w:t>
      </w:r>
    </w:p>
    <w:p w:rsidR="780E7998" w:rsidRDefault="780E7998" w:rsidP="780E7998">
      <w:pPr>
        <w:rPr>
          <w:rFonts w:eastAsiaTheme="minorEastAsia"/>
          <w:sz w:val="24"/>
          <w:szCs w:val="24"/>
          <w:lang w:val="en-US"/>
        </w:rPr>
      </w:pPr>
      <w:r w:rsidRPr="780E7998">
        <w:rPr>
          <w:rFonts w:eastAsiaTheme="minorEastAsia"/>
          <w:sz w:val="24"/>
          <w:szCs w:val="24"/>
          <w:lang w:val="en-US"/>
        </w:rPr>
        <w:t xml:space="preserve">Rhan 2 </w:t>
      </w:r>
    </w:p>
    <w:p w:rsidR="0A36BC00" w:rsidRDefault="0A36BC00" w:rsidP="780E7998">
      <w:pPr>
        <w:rPr>
          <w:rFonts w:ascii="Calibri" w:eastAsia="Calibri" w:hAnsi="Calibri" w:cs="Calibri"/>
          <w:sz w:val="24"/>
          <w:szCs w:val="24"/>
          <w:lang w:val="en-US"/>
        </w:rPr>
      </w:pPr>
      <w:r w:rsidRPr="780E7998">
        <w:rPr>
          <w:rFonts w:eastAsiaTheme="minorEastAsia"/>
          <w:sz w:val="24"/>
          <w:szCs w:val="24"/>
          <w:lang w:val="en-US"/>
        </w:rPr>
        <w:t xml:space="preserve">Yn yr aseiniad yma mi fyddwn yn gwerthuso mewn ffordd beirniadol yr  hyn yr wyf wedi bod yn gwneud ar leoliad a’r gwersi yr wyf wedi addysgu.  Wrth gwrs rydw I wedi fod yn gynllunio trwy defnyddio’r Cwrwiclwm newydd eleni gan dyma’r Cwrwiclwm roedd yr ysgol PAP yn gynllunio yn erbyn. Mae’r Cwriwclwm newydd yn chwarae rôl arbennig I mi fel darpar athrawes oherwydd dyma’r Cwricwlwm sy’n dod mewn I ymarfer y flwyddyn yma. Rydw I’n gweld y </w:t>
      </w:r>
      <w:r w:rsidRPr="780E7998">
        <w:rPr>
          <w:rFonts w:eastAsiaTheme="minorEastAsia"/>
          <w:sz w:val="24"/>
          <w:szCs w:val="24"/>
          <w:lang w:val="en-US"/>
        </w:rPr>
        <w:lastRenderedPageBreak/>
        <w:t xml:space="preserve">Cwricwlwm newydd fel colofnau, un colofn gyda’r pedwar diben, yn colofn yn ffocysu ar y 12 egwyddor cynnydd, colofn arall ar y Meysyedd dysgu a phrofiad, a’r un olaf ar yr y fframweithiau rhifedd, llythrennedd a cymhwysedd digidol. Yn fy marn I mae’r colofnau yma yn cael ei gymysgu gyda’i gilydd er mwyn ffurfio gwersi er mwyn addysgu’r disgyblion yn y ffordd gorau posib. Yn ystod yr aseiniad mi fyddwn I hefyd yn trafod rhai o’r safonau SAC a pa gwersi yr wyf wedi cynllunio ac addysgu . Y safonnau mi fyddwn yn trafod yw –Themau Traws-Gwricwlaidd, cyd-destunau bywyd go iawn, ac asesu ar gyfer dysgu a profiadau dysgu cyfunol. Credaf bod pob un o rhain yn bwysig iawn ar gyfer y sector addysg ac er mwyn gwella cynnydd y disgyblion. </w:t>
      </w:r>
    </w:p>
    <w:p w:rsidR="0A36BC00" w:rsidRDefault="0A36BC00" w:rsidP="780E7998">
      <w:pPr>
        <w:rPr>
          <w:rFonts w:eastAsiaTheme="minorEastAsia"/>
          <w:color w:val="202124"/>
          <w:sz w:val="24"/>
          <w:szCs w:val="24"/>
          <w:lang w:val="en-US"/>
        </w:rPr>
      </w:pPr>
      <w:r w:rsidRPr="780E7998">
        <w:rPr>
          <w:rFonts w:ascii="Calibri" w:eastAsia="Calibri" w:hAnsi="Calibri" w:cs="Calibri"/>
          <w:sz w:val="24"/>
          <w:szCs w:val="24"/>
          <w:lang w:val="en-US"/>
        </w:rPr>
        <w:t>Mae asesu ar gyfer dysgu yn rhywbeth hanfodol i adnabod fel athrawes. Defnyddir asesu ar gyfer dysgu nifer o weithiau yn ystod y diwrnod fel athrawes. Mae asesu ar gyfer dysgu wedi ei chreu lan allan o 4 elfen. Mae’r pedwar elfen yma yn cynnwys hunan-asesu, meini prawf llwyddiant, adborth a chwestiynu. Yn fy marn i mae asesu ar gyfer dysgu ar 4 elfen yma yn hynod o bwysig I ddefnyddio bob dydd fel athrawes oherwydd maent yn rhoi cyfleoedd gwahanol I'r disgyblion I gwneud cynnydd. Yn y cwricwlwm newydd nid oes unrhyw son am y ff</w:t>
      </w:r>
      <w:r w:rsidRPr="780E7998">
        <w:rPr>
          <w:rFonts w:ascii="Calibri" w:eastAsia="Calibri" w:hAnsi="Calibri" w:cs="Calibri"/>
          <w:color w:val="FF0000"/>
          <w:sz w:val="24"/>
          <w:szCs w:val="24"/>
          <w:lang w:val="en-US"/>
        </w:rPr>
        <w:t>ordd o asesu eto ond mae’r gair cynnydd wedi uwcholeuo nifer o weithiau gan yr athro Donaldson.</w:t>
      </w:r>
    </w:p>
    <w:p w:rsidR="0A36BC00" w:rsidRDefault="0A36BC00" w:rsidP="780E7998">
      <w:pPr>
        <w:rPr>
          <w:rFonts w:eastAsiaTheme="minorEastAsia"/>
          <w:color w:val="202124"/>
          <w:sz w:val="24"/>
          <w:szCs w:val="24"/>
          <w:lang w:val="en-US"/>
        </w:rPr>
      </w:pPr>
      <w:r w:rsidRPr="780E7998">
        <w:rPr>
          <w:rFonts w:eastAsiaTheme="minorEastAsia"/>
          <w:sz w:val="24"/>
          <w:szCs w:val="24"/>
          <w:lang w:val="en-US"/>
        </w:rPr>
        <w:t>Er mwyn deall yr aseiniad yma mae’n bwysig cael dealltwriaeth cadarn o beth yn union yw addysgeg/ egwyddor pedagogaidd. Yn ol Hattie (2009) addysgeg yw “</w:t>
      </w:r>
      <w:r w:rsidR="7028D732" w:rsidRPr="780E7998">
        <w:rPr>
          <w:rFonts w:eastAsiaTheme="minorEastAsia"/>
          <w:sz w:val="24"/>
          <w:szCs w:val="24"/>
          <w:lang w:val="en-US"/>
        </w:rPr>
        <w:t xml:space="preserve">Pedagogy is about more than ‘teaching’ in the narrow sense of methods used in the classroom. It represents the considered selection of those methods in light of the purposes of the curriculum and the needs and developmental stage of the children and young people.” Cytunaf yn llwyr gyda Hattie gan ei fod yn esbonio taw nid dim ond addygsu yw addysgeg on y ffordd o addysgu.  </w:t>
      </w:r>
      <w:r w:rsidRPr="780E7998">
        <w:rPr>
          <w:rFonts w:eastAsiaTheme="minorEastAsia"/>
          <w:sz w:val="24"/>
          <w:szCs w:val="24"/>
          <w:lang w:val="en-US"/>
        </w:rPr>
        <w:t>Mae hyn yng  nghyd-fynd gyda’r hyn mae Elmore (2004 ) yn dweud “</w:t>
      </w:r>
      <w:r w:rsidR="7028D732" w:rsidRPr="780E7998">
        <w:rPr>
          <w:rFonts w:eastAsiaTheme="minorEastAsia"/>
          <w:sz w:val="24"/>
          <w:szCs w:val="24"/>
          <w:lang w:val="en-US"/>
        </w:rPr>
        <w:t xml:space="preserve">It combines theoretical and practical knowledge and skills with fine judgement about what is required to promote effective learning in particular contexts. It lies at the heart of what it means to be an excellent teacher.”  </w:t>
      </w:r>
      <w:r w:rsidRPr="780E7998">
        <w:rPr>
          <w:rFonts w:eastAsiaTheme="minorEastAsia"/>
          <w:sz w:val="24"/>
          <w:szCs w:val="24"/>
          <w:lang w:val="en-US"/>
        </w:rPr>
        <w:t xml:space="preserve">deall beth yn union yw’r egwyddorion pedagogaidd a sut  maent yn cael ei weithredu yn yr ystafell dosbarth. Fel rydym yn ymwybodol mae yna 12 egwyddor pedagogaidd wedi rhannu yn y Cwricwlwm newydd – Dyfodol Llwyddiannus. </w:t>
      </w:r>
      <w:r w:rsidRPr="780E7998">
        <w:rPr>
          <w:rFonts w:eastAsiaTheme="minorEastAsia"/>
          <w:color w:val="FF0000"/>
          <w:sz w:val="24"/>
          <w:szCs w:val="24"/>
          <w:lang w:val="en-US"/>
        </w:rPr>
        <w:t xml:space="preserve">Dadleuir yr athro Donaldson taw pwrpas a phwysigrwydd yr 12 egwyddor yw dylen nhw </w:t>
      </w:r>
      <w:r w:rsidR="7028D732" w:rsidRPr="780E7998">
        <w:rPr>
          <w:rFonts w:eastAsiaTheme="minorEastAsia"/>
          <w:color w:val="1F1F1F"/>
          <w:sz w:val="24"/>
          <w:szCs w:val="24"/>
          <w:lang w:val="en-US"/>
        </w:rPr>
        <w:t xml:space="preserve"> “helpu dysgwyr i wneud synnwyr o bopeth y maen nhw yn ei ddysgu drwy gydol y continwwm dysgu. Dylai ymarferwyr ddefnyddio ystod o gyd-destunau, safbwyntiau a phynciau i gyfrannu at y dysgu o fewn datganiad. Mae hyn yn galluogi dysgwyr i ddatblygu fframwaith cydlynol o ddysgu ac i ddeall a defnyddio'r syniadau neu'r egwyddorion hynny mewn modd cynyddol soffistigedig wrth iddyn nhw wneud cynnydd.”</w:t>
      </w:r>
      <w:r w:rsidRPr="780E7998">
        <w:rPr>
          <w:rFonts w:eastAsiaTheme="minorEastAsia"/>
          <w:color w:val="FF0000"/>
          <w:sz w:val="24"/>
          <w:szCs w:val="24"/>
          <w:lang w:val="en-US"/>
        </w:rPr>
        <w:t xml:space="preserve"> </w:t>
      </w:r>
      <w:r w:rsidRPr="780E7998">
        <w:rPr>
          <w:rFonts w:eastAsiaTheme="minorEastAsia"/>
          <w:sz w:val="24"/>
          <w:szCs w:val="24"/>
          <w:lang w:val="en-US"/>
        </w:rPr>
        <w:t>. Mae hyn yn mynd llaw yn llaw gyda’r hyn mae Bagley (2018) yn dweud, “m</w:t>
      </w:r>
      <w:r w:rsidR="7028D732" w:rsidRPr="780E7998">
        <w:rPr>
          <w:rFonts w:eastAsiaTheme="minorEastAsia"/>
          <w:color w:val="202124"/>
          <w:sz w:val="24"/>
          <w:szCs w:val="24"/>
          <w:lang w:val="en-US"/>
        </w:rPr>
        <w:t xml:space="preserve">ae egwyddor addysgeg yn cael ei mabwysiadu yn yr ystafell ddosbarth. Mae addysgeg draddodiadol, athro-ganolog yn gweld gwerthusiad o gadw, sydd wedyn yn cael ei amgodio i mewn i radd”. </w:t>
      </w:r>
    </w:p>
    <w:p w:rsidR="7028D732" w:rsidRDefault="7028D732" w:rsidP="7028D732">
      <w:pPr>
        <w:rPr>
          <w:rFonts w:ascii="Calibri" w:eastAsia="Calibri" w:hAnsi="Calibri" w:cs="Calibri"/>
          <w:sz w:val="24"/>
          <w:szCs w:val="24"/>
          <w:lang w:val="en-US"/>
        </w:rPr>
      </w:pPr>
    </w:p>
    <w:p w:rsidR="0A36BC00" w:rsidRDefault="0A36BC00" w:rsidP="7028D732">
      <w:pPr>
        <w:rPr>
          <w:rFonts w:ascii="Calibri" w:eastAsia="Calibri" w:hAnsi="Calibri" w:cs="Calibri"/>
          <w:sz w:val="24"/>
          <w:szCs w:val="24"/>
          <w:lang w:val="en-US"/>
        </w:rPr>
      </w:pPr>
      <w:r w:rsidRPr="780E7998">
        <w:rPr>
          <w:rFonts w:ascii="Calibri" w:eastAsia="Calibri" w:hAnsi="Calibri" w:cs="Calibri"/>
          <w:sz w:val="24"/>
          <w:szCs w:val="24"/>
          <w:lang w:val="en-US"/>
        </w:rPr>
        <w:lastRenderedPageBreak/>
        <w:t>Dadleuir Boldrick (1983) bod gallu asesu a gwerthuso gwaith eich hun yn gryfder mawr oherwydd mae’n alluogi person I adlewyrchuar beth maent yn gallu gwneud ar hyn nid ydyn nhw’n gallu gwneud yn y gorffennol er mwyn gweld lle allen nhw wella I fod y gorau alllen nhw fod.</w:t>
      </w:r>
      <w:r w:rsidR="7028D732" w:rsidRPr="780E7998">
        <w:rPr>
          <w:rFonts w:ascii="Arial" w:eastAsia="Arial" w:hAnsi="Arial" w:cs="Arial"/>
          <w:color w:val="202124"/>
          <w:sz w:val="24"/>
          <w:szCs w:val="24"/>
          <w:lang w:val="en-US"/>
        </w:rPr>
        <w:t xml:space="preserve"> </w:t>
      </w:r>
      <w:r w:rsidRPr="780E7998">
        <w:rPr>
          <w:rFonts w:ascii="Calibri" w:eastAsia="Calibri" w:hAnsi="Calibri" w:cs="Calibri"/>
          <w:sz w:val="24"/>
          <w:szCs w:val="24"/>
          <w:lang w:val="en-US"/>
        </w:rPr>
        <w:t xml:space="preserve">Mae’n bwysig iawn yn fy marn I I allu dadansoddi gwaith eich hun. Mae adnbaod eich cryfdeau yr un mor bwysig ag adnabod eich gwendidau. Wrth gallu adnabod eich cryfderau a’ch gwendidau gallwch chi sicrhau eich fod chi’n gwneud y pethau cywir er mwyn addasu’r wers ar gyfer datblygiad y disgyblion. Fel popeth mewn bywyd mae lle I wella ar unrhyw beth yr ydych yn ei wneud. Wrth adfyfrio a gwerthso’r hyn yr wyf wedi gwneud dros PAP 3 gallaf weld bod lle i wella ar. </w:t>
      </w:r>
    </w:p>
    <w:p w:rsidR="7028D732" w:rsidRDefault="780E7998" w:rsidP="780E7998">
      <w:pPr>
        <w:jc w:val="both"/>
        <w:rPr>
          <w:rFonts w:ascii="Calibri" w:eastAsia="Calibri" w:hAnsi="Calibri" w:cs="Calibri"/>
          <w:sz w:val="24"/>
          <w:szCs w:val="24"/>
          <w:lang w:val="en-US"/>
        </w:rPr>
      </w:pPr>
      <w:r w:rsidRPr="780E7998">
        <w:rPr>
          <w:rFonts w:ascii="Calibri" w:eastAsia="Calibri" w:hAnsi="Calibri" w:cs="Calibri"/>
          <w:sz w:val="24"/>
          <w:szCs w:val="24"/>
          <w:lang w:val="en-US"/>
        </w:rPr>
        <w:t>Rydw I wedi ymchwilio i mewn I'r egwyddorion pedagogaidd a’r tri yr wyf wedi penderfynnu ysgrifennu’r aseiniad arno yw 1- atgyfnerthu cyfifoldebau trawsgwricwlaidd gan gynnwys, llythrennedd, rhifedd a chymhwysedd digidol, 2 - i wneud cysylltiadau o fewn ac ar draws Meysydd Dysgu a Phrofiad a 3- annog disgyblion i gymryd cyfrifoldeb dros dysgu ei hun. Y rhsewm dros dewis y maes cytaf yw oherwydd teimlaf fy mod angen I mi gwella ar gwersi traw-gwricwlaidd. Rydw I'n gweld bod weithiau mae cynllunio gwersi yn hawdd ac mae’r gwers yn drawsgwricwlaidd heb hyd yn oed meddwl am ceisio cael y weers yn drawsgwricwlaidd ond ar agweddau arall roeddwn i'n gweld e’n annodd meddwl am gwers drawsgwricwlaidd. Yn fy marn i mae cael gwersi draws gwricwlaidd yn hanfodol fel athrawes cynradd oherwydd mae hyn yn ddatblygu sgiliau’r disgyblion llawer. Cytunir Hargreaves gyda’r hyn yr wyf I'n ddweud gan ei fod yn dweud bod gwersi drawsgwricwliadd yn gallu annog y disgyblion I dechrau feddwl yn feirniadol. Mae hyn wedyn yn helpu annog y disgyblion i gweitio fel y 4 diben mae Donaldosn yn son am yn y Cwricwlwm newydd. dadlueir hefyd mae “</w:t>
      </w:r>
      <w:r w:rsidRPr="780E7998">
        <w:rPr>
          <w:rFonts w:ascii="Open Sans" w:eastAsia="Open Sans" w:hAnsi="Open Sans" w:cs="Open Sans"/>
          <w:color w:val="212121"/>
          <w:sz w:val="21"/>
          <w:szCs w:val="21"/>
          <w:lang w:val="en-US"/>
        </w:rPr>
        <w:t xml:space="preserve">Cross-Curricular learning prepares the way for students to learn and work together, which is more reflective of real life. Very few people do their jobs without collaborating with co-workers, so this type of instruction is a training ground for future interactions.” Cytunaf yn gryf gyda hyn ohewydd mae’n awgrymu ac yn cytuno gyda fy mhwynt nes ymlaen bod nifer fawr o bethau yn ymwneud ag addysg yn bwyta mewn i brfiadau bywyd go iawn oherwydd mae nifer fawr o bethau yn helpu paratoi disgyblion am bywyd go iawn. </w:t>
      </w:r>
      <w:r w:rsidRPr="780E7998">
        <w:rPr>
          <w:rFonts w:ascii="Calibri" w:eastAsia="Calibri" w:hAnsi="Calibri" w:cs="Calibri"/>
          <w:sz w:val="24"/>
          <w:szCs w:val="24"/>
          <w:lang w:val="en-US"/>
        </w:rPr>
        <w:t xml:space="preserve"> Ar y llaw arall mae damcanwyr eraill yn anghytuno oherwydd maent yn credu bod nifer o anfanteision yng nghyd-fynd gyda gwersi draws gwricwlaidd gan gynnwys y gallu I gadw diddordeb y plant mewn y gwersi drawsgwricwlaidd. Ffordd o atal hyn yn fy marn i yw I gynnal llais y disgybl yn aml I weld beth byddai’r plant yn mwynhau ac I gynllunio trwy defnyddio llais y disgybl er mwyn sichrau eich fod yn gynllunio trwy defnyddio syniadau’r disgyblion. Ffordd arall o peidio colli diddordeb y disgyblion yw i rhedeg holiadur bach i weld os ydyn nhw’n mwynhau’r gweithgareddau neu beidio. </w:t>
      </w:r>
    </w:p>
    <w:p w:rsidR="780E7998" w:rsidRDefault="780E7998" w:rsidP="780E7998">
      <w:pPr>
        <w:rPr>
          <w:rFonts w:ascii="Calibri" w:eastAsia="Calibri" w:hAnsi="Calibri" w:cs="Calibri"/>
          <w:sz w:val="24"/>
          <w:szCs w:val="24"/>
          <w:lang w:val="en-US"/>
        </w:rPr>
      </w:pPr>
    </w:p>
    <w:p w:rsidR="780E7998" w:rsidRDefault="780E7998" w:rsidP="780E7998">
      <w:pPr>
        <w:rPr>
          <w:rFonts w:ascii="Calibri" w:eastAsia="Calibri" w:hAnsi="Calibri" w:cs="Calibri"/>
          <w:sz w:val="24"/>
          <w:szCs w:val="24"/>
          <w:lang w:val="en-US"/>
        </w:rPr>
      </w:pPr>
      <w:r w:rsidRPr="780E7998">
        <w:rPr>
          <w:rFonts w:ascii="Calibri" w:eastAsia="Calibri" w:hAnsi="Calibri" w:cs="Calibri"/>
          <w:sz w:val="24"/>
          <w:szCs w:val="24"/>
          <w:lang w:val="en-US"/>
        </w:rPr>
        <w:t xml:space="preserve">Yn debyg I'r pwynt cyntaf, rydw I'n gweld cysylltiadau ar draws meysydd dysgu a phrofiad yn naturiol weithiau ond weithiau rydw I hefyd yn gweld hi’n anodd. Mae cysylltu rhai meysydd gyda’i gilydd wrth gwrs yn fwy rhwydd na’r eraill. Yn fy marn I mae cysylltu meysydd dysgu a phrofiad gyda’i gilydd yn gwella dysgu’r disgyblion oherwydd maent yn cael dealltwraieth o fwy nag un maes dysgu. </w:t>
      </w:r>
    </w:p>
    <w:p w:rsidR="780E7998" w:rsidRDefault="780E7998" w:rsidP="780E7998">
      <w:pPr>
        <w:rPr>
          <w:rFonts w:ascii="Calibri" w:eastAsia="Calibri" w:hAnsi="Calibri" w:cs="Calibri"/>
          <w:sz w:val="24"/>
          <w:szCs w:val="24"/>
          <w:lang w:val="en-US"/>
        </w:rPr>
      </w:pPr>
    </w:p>
    <w:p w:rsidR="780E7998" w:rsidRDefault="780E7998" w:rsidP="780E7998">
      <w:pPr>
        <w:rPr>
          <w:rFonts w:ascii="Calibri" w:eastAsia="Calibri" w:hAnsi="Calibri" w:cs="Calibri"/>
          <w:sz w:val="24"/>
          <w:szCs w:val="24"/>
          <w:lang w:val="en-US"/>
        </w:rPr>
      </w:pPr>
      <w:r w:rsidRPr="780E7998">
        <w:rPr>
          <w:rFonts w:ascii="Calibri" w:eastAsia="Calibri" w:hAnsi="Calibri" w:cs="Calibri"/>
          <w:sz w:val="24"/>
          <w:szCs w:val="24"/>
          <w:lang w:val="en-US"/>
        </w:rPr>
        <w:t xml:space="preserve">Yn fy marn i mae annog disgyblion I cymryd cyfrifoldebau dros ei hun o oedran ifanc yn bwysig iawn oherwydd maen helpu iddyn nhw I fod yn fwy annibynnol sy’n golygu nid oes angen iddyn nhw dibynnu ar unhryw un arall. Dadleuir rhai damcaniaethwyr bod rhoi cyfrifoldeb I disgyblion yn ifanc yn arbennig o dda oherwydd mae’n annog iddyn nhw fod yn annibynnol ac yn helpu nhw I deimlo’n fwy garedig amdano ei hun. Ni feddyliaid am hyn ond mae annog disgyblion I gymryd fwy o gyfrifoldeb yn gwthio nhw I deimlo fwy o gariad dros ei hun, “I am capabale, I can do it”. Yn fy marn I mae’r pwynt yma yn hynod o bwysig oherwydd mae’n bwysig bod disgyblion yn teimlo hunan parch a hunan gariad. Ar y llaw arall gall disgyblion dechrau fod yn lletchwith ac yn eisiau fod mewn rheolaeth o bopeth o ddydd I ddydd, nid yw hyn yn annog annibyniaeth ond yn annog I ddisgyblion I beidio gwrando. </w:t>
      </w:r>
    </w:p>
    <w:p w:rsidR="780E7998" w:rsidRDefault="780E7998" w:rsidP="780E7998">
      <w:pPr>
        <w:rPr>
          <w:rFonts w:ascii="Calibri" w:eastAsia="Calibri" w:hAnsi="Calibri" w:cs="Calibri"/>
          <w:sz w:val="24"/>
          <w:szCs w:val="24"/>
          <w:lang w:val="en-US"/>
        </w:rPr>
      </w:pPr>
    </w:p>
    <w:p w:rsidR="780E7998" w:rsidRDefault="780E7998" w:rsidP="780E7998">
      <w:pPr>
        <w:rPr>
          <w:rFonts w:ascii="Calibri" w:eastAsia="Calibri" w:hAnsi="Calibri" w:cs="Calibri"/>
          <w:sz w:val="24"/>
          <w:szCs w:val="24"/>
          <w:lang w:val="en-US"/>
        </w:rPr>
      </w:pPr>
      <w:r w:rsidRPr="780E7998">
        <w:rPr>
          <w:rFonts w:ascii="Calibri" w:eastAsia="Calibri" w:hAnsi="Calibri" w:cs="Calibri"/>
          <w:sz w:val="24"/>
          <w:szCs w:val="24"/>
          <w:lang w:val="en-US"/>
        </w:rPr>
        <w:t xml:space="preserve">Felly yn fy marn I nid yw pob athrawes yn berffaith ac wrth gwrs bydd llawer o lle I wella yn y blynyddoedd I ddod wrth I ni dechrau gweithredu’r cwricwlwm newydd. Wrth dadansoddi a gwerthuso’r Safonnau SAC yn y rhan gyntaf mae’n amlwg fod lle I wella ar y defnydd o asesu ar gyfer dysgu ac I ceisio meddwl am ffyrdd fwy effeithlon o weithredu’r elfennau yma. Wrth ceisio addysgu’n drawsgwricwlaidd mae lle I wella oherwydd mae gweithgareddau drawsgwricwlaidd yn fwy anodd nag eraill er enghraifft mae cynnal gwersi sy’n cynnwys cymhwysedd digidol yn digon hawdd weithiau ond weithiau mae cynnwys rhifedd yn fwy heriol. Yn fy marn I mae profiadau dysgu cyfunol  bywyd go iawn yn digon hawdd oherwydd mae popeth mae’r disgyblion yn dysgu yn mynd i helpu nhw yn y dyfodol mewn bywyd go iawn. </w:t>
      </w:r>
    </w:p>
    <w:p w:rsidR="780E7998" w:rsidRDefault="780E7998" w:rsidP="780E7998">
      <w:pPr>
        <w:rPr>
          <w:rFonts w:ascii="Calibri" w:eastAsia="Calibri" w:hAnsi="Calibri" w:cs="Calibri"/>
          <w:sz w:val="24"/>
          <w:szCs w:val="24"/>
          <w:lang w:val="en-US"/>
        </w:rPr>
      </w:pPr>
    </w:p>
    <w:p w:rsidR="780E7998" w:rsidRDefault="780E7998" w:rsidP="780E7998">
      <w:pPr>
        <w:rPr>
          <w:rFonts w:ascii="Calibri" w:eastAsia="Calibri" w:hAnsi="Calibri" w:cs="Calibri"/>
          <w:sz w:val="24"/>
          <w:szCs w:val="24"/>
          <w:lang w:val="en-US"/>
        </w:rPr>
      </w:pPr>
    </w:p>
    <w:p w:rsidR="0A36BC00" w:rsidRDefault="0A36BC00" w:rsidP="7028D732">
      <w:pPr>
        <w:rPr>
          <w:rFonts w:ascii="Calibri" w:eastAsia="Calibri" w:hAnsi="Calibri" w:cs="Calibri"/>
          <w:sz w:val="24"/>
          <w:szCs w:val="24"/>
          <w:lang w:val="en-US"/>
        </w:rPr>
      </w:pPr>
    </w:p>
    <w:p w:rsidR="01C04F8D" w:rsidRDefault="01C04F8D" w:rsidP="7028D732">
      <w:pPr>
        <w:rPr>
          <w:rFonts w:ascii="Calibri" w:eastAsia="Calibri" w:hAnsi="Calibri" w:cs="Calibri"/>
          <w:color w:val="FF0000"/>
          <w:sz w:val="24"/>
          <w:szCs w:val="24"/>
          <w:lang w:val="en-US"/>
        </w:rPr>
      </w:pPr>
    </w:p>
    <w:p w:rsidR="01C04F8D" w:rsidRDefault="01C04F8D" w:rsidP="780E7998">
      <w:pPr>
        <w:rPr>
          <w:rFonts w:ascii="Calibri" w:eastAsia="Calibri" w:hAnsi="Calibri" w:cs="Calibri"/>
          <w:color w:val="FF0000"/>
          <w:sz w:val="24"/>
          <w:szCs w:val="24"/>
          <w:lang w:val="en-US"/>
        </w:rPr>
      </w:pPr>
    </w:p>
    <w:p w:rsidR="01C04F8D" w:rsidRDefault="01C04F8D" w:rsidP="780E7998">
      <w:pPr>
        <w:rPr>
          <w:rFonts w:ascii="Calibri" w:eastAsia="Calibri" w:hAnsi="Calibri" w:cs="Calibri"/>
          <w:color w:val="FF0000"/>
          <w:sz w:val="24"/>
          <w:szCs w:val="24"/>
          <w:lang w:val="en-US"/>
        </w:rPr>
      </w:pPr>
    </w:p>
    <w:p w:rsidR="01C04F8D" w:rsidRDefault="00782C5B" w:rsidP="780E7998">
      <w:pPr>
        <w:rPr>
          <w:rFonts w:ascii="Calibri" w:eastAsia="Calibri" w:hAnsi="Calibri" w:cs="Calibri"/>
          <w:color w:val="000000" w:themeColor="text1"/>
          <w:lang w:val="en-US"/>
        </w:rPr>
      </w:pPr>
      <w:hyperlink r:id="rId4">
        <w:r w:rsidR="780E7998" w:rsidRPr="780E7998">
          <w:rPr>
            <w:rStyle w:val="Hyperlink"/>
            <w:rFonts w:ascii="Calibri" w:eastAsia="Calibri" w:hAnsi="Calibri" w:cs="Calibri"/>
            <w:lang w:val="en-US"/>
          </w:rPr>
          <w:t>https://online.shawnee.edu/articles/pedagogy-principles/</w:t>
        </w:r>
      </w:hyperlink>
    </w:p>
    <w:p w:rsidR="01C04F8D" w:rsidRDefault="01C04F8D" w:rsidP="780E7998">
      <w:pPr>
        <w:rPr>
          <w:rFonts w:ascii="Calibri" w:eastAsia="Calibri" w:hAnsi="Calibri" w:cs="Calibri"/>
          <w:color w:val="000000" w:themeColor="text1"/>
          <w:lang w:val="en-US"/>
        </w:rPr>
      </w:pPr>
    </w:p>
    <w:p w:rsidR="01C04F8D" w:rsidRDefault="780E7998" w:rsidP="780E7998">
      <w:pPr>
        <w:rPr>
          <w:rFonts w:ascii="Calibri" w:eastAsia="Calibri" w:hAnsi="Calibri" w:cs="Calibri"/>
          <w:color w:val="000000" w:themeColor="text1"/>
          <w:lang w:val="en-US"/>
        </w:rPr>
      </w:pPr>
      <w:r w:rsidRPr="780E7998">
        <w:rPr>
          <w:rFonts w:ascii="Calibri" w:eastAsia="Calibri" w:hAnsi="Calibri" w:cs="Calibri"/>
          <w:color w:val="000000" w:themeColor="text1"/>
          <w:lang w:val="en-US"/>
        </w:rPr>
        <w:t xml:space="preserve">Elmore, R F (2004) School Reform from the Inside Out: Policy, Practice And Performance Harvard Education Press 41 </w:t>
      </w:r>
    </w:p>
    <w:p w:rsidR="01C04F8D" w:rsidRDefault="780E7998" w:rsidP="780E7998">
      <w:pPr>
        <w:rPr>
          <w:rFonts w:ascii="Calibri" w:eastAsia="Calibri" w:hAnsi="Calibri" w:cs="Calibri"/>
          <w:color w:val="000000" w:themeColor="text1"/>
          <w:lang w:val="en-US"/>
        </w:rPr>
      </w:pPr>
      <w:r w:rsidRPr="780E7998">
        <w:rPr>
          <w:rFonts w:ascii="Calibri" w:eastAsia="Calibri" w:hAnsi="Calibri" w:cs="Calibri"/>
          <w:color w:val="000000" w:themeColor="text1"/>
          <w:lang w:val="en-US"/>
        </w:rPr>
        <w:t xml:space="preserve">Hargreaves, A and Fullan, M (2012) Professional Capital: Transforming Teaching in Every School Teachers’ College Columbia University 42 </w:t>
      </w:r>
    </w:p>
    <w:p w:rsidR="01C04F8D" w:rsidRDefault="780E7998" w:rsidP="780E7998">
      <w:pPr>
        <w:rPr>
          <w:rFonts w:ascii="Calibri" w:eastAsia="Calibri" w:hAnsi="Calibri" w:cs="Calibri"/>
          <w:color w:val="000000" w:themeColor="text1"/>
          <w:lang w:val="en-US"/>
        </w:rPr>
      </w:pPr>
      <w:r w:rsidRPr="780E7998">
        <w:rPr>
          <w:rFonts w:ascii="Calibri" w:eastAsia="Calibri" w:hAnsi="Calibri" w:cs="Calibri"/>
          <w:color w:val="000000" w:themeColor="text1"/>
          <w:lang w:val="en-US"/>
        </w:rPr>
        <w:t>Hattie, J (2009) Visible Learning: A Synthesis of Over 800 Meta-analyses Relating to Achievement Routledge 43 Payne, C M (2008) So Much Reform So</w:t>
      </w:r>
    </w:p>
    <w:p w:rsidR="01C04F8D" w:rsidRDefault="01C04F8D" w:rsidP="780E7998">
      <w:pPr>
        <w:rPr>
          <w:rFonts w:ascii="Calibri" w:eastAsia="Calibri" w:hAnsi="Calibri" w:cs="Calibri"/>
          <w:color w:val="000000" w:themeColor="text1"/>
          <w:lang w:val="en-US"/>
        </w:rPr>
      </w:pPr>
    </w:p>
    <w:p w:rsidR="01C04F8D" w:rsidRDefault="780E7998" w:rsidP="780E7998">
      <w:pPr>
        <w:rPr>
          <w:rFonts w:ascii="Open Sans" w:eastAsia="Open Sans" w:hAnsi="Open Sans" w:cs="Open Sans"/>
          <w:color w:val="333333"/>
          <w:sz w:val="24"/>
          <w:szCs w:val="24"/>
          <w:lang w:val="en-US"/>
        </w:rPr>
      </w:pPr>
      <w:r w:rsidRPr="780E7998">
        <w:rPr>
          <w:rFonts w:ascii="Open Sans" w:eastAsia="Open Sans" w:hAnsi="Open Sans" w:cs="Open Sans"/>
          <w:color w:val="333333"/>
          <w:sz w:val="24"/>
          <w:szCs w:val="24"/>
          <w:lang w:val="en-US"/>
        </w:rPr>
        <w:t xml:space="preserve">Robert J. Sonstroem. (1981) </w:t>
      </w:r>
      <w:hyperlink r:id="rId5">
        <w:r w:rsidRPr="780E7998">
          <w:rPr>
            <w:rStyle w:val="Hyperlink"/>
            <w:rFonts w:ascii="Open Sans" w:eastAsia="Open Sans" w:hAnsi="Open Sans" w:cs="Open Sans"/>
            <w:sz w:val="24"/>
            <w:szCs w:val="24"/>
            <w:lang w:val="en-US"/>
          </w:rPr>
          <w:t>Exercise and Self-esteem: Recommendations for Expository Research</w:t>
        </w:r>
      </w:hyperlink>
      <w:r w:rsidRPr="780E7998">
        <w:rPr>
          <w:rFonts w:ascii="Open Sans" w:eastAsia="Open Sans" w:hAnsi="Open Sans" w:cs="Open Sans"/>
          <w:color w:val="333333"/>
          <w:sz w:val="24"/>
          <w:szCs w:val="24"/>
          <w:lang w:val="en-US"/>
        </w:rPr>
        <w:t xml:space="preserve">. </w:t>
      </w:r>
      <w:r w:rsidRPr="780E7998">
        <w:rPr>
          <w:rFonts w:ascii="Open Sans" w:eastAsia="Open Sans" w:hAnsi="Open Sans" w:cs="Open Sans"/>
          <w:i/>
          <w:iCs/>
          <w:color w:val="333333"/>
          <w:sz w:val="24"/>
          <w:szCs w:val="24"/>
          <w:lang w:val="en-US"/>
        </w:rPr>
        <w:t>Quest</w:t>
      </w:r>
      <w:r w:rsidRPr="780E7998">
        <w:rPr>
          <w:rFonts w:ascii="Open Sans" w:eastAsia="Open Sans" w:hAnsi="Open Sans" w:cs="Open Sans"/>
          <w:color w:val="333333"/>
          <w:sz w:val="24"/>
          <w:szCs w:val="24"/>
          <w:lang w:val="en-US"/>
        </w:rPr>
        <w:t xml:space="preserve"> 33:2, pages 124-139.</w:t>
      </w:r>
    </w:p>
    <w:p w:rsidR="01C04F8D" w:rsidRDefault="780E7998" w:rsidP="780E7998">
      <w:pPr>
        <w:rPr>
          <w:rFonts w:ascii="Open Sans" w:eastAsia="Open Sans" w:hAnsi="Open Sans" w:cs="Open Sans"/>
          <w:color w:val="333333"/>
          <w:sz w:val="24"/>
          <w:szCs w:val="24"/>
          <w:lang w:val="en-US"/>
        </w:rPr>
      </w:pPr>
      <w:r w:rsidRPr="780E7998">
        <w:rPr>
          <w:rFonts w:ascii="Open Sans" w:eastAsia="Open Sans" w:hAnsi="Open Sans" w:cs="Open Sans"/>
          <w:color w:val="333333"/>
          <w:sz w:val="24"/>
          <w:szCs w:val="24"/>
          <w:lang w:val="en-US"/>
        </w:rPr>
        <w:t xml:space="preserve">Laura N. Boldrick. (1983) </w:t>
      </w:r>
      <w:hyperlink r:id="rId6">
        <w:r w:rsidRPr="780E7998">
          <w:rPr>
            <w:rStyle w:val="Hyperlink"/>
            <w:rFonts w:ascii="Open Sans" w:eastAsia="Open Sans" w:hAnsi="Open Sans" w:cs="Open Sans"/>
            <w:sz w:val="24"/>
            <w:szCs w:val="24"/>
            <w:lang w:val="en-US"/>
          </w:rPr>
          <w:t>Psychological Centrality of Physical Attributes: A Reexamination of the Relationship between Subjective Importance and Self-Esteem</w:t>
        </w:r>
      </w:hyperlink>
      <w:r w:rsidRPr="780E7998">
        <w:rPr>
          <w:rFonts w:ascii="Open Sans" w:eastAsia="Open Sans" w:hAnsi="Open Sans" w:cs="Open Sans"/>
          <w:color w:val="333333"/>
          <w:sz w:val="24"/>
          <w:szCs w:val="24"/>
          <w:lang w:val="en-US"/>
        </w:rPr>
        <w:t xml:space="preserve">. </w:t>
      </w:r>
      <w:r w:rsidRPr="780E7998">
        <w:rPr>
          <w:rFonts w:ascii="Open Sans" w:eastAsia="Open Sans" w:hAnsi="Open Sans" w:cs="Open Sans"/>
          <w:i/>
          <w:iCs/>
          <w:color w:val="333333"/>
          <w:sz w:val="24"/>
          <w:szCs w:val="24"/>
          <w:lang w:val="en-US"/>
        </w:rPr>
        <w:t>The Journal of Psychology</w:t>
      </w:r>
      <w:r w:rsidRPr="780E7998">
        <w:rPr>
          <w:rFonts w:ascii="Open Sans" w:eastAsia="Open Sans" w:hAnsi="Open Sans" w:cs="Open Sans"/>
          <w:color w:val="333333"/>
          <w:sz w:val="24"/>
          <w:szCs w:val="24"/>
          <w:lang w:val="en-US"/>
        </w:rPr>
        <w:t>115:1,</w:t>
      </w:r>
    </w:p>
    <w:p w:rsidR="01C04F8D" w:rsidRDefault="01C04F8D" w:rsidP="780E7998">
      <w:pPr>
        <w:rPr>
          <w:rFonts w:ascii="Open Sans" w:eastAsia="Open Sans" w:hAnsi="Open Sans" w:cs="Open Sans"/>
          <w:color w:val="333333"/>
          <w:sz w:val="24"/>
          <w:szCs w:val="24"/>
          <w:lang w:val="en-US"/>
        </w:rPr>
      </w:pPr>
    </w:p>
    <w:p w:rsidR="01C04F8D" w:rsidRDefault="00782C5B" w:rsidP="780E7998">
      <w:pPr>
        <w:rPr>
          <w:rFonts w:ascii="Open Sans" w:eastAsia="Open Sans" w:hAnsi="Open Sans" w:cs="Open Sans"/>
          <w:color w:val="333333"/>
          <w:sz w:val="24"/>
          <w:szCs w:val="24"/>
          <w:lang w:val="en-US"/>
        </w:rPr>
      </w:pPr>
      <w:hyperlink r:id="rId7">
        <w:r w:rsidR="780E7998" w:rsidRPr="780E7998">
          <w:rPr>
            <w:rStyle w:val="Hyperlink"/>
            <w:rFonts w:ascii="Open Sans" w:eastAsia="Open Sans" w:hAnsi="Open Sans" w:cs="Open Sans"/>
            <w:sz w:val="24"/>
            <w:szCs w:val="24"/>
            <w:lang w:val="en-US"/>
          </w:rPr>
          <w:t>https://www.impact.wales/news/12-pedagogical-principles/</w:t>
        </w:r>
      </w:hyperlink>
    </w:p>
    <w:p w:rsidR="01C04F8D" w:rsidRDefault="01C04F8D" w:rsidP="7028D732">
      <w:pPr>
        <w:rPr>
          <w:rFonts w:ascii="Calibri" w:eastAsia="Calibri" w:hAnsi="Calibri" w:cs="Calibri"/>
          <w:color w:val="FF0000"/>
          <w:sz w:val="24"/>
          <w:szCs w:val="24"/>
          <w:lang w:val="en-US"/>
        </w:rPr>
      </w:pPr>
    </w:p>
    <w:p w:rsidR="780E7998" w:rsidRDefault="780E7998" w:rsidP="780E7998">
      <w:pPr>
        <w:rPr>
          <w:rFonts w:ascii="Calibri" w:eastAsia="Calibri" w:hAnsi="Calibri" w:cs="Calibri"/>
          <w:color w:val="FF0000"/>
          <w:sz w:val="24"/>
          <w:szCs w:val="24"/>
          <w:lang w:val="en-US"/>
        </w:rPr>
      </w:pPr>
      <w:r w:rsidRPr="780E7998">
        <w:rPr>
          <w:rFonts w:ascii="Calibri" w:eastAsia="Calibri" w:hAnsi="Calibri" w:cs="Calibri"/>
          <w:color w:val="FF0000"/>
          <w:sz w:val="24"/>
          <w:szCs w:val="24"/>
          <w:lang w:val="en-US"/>
        </w:rPr>
        <w:t>https://www.theedadvocate.org/pros-and-cons-of-cross-curricular-teaching/</w:t>
      </w:r>
    </w:p>
    <w:p w:rsidR="01C04F8D" w:rsidRDefault="01C04F8D" w:rsidP="7028D732">
      <w:pPr>
        <w:rPr>
          <w:rFonts w:ascii="Calibri" w:eastAsia="Calibri" w:hAnsi="Calibri" w:cs="Calibri"/>
          <w:color w:val="FF0000"/>
          <w:sz w:val="24"/>
          <w:szCs w:val="24"/>
          <w:lang w:val="en-US"/>
        </w:rPr>
      </w:pPr>
    </w:p>
    <w:p w:rsidR="01C04F8D" w:rsidRDefault="01C04F8D" w:rsidP="01C04F8D">
      <w:pPr>
        <w:rPr>
          <w:rFonts w:ascii="Calibri" w:eastAsia="Calibri" w:hAnsi="Calibri" w:cs="Calibri"/>
          <w:color w:val="FF0000"/>
          <w:lang w:val="en-US"/>
        </w:rPr>
      </w:pPr>
    </w:p>
    <w:p w:rsidR="01C04F8D" w:rsidRDefault="01C04F8D" w:rsidP="01C04F8D">
      <w:pPr>
        <w:rPr>
          <w:rFonts w:ascii="Calibri" w:eastAsia="Calibri" w:hAnsi="Calibri" w:cs="Calibri"/>
          <w:color w:val="FF0000"/>
          <w:lang w:val="en-US"/>
        </w:rPr>
      </w:pPr>
    </w:p>
    <w:sectPr w:rsidR="01C04F8D" w:rsidSect="00782C5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Calibri"/>
    <w:charset w:val="00"/>
    <w:family w:val="swiss"/>
    <w:pitch w:val="variable"/>
    <w:sig w:usb0="00000001"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0000000000000000000"/>
    <w:charset w:val="00"/>
    <w:family w:val="roman"/>
    <w:notTrueType/>
    <w:pitch w:val="default"/>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35A60B4B"/>
    <w:rsid w:val="001CFB09"/>
    <w:rsid w:val="0064676A"/>
    <w:rsid w:val="00782C5B"/>
    <w:rsid w:val="01326BAB"/>
    <w:rsid w:val="01C04F8D"/>
    <w:rsid w:val="03549BCB"/>
    <w:rsid w:val="035C1FEE"/>
    <w:rsid w:val="0427AEAC"/>
    <w:rsid w:val="04366465"/>
    <w:rsid w:val="073B25D6"/>
    <w:rsid w:val="088A11C2"/>
    <w:rsid w:val="08A2B982"/>
    <w:rsid w:val="08D6F637"/>
    <w:rsid w:val="0A36BC00"/>
    <w:rsid w:val="0BD28C61"/>
    <w:rsid w:val="0BFE1AD8"/>
    <w:rsid w:val="0C226C1E"/>
    <w:rsid w:val="0C32C091"/>
    <w:rsid w:val="0C475538"/>
    <w:rsid w:val="0DAB7905"/>
    <w:rsid w:val="0E0DA517"/>
    <w:rsid w:val="0F6A6153"/>
    <w:rsid w:val="10397A11"/>
    <w:rsid w:val="104BF6ED"/>
    <w:rsid w:val="111D243B"/>
    <w:rsid w:val="11CEBEAD"/>
    <w:rsid w:val="125433FF"/>
    <w:rsid w:val="1291ADA2"/>
    <w:rsid w:val="12E1163A"/>
    <w:rsid w:val="132A5B61"/>
    <w:rsid w:val="1372AD1B"/>
    <w:rsid w:val="15B1D73F"/>
    <w:rsid w:val="15EE54C3"/>
    <w:rsid w:val="163BCFB5"/>
    <w:rsid w:val="178A2524"/>
    <w:rsid w:val="180C6DD9"/>
    <w:rsid w:val="18926B8F"/>
    <w:rsid w:val="19E1EE9F"/>
    <w:rsid w:val="1BC69B77"/>
    <w:rsid w:val="1CD71649"/>
    <w:rsid w:val="1E72E6AA"/>
    <w:rsid w:val="2002B966"/>
    <w:rsid w:val="200EB70B"/>
    <w:rsid w:val="21AA876C"/>
    <w:rsid w:val="220F8219"/>
    <w:rsid w:val="249AF7EB"/>
    <w:rsid w:val="25ED4183"/>
    <w:rsid w:val="265C15B1"/>
    <w:rsid w:val="269D63B5"/>
    <w:rsid w:val="279B0C3D"/>
    <w:rsid w:val="28A6D269"/>
    <w:rsid w:val="29886551"/>
    <w:rsid w:val="2A11AB54"/>
    <w:rsid w:val="2AD2ACFF"/>
    <w:rsid w:val="2B84A9FD"/>
    <w:rsid w:val="2BB4C4E1"/>
    <w:rsid w:val="2CC00613"/>
    <w:rsid w:val="2CEBD4A5"/>
    <w:rsid w:val="2CEF4EF7"/>
    <w:rsid w:val="2D78B6E0"/>
    <w:rsid w:val="2FA61E22"/>
    <w:rsid w:val="2FAEF5B9"/>
    <w:rsid w:val="30FE0307"/>
    <w:rsid w:val="3253EE4B"/>
    <w:rsid w:val="34EE50D5"/>
    <w:rsid w:val="3575D78A"/>
    <w:rsid w:val="35A60B4B"/>
    <w:rsid w:val="36155FA6"/>
    <w:rsid w:val="37275F6E"/>
    <w:rsid w:val="381334DB"/>
    <w:rsid w:val="386118ED"/>
    <w:rsid w:val="386B1A8B"/>
    <w:rsid w:val="387A1F8C"/>
    <w:rsid w:val="38C32FCF"/>
    <w:rsid w:val="3A45D7D3"/>
    <w:rsid w:val="3BAB8F37"/>
    <w:rsid w:val="3BD07851"/>
    <w:rsid w:val="3D6A6226"/>
    <w:rsid w:val="3DC4D016"/>
    <w:rsid w:val="3EDA5C0F"/>
    <w:rsid w:val="3EE32FF9"/>
    <w:rsid w:val="3F063287"/>
    <w:rsid w:val="3F329891"/>
    <w:rsid w:val="40B51957"/>
    <w:rsid w:val="4146A5F4"/>
    <w:rsid w:val="4410B2FB"/>
    <w:rsid w:val="45CD4E98"/>
    <w:rsid w:val="470EF59D"/>
    <w:rsid w:val="47691EF9"/>
    <w:rsid w:val="4780CA9A"/>
    <w:rsid w:val="4870E9E2"/>
    <w:rsid w:val="4904EF5A"/>
    <w:rsid w:val="495205A5"/>
    <w:rsid w:val="4BCE90CF"/>
    <w:rsid w:val="4BFB6FA9"/>
    <w:rsid w:val="4CF75B41"/>
    <w:rsid w:val="4D206680"/>
    <w:rsid w:val="4E932BA2"/>
    <w:rsid w:val="4ED53EEB"/>
    <w:rsid w:val="4ED571BC"/>
    <w:rsid w:val="4FF82A6F"/>
    <w:rsid w:val="51A5D7B7"/>
    <w:rsid w:val="520EF83E"/>
    <w:rsid w:val="5210C0C1"/>
    <w:rsid w:val="5302BB31"/>
    <w:rsid w:val="545AEB9D"/>
    <w:rsid w:val="549E8B92"/>
    <w:rsid w:val="55F6BBFE"/>
    <w:rsid w:val="57A1869B"/>
    <w:rsid w:val="580F4541"/>
    <w:rsid w:val="592300AA"/>
    <w:rsid w:val="595ACE5D"/>
    <w:rsid w:val="59E4357A"/>
    <w:rsid w:val="5B0DCD16"/>
    <w:rsid w:val="5C74F7BE"/>
    <w:rsid w:val="5C8573DF"/>
    <w:rsid w:val="5CA99D77"/>
    <w:rsid w:val="5CD32520"/>
    <w:rsid w:val="5D1BD63C"/>
    <w:rsid w:val="5E6EF581"/>
    <w:rsid w:val="5E845ABF"/>
    <w:rsid w:val="617B28DA"/>
    <w:rsid w:val="624DB9A0"/>
    <w:rsid w:val="63597FCC"/>
    <w:rsid w:val="6441C964"/>
    <w:rsid w:val="6721470D"/>
    <w:rsid w:val="6871C78B"/>
    <w:rsid w:val="6937A7B8"/>
    <w:rsid w:val="6AD37819"/>
    <w:rsid w:val="6B38A2CC"/>
    <w:rsid w:val="6BA9684D"/>
    <w:rsid w:val="6BBAEB81"/>
    <w:rsid w:val="6C6F487A"/>
    <w:rsid w:val="6D069BAE"/>
    <w:rsid w:val="6D4DF32F"/>
    <w:rsid w:val="6F6F4525"/>
    <w:rsid w:val="7028D732"/>
    <w:rsid w:val="73A81B3F"/>
    <w:rsid w:val="7407B79B"/>
    <w:rsid w:val="778171CA"/>
    <w:rsid w:val="780E7998"/>
    <w:rsid w:val="7811E923"/>
    <w:rsid w:val="78DB28BE"/>
    <w:rsid w:val="7ACF1C38"/>
    <w:rsid w:val="7BCA5B7C"/>
    <w:rsid w:val="7C6B6EB2"/>
    <w:rsid w:val="7D662BDD"/>
    <w:rsid w:val="7DFACAE8"/>
    <w:rsid w:val="7F8EE09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A36BC00"/>
    <w:rPr>
      <w:lang w:val="cy-GB"/>
    </w:rPr>
  </w:style>
  <w:style w:type="paragraph" w:styleId="Heading1">
    <w:name w:val="heading 1"/>
    <w:basedOn w:val="Normal"/>
    <w:next w:val="Normal"/>
    <w:link w:val="Heading1Char"/>
    <w:uiPriority w:val="9"/>
    <w:qFormat/>
    <w:rsid w:val="0A36BC00"/>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A36BC00"/>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A36BC00"/>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A36BC00"/>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A36BC00"/>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A36BC00"/>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A36BC00"/>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A36BC00"/>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A36BC00"/>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A36BC00"/>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A36BC00"/>
    <w:rPr>
      <w:rFonts w:eastAsiaTheme="minorEastAsia"/>
      <w:color w:val="5A5A5A"/>
    </w:rPr>
  </w:style>
  <w:style w:type="paragraph" w:styleId="Quote">
    <w:name w:val="Quote"/>
    <w:basedOn w:val="Normal"/>
    <w:next w:val="Normal"/>
    <w:link w:val="QuoteChar"/>
    <w:uiPriority w:val="29"/>
    <w:qFormat/>
    <w:rsid w:val="0A36BC00"/>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A36BC00"/>
    <w:pPr>
      <w:spacing w:before="360" w:after="360"/>
      <w:ind w:left="864" w:right="864"/>
      <w:jc w:val="center"/>
    </w:pPr>
    <w:rPr>
      <w:i/>
      <w:iCs/>
      <w:color w:val="4472C4" w:themeColor="accent1"/>
    </w:rPr>
  </w:style>
  <w:style w:type="paragraph" w:styleId="ListParagraph">
    <w:name w:val="List Paragraph"/>
    <w:basedOn w:val="Normal"/>
    <w:uiPriority w:val="34"/>
    <w:qFormat/>
    <w:rsid w:val="0A36BC00"/>
    <w:pPr>
      <w:ind w:left="720"/>
      <w:contextualSpacing/>
    </w:pPr>
  </w:style>
  <w:style w:type="character" w:customStyle="1" w:styleId="Heading1Char">
    <w:name w:val="Heading 1 Char"/>
    <w:basedOn w:val="DefaultParagraphFont"/>
    <w:link w:val="Heading1"/>
    <w:uiPriority w:val="9"/>
    <w:rsid w:val="0A36BC00"/>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0A36BC00"/>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0A36BC00"/>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0A36BC00"/>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0A36BC00"/>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0A36BC00"/>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0A36BC00"/>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0A36BC00"/>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0A36BC00"/>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0A36BC00"/>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0A36BC00"/>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0A36BC00"/>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0A36BC00"/>
    <w:rPr>
      <w:i/>
      <w:iCs/>
      <w:noProof w:val="0"/>
      <w:color w:val="4472C4" w:themeColor="accent1"/>
      <w:lang w:val="cy-GB"/>
    </w:rPr>
  </w:style>
  <w:style w:type="paragraph" w:styleId="TOC1">
    <w:name w:val="toc 1"/>
    <w:basedOn w:val="Normal"/>
    <w:next w:val="Normal"/>
    <w:uiPriority w:val="39"/>
    <w:unhideWhenUsed/>
    <w:rsid w:val="0A36BC00"/>
    <w:pPr>
      <w:spacing w:after="100"/>
    </w:pPr>
  </w:style>
  <w:style w:type="paragraph" w:styleId="TOC2">
    <w:name w:val="toc 2"/>
    <w:basedOn w:val="Normal"/>
    <w:next w:val="Normal"/>
    <w:uiPriority w:val="39"/>
    <w:unhideWhenUsed/>
    <w:rsid w:val="0A36BC00"/>
    <w:pPr>
      <w:spacing w:after="100"/>
      <w:ind w:left="220"/>
    </w:pPr>
  </w:style>
  <w:style w:type="paragraph" w:styleId="TOC3">
    <w:name w:val="toc 3"/>
    <w:basedOn w:val="Normal"/>
    <w:next w:val="Normal"/>
    <w:uiPriority w:val="39"/>
    <w:unhideWhenUsed/>
    <w:rsid w:val="0A36BC00"/>
    <w:pPr>
      <w:spacing w:after="100"/>
      <w:ind w:left="440"/>
    </w:pPr>
  </w:style>
  <w:style w:type="paragraph" w:styleId="TOC4">
    <w:name w:val="toc 4"/>
    <w:basedOn w:val="Normal"/>
    <w:next w:val="Normal"/>
    <w:uiPriority w:val="39"/>
    <w:unhideWhenUsed/>
    <w:rsid w:val="0A36BC00"/>
    <w:pPr>
      <w:spacing w:after="100"/>
      <w:ind w:left="660"/>
    </w:pPr>
  </w:style>
  <w:style w:type="paragraph" w:styleId="TOC5">
    <w:name w:val="toc 5"/>
    <w:basedOn w:val="Normal"/>
    <w:next w:val="Normal"/>
    <w:uiPriority w:val="39"/>
    <w:unhideWhenUsed/>
    <w:rsid w:val="0A36BC00"/>
    <w:pPr>
      <w:spacing w:after="100"/>
      <w:ind w:left="880"/>
    </w:pPr>
  </w:style>
  <w:style w:type="paragraph" w:styleId="TOC6">
    <w:name w:val="toc 6"/>
    <w:basedOn w:val="Normal"/>
    <w:next w:val="Normal"/>
    <w:uiPriority w:val="39"/>
    <w:unhideWhenUsed/>
    <w:rsid w:val="0A36BC00"/>
    <w:pPr>
      <w:spacing w:after="100"/>
      <w:ind w:left="1100"/>
    </w:pPr>
  </w:style>
  <w:style w:type="paragraph" w:styleId="TOC7">
    <w:name w:val="toc 7"/>
    <w:basedOn w:val="Normal"/>
    <w:next w:val="Normal"/>
    <w:uiPriority w:val="39"/>
    <w:unhideWhenUsed/>
    <w:rsid w:val="0A36BC00"/>
    <w:pPr>
      <w:spacing w:after="100"/>
      <w:ind w:left="1320"/>
    </w:pPr>
  </w:style>
  <w:style w:type="paragraph" w:styleId="TOC8">
    <w:name w:val="toc 8"/>
    <w:basedOn w:val="Normal"/>
    <w:next w:val="Normal"/>
    <w:uiPriority w:val="39"/>
    <w:unhideWhenUsed/>
    <w:rsid w:val="0A36BC00"/>
    <w:pPr>
      <w:spacing w:after="100"/>
      <w:ind w:left="1540"/>
    </w:pPr>
  </w:style>
  <w:style w:type="paragraph" w:styleId="TOC9">
    <w:name w:val="toc 9"/>
    <w:basedOn w:val="Normal"/>
    <w:next w:val="Normal"/>
    <w:uiPriority w:val="39"/>
    <w:unhideWhenUsed/>
    <w:rsid w:val="0A36BC00"/>
    <w:pPr>
      <w:spacing w:after="100"/>
      <w:ind w:left="1760"/>
    </w:pPr>
  </w:style>
  <w:style w:type="paragraph" w:styleId="EndnoteText">
    <w:name w:val="endnote text"/>
    <w:basedOn w:val="Normal"/>
    <w:link w:val="EndnoteTextChar"/>
    <w:uiPriority w:val="99"/>
    <w:semiHidden/>
    <w:unhideWhenUsed/>
    <w:rsid w:val="0A36BC00"/>
    <w:pPr>
      <w:spacing w:after="0"/>
    </w:pPr>
    <w:rPr>
      <w:sz w:val="20"/>
      <w:szCs w:val="20"/>
    </w:rPr>
  </w:style>
  <w:style w:type="character" w:customStyle="1" w:styleId="EndnoteTextChar">
    <w:name w:val="Endnote Text Char"/>
    <w:basedOn w:val="DefaultParagraphFont"/>
    <w:link w:val="EndnoteText"/>
    <w:uiPriority w:val="99"/>
    <w:semiHidden/>
    <w:rsid w:val="0A36BC00"/>
    <w:rPr>
      <w:noProof w:val="0"/>
      <w:sz w:val="20"/>
      <w:szCs w:val="20"/>
      <w:lang w:val="cy-GB"/>
    </w:rPr>
  </w:style>
  <w:style w:type="paragraph" w:styleId="Footer">
    <w:name w:val="footer"/>
    <w:basedOn w:val="Normal"/>
    <w:link w:val="FooterChar"/>
    <w:uiPriority w:val="99"/>
    <w:unhideWhenUsed/>
    <w:rsid w:val="0A36BC00"/>
    <w:pPr>
      <w:tabs>
        <w:tab w:val="center" w:pos="4680"/>
        <w:tab w:val="right" w:pos="9360"/>
      </w:tabs>
      <w:spacing w:after="0"/>
    </w:pPr>
  </w:style>
  <w:style w:type="character" w:customStyle="1" w:styleId="FooterChar">
    <w:name w:val="Footer Char"/>
    <w:basedOn w:val="DefaultParagraphFont"/>
    <w:link w:val="Footer"/>
    <w:uiPriority w:val="99"/>
    <w:rsid w:val="0A36BC00"/>
    <w:rPr>
      <w:noProof w:val="0"/>
      <w:lang w:val="cy-GB"/>
    </w:rPr>
  </w:style>
  <w:style w:type="paragraph" w:styleId="FootnoteText">
    <w:name w:val="footnote text"/>
    <w:basedOn w:val="Normal"/>
    <w:link w:val="FootnoteTextChar"/>
    <w:uiPriority w:val="99"/>
    <w:semiHidden/>
    <w:unhideWhenUsed/>
    <w:rsid w:val="0A36BC00"/>
    <w:pPr>
      <w:spacing w:after="0"/>
    </w:pPr>
    <w:rPr>
      <w:sz w:val="20"/>
      <w:szCs w:val="20"/>
    </w:rPr>
  </w:style>
  <w:style w:type="character" w:customStyle="1" w:styleId="FootnoteTextChar">
    <w:name w:val="Footnote Text Char"/>
    <w:basedOn w:val="DefaultParagraphFont"/>
    <w:link w:val="FootnoteText"/>
    <w:uiPriority w:val="99"/>
    <w:semiHidden/>
    <w:rsid w:val="0A36BC00"/>
    <w:rPr>
      <w:noProof w:val="0"/>
      <w:sz w:val="20"/>
      <w:szCs w:val="20"/>
      <w:lang w:val="cy-GB"/>
    </w:rPr>
  </w:style>
  <w:style w:type="paragraph" w:styleId="Header">
    <w:name w:val="header"/>
    <w:basedOn w:val="Normal"/>
    <w:link w:val="HeaderChar"/>
    <w:uiPriority w:val="99"/>
    <w:unhideWhenUsed/>
    <w:rsid w:val="0A36BC00"/>
    <w:pPr>
      <w:tabs>
        <w:tab w:val="center" w:pos="4680"/>
        <w:tab w:val="right" w:pos="9360"/>
      </w:tabs>
      <w:spacing w:after="0"/>
    </w:pPr>
  </w:style>
  <w:style w:type="character" w:customStyle="1" w:styleId="HeaderChar">
    <w:name w:val="Header Char"/>
    <w:basedOn w:val="DefaultParagraphFont"/>
    <w:link w:val="Header"/>
    <w:uiPriority w:val="99"/>
    <w:rsid w:val="0A36BC00"/>
    <w:rPr>
      <w:noProof w:val="0"/>
      <w:lang w:val="cy-GB"/>
    </w:rPr>
  </w:style>
  <w:style w:type="character" w:styleId="Hyperlink">
    <w:name w:val="Hyperlink"/>
    <w:basedOn w:val="DefaultParagraphFont"/>
    <w:uiPriority w:val="99"/>
    <w:unhideWhenUsed/>
    <w:rsid w:val="00782C5B"/>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mpact.wales/news/12-pedagogical-princip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abs/10.1080/00223980.1983.9923602" TargetMode="External"/><Relationship Id="rId5" Type="http://schemas.openxmlformats.org/officeDocument/2006/relationships/hyperlink" Target="https://www.tandfonline.com/doi/abs/10.1080/00336297.1981.10483749" TargetMode="External"/><Relationship Id="rId4" Type="http://schemas.openxmlformats.org/officeDocument/2006/relationships/hyperlink" Target="https://online.shawnee.edu/articles/pedagogy-principle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1843</Words>
  <Characters>10507</Characters>
  <Application>Microsoft Office Word</Application>
  <DocSecurity>0</DocSecurity>
  <Lines>87</Lines>
  <Paragraphs>24</Paragraphs>
  <ScaleCrop>false</ScaleCrop>
  <Company/>
  <LinksUpToDate>false</LinksUpToDate>
  <CharactersWithSpaces>12326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Kelsie Andrews (1902489)</dc:creator>
  <cp:lastModifiedBy>Keri - The Liberty Group</cp:lastModifiedBy>
  <cp:revision>2</cp:revision>
  <dcterms:created xsi:type="dcterms:W3CDTF">2022-04-15T23:00:00Z</dcterms:created>
  <dcterms:modified xsi:type="dcterms:W3CDTF">2022-04-15T23:00:00Z</dcterms:modified>
</cp:coreProperties>
</file>