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1D040" w14:textId="5A14284B" w:rsidR="0028747F" w:rsidRPr="004B11C0" w:rsidRDefault="0028747F" w:rsidP="0028747F">
      <w:r w:rsidRPr="004B11C0">
        <w:t xml:space="preserve">Describe, with evidence from the text, one or two strategies which Cicero uses in the portrayal of Caelius in Cicero’s </w:t>
      </w:r>
      <w:r w:rsidRPr="004B11C0">
        <w:rPr>
          <w:i/>
          <w:iCs/>
        </w:rPr>
        <w:t>Pro Caelio</w:t>
      </w:r>
      <w:r w:rsidRPr="004B11C0">
        <w:t>. Then, from the point of view of a prosecutor, outline what arguments you would use as counters.</w:t>
      </w:r>
    </w:p>
    <w:p w14:paraId="452126C6" w14:textId="77777777" w:rsidR="0028747F" w:rsidRPr="004B11C0" w:rsidRDefault="0028747F" w:rsidP="0028747F"/>
    <w:p w14:paraId="002EEFF7" w14:textId="2A2A276F" w:rsidR="0028747F" w:rsidRPr="004B11C0" w:rsidRDefault="00232F68" w:rsidP="0028747F">
      <w:r>
        <w:t>Cicero</w:t>
      </w:r>
      <w:r w:rsidR="0028747F" w:rsidRPr="004B11C0">
        <w:t xml:space="preserve"> uses a number of strategies in his portrayal of </w:t>
      </w:r>
      <w:r w:rsidR="0028747F" w:rsidRPr="004B11C0">
        <w:t>Clodia</w:t>
      </w:r>
      <w:r w:rsidR="0028747F" w:rsidRPr="004B11C0">
        <w:t xml:space="preserve"> in the </w:t>
      </w:r>
      <w:r w:rsidR="0028747F" w:rsidRPr="004B11C0">
        <w:rPr>
          <w:i/>
          <w:iCs/>
        </w:rPr>
        <w:t>Pro Caelio</w:t>
      </w:r>
      <w:r w:rsidR="0028747F" w:rsidRPr="004B11C0">
        <w:t xml:space="preserve">, the two that will be focused on in this essay are Cicero’s </w:t>
      </w:r>
      <w:r w:rsidR="00503FFA">
        <w:t xml:space="preserve">accusations that </w:t>
      </w:r>
      <w:r w:rsidR="0028747F" w:rsidRPr="004B11C0">
        <w:t>Clodia</w:t>
      </w:r>
      <w:r w:rsidR="00503FFA">
        <w:t xml:space="preserve"> is an “imperatrix” and is taking too much power as a woman</w:t>
      </w:r>
      <w:r w:rsidR="0028747F" w:rsidRPr="004B11C0">
        <w:t xml:space="preserve">, and </w:t>
      </w:r>
      <w:r w:rsidR="0028747F" w:rsidRPr="004B11C0">
        <w:t xml:space="preserve">use of accusation of </w:t>
      </w:r>
      <w:r w:rsidR="00AE4F06">
        <w:t xml:space="preserve">Clodia’s </w:t>
      </w:r>
      <w:r w:rsidR="0028747F" w:rsidRPr="004B11C0">
        <w:t>sexual immorality</w:t>
      </w:r>
      <w:r w:rsidR="00AE4F06">
        <w:t>.</w:t>
      </w:r>
    </w:p>
    <w:p w14:paraId="7894DFEE" w14:textId="67140FCD" w:rsidR="00691B54" w:rsidRPr="004B11C0" w:rsidRDefault="00B05A2D" w:rsidP="00845C7C">
      <w:r>
        <w:t>One of the main ways that Cicero attacks Clodia is through accusations (both direct and thinly veiled) of s</w:t>
      </w:r>
      <w:r w:rsidR="0028747F" w:rsidRPr="004B11C0">
        <w:t>exual immorality</w:t>
      </w:r>
      <w:r w:rsidR="009B7D5A">
        <w:t>.</w:t>
      </w:r>
      <w:r w:rsidR="006E03FC">
        <w:br/>
        <w:t>Cicero claims that he “</w:t>
      </w:r>
      <w:r w:rsidR="006E03FC">
        <w:t>shall be able to defend</w:t>
      </w:r>
      <w:r w:rsidR="006E03FC">
        <w:t xml:space="preserve"> </w:t>
      </w:r>
      <w:r w:rsidR="006E03FC">
        <w:t>Marcus Caelius' private life before even the strictest judges</w:t>
      </w:r>
      <w:r w:rsidR="006E03FC">
        <w:t>”</w:t>
      </w:r>
      <w:r w:rsidR="009C13D6">
        <w:rPr>
          <w:rStyle w:val="FootnoteReference"/>
        </w:rPr>
        <w:footnoteReference w:id="1"/>
      </w:r>
      <w:r w:rsidR="006E03FC">
        <w:t xml:space="preserve"> but in regards to Clodia </w:t>
      </w:r>
      <w:r w:rsidR="00E84C6C">
        <w:t>“</w:t>
      </w:r>
      <w:r w:rsidR="00E84C6C">
        <w:t>if you intend to justify your actions, your</w:t>
      </w:r>
      <w:r w:rsidR="00E84C6C">
        <w:t xml:space="preserve"> </w:t>
      </w:r>
      <w:r w:rsidR="00E84C6C">
        <w:t>assertions, your charges, your intrigues, your allegations, then you must give a full</w:t>
      </w:r>
      <w:r w:rsidR="00E84C6C">
        <w:t xml:space="preserve"> </w:t>
      </w:r>
      <w:r w:rsidR="00E84C6C">
        <w:t>account and</w:t>
      </w:r>
      <w:r w:rsidR="00E84C6C">
        <w:t xml:space="preserve"> </w:t>
      </w:r>
      <w:r w:rsidR="00E84C6C">
        <w:t>explanation of this familiarity, this intimacy, this entire relationship.</w:t>
      </w:r>
      <w:r w:rsidR="00E84C6C">
        <w:t>”</w:t>
      </w:r>
      <w:r w:rsidR="009C13D6">
        <w:rPr>
          <w:rStyle w:val="FootnoteReference"/>
        </w:rPr>
        <w:footnoteReference w:id="2"/>
      </w:r>
      <w:r w:rsidR="009D5C58">
        <w:t xml:space="preserve">. This is obviously invoking the Roman cultural place of women, but also </w:t>
      </w:r>
      <w:r w:rsidR="00FB1027">
        <w:t>it makes use of earlier assertions that Cicero has made. Earlier in the text Cicero goes to some lengths to actually defend Caelius’ actions in his personal life, particularly in paragraph 10, “</w:t>
      </w:r>
      <w:r w:rsidR="00FB1027" w:rsidRPr="00FB1027">
        <w:t>the charge that Caelius was a friend of Catiline</w:t>
      </w:r>
      <w:r w:rsidR="00FB1027">
        <w:t>”</w:t>
      </w:r>
      <w:r w:rsidR="009C13D6">
        <w:rPr>
          <w:rStyle w:val="FootnoteReference"/>
        </w:rPr>
        <w:footnoteReference w:id="3"/>
      </w:r>
      <w:r w:rsidR="00FB1027">
        <w:t>.</w:t>
      </w:r>
      <w:r w:rsidR="00FE7358">
        <w:t xml:space="preserve"> Cicero now links his defence of Caelius to the Clodia, implying that what she has done is dramatically worse than anything that Caelius has done, and in doing so is preparing the Jury to accept his arguments against her</w:t>
      </w:r>
      <w:r w:rsidR="00C928B4">
        <w:t>.</w:t>
      </w:r>
      <w:r w:rsidR="00C928B4">
        <w:br/>
        <w:t xml:space="preserve">To attack her, Cicero accuses her of </w:t>
      </w:r>
      <w:r w:rsidR="00B34116">
        <w:t xml:space="preserve">spending time in </w:t>
      </w:r>
      <w:r w:rsidR="00B34116" w:rsidRPr="00B34116">
        <w:t>Baiae</w:t>
      </w:r>
      <w:r w:rsidR="00B34116">
        <w:t xml:space="preserve"> </w:t>
      </w:r>
      <w:r w:rsidR="00F97416">
        <w:t>for immoral reasons.</w:t>
      </w:r>
      <w:r w:rsidR="00225D43">
        <w:t xml:space="preserve"> In particular he says that she doesn’t hide her immorality, but instead “</w:t>
      </w:r>
      <w:r w:rsidR="00225D43">
        <w:t>openly revels in the</w:t>
      </w:r>
      <w:r w:rsidR="00225D43">
        <w:t xml:space="preserve"> </w:t>
      </w:r>
      <w:r w:rsidR="00225D43">
        <w:t>most disgusting practices amid crowds of onlookers and in</w:t>
      </w:r>
      <w:r w:rsidR="00225D43">
        <w:t xml:space="preserve"> </w:t>
      </w:r>
      <w:r w:rsidR="00225D43">
        <w:t>the broadest light of day!</w:t>
      </w:r>
      <w:r w:rsidR="00225D43">
        <w:t>”</w:t>
      </w:r>
      <w:r w:rsidR="009C13D6">
        <w:rPr>
          <w:rStyle w:val="FootnoteReference"/>
        </w:rPr>
        <w:footnoteReference w:id="4"/>
      </w:r>
      <w:r w:rsidR="00733BF6">
        <w:t xml:space="preserve">. </w:t>
      </w:r>
      <w:r w:rsidR="00AE351F">
        <w:t>Skinner (1983) says that “</w:t>
      </w:r>
      <w:r w:rsidR="00AE351F">
        <w:t>he links luxurious garden</w:t>
      </w:r>
      <w:r w:rsidR="00AE351F">
        <w:t>s and visits to Baiae with shameless debauchery”</w:t>
      </w:r>
      <w:r w:rsidR="00AE351F">
        <w:rPr>
          <w:rStyle w:val="FootnoteReference"/>
        </w:rPr>
        <w:footnoteReference w:id="5"/>
      </w:r>
      <w:r w:rsidR="00AE351F">
        <w:t xml:space="preserve">, which well sums up the strategy of Cicero in this regard. His overall strategy is to </w:t>
      </w:r>
      <w:r w:rsidR="00722EC3">
        <w:t>depict “Clodia’s activities as a hostess into proof of open prostitution”</w:t>
      </w:r>
      <w:r w:rsidR="00722EC3">
        <w:rPr>
          <w:rStyle w:val="FootnoteReference"/>
        </w:rPr>
        <w:footnoteReference w:id="6"/>
      </w:r>
      <w:r w:rsidR="00722EC3">
        <w:t xml:space="preserve">, </w:t>
      </w:r>
      <w:r w:rsidR="008978EA">
        <w:t>a strategy that is made to nullify what power she has as a Roman matrona. While her actions would likely not be atypical of a person</w:t>
      </w:r>
      <w:r w:rsidR="009C13D6">
        <w:t xml:space="preserve"> of such </w:t>
      </w:r>
      <w:r w:rsidR="00FA1F69">
        <w:t xml:space="preserve">status and position, </w:t>
      </w:r>
      <w:r w:rsidR="00497B8D">
        <w:t>Cicero twists it against her</w:t>
      </w:r>
      <w:r w:rsidR="006213AB">
        <w:t>.</w:t>
      </w:r>
      <w:r w:rsidR="00CD2795">
        <w:br/>
      </w:r>
      <w:r w:rsidR="00524D13">
        <w:t xml:space="preserve">Cicero claims </w:t>
      </w:r>
      <w:r w:rsidR="00524D13">
        <w:t>that</w:t>
      </w:r>
      <w:r w:rsidR="00524D13">
        <w:t xml:space="preserve"> her reasons for interacting with him </w:t>
      </w:r>
      <w:r w:rsidR="00524D13">
        <w:t>were</w:t>
      </w:r>
      <w:r w:rsidR="00524D13">
        <w:t>: “You happened to notice a boy who lives nearby. You were attracted by his fair complexion, his tall figure, his face, his eyes. You wanted to see him more often.”</w:t>
      </w:r>
      <w:r w:rsidR="00524D13">
        <w:rPr>
          <w:rStyle w:val="FootnoteReference"/>
        </w:rPr>
        <w:footnoteReference w:id="7"/>
      </w:r>
      <w:r w:rsidR="009A1B3E">
        <w:t>. He then claims that she “</w:t>
      </w:r>
      <w:r w:rsidR="009A1B3E">
        <w:t xml:space="preserve">sometimes </w:t>
      </w:r>
      <w:r w:rsidR="009A1B3E">
        <w:lastRenderedPageBreak/>
        <w:t>spent some time with him in the same</w:t>
      </w:r>
      <w:r w:rsidR="009A1B3E">
        <w:t xml:space="preserve"> </w:t>
      </w:r>
      <w:r w:rsidR="009A1B3E">
        <w:t>pleasure-gardens.</w:t>
      </w:r>
      <w:r w:rsidR="009A1B3E">
        <w:t>”</w:t>
      </w:r>
      <w:r w:rsidR="009A1B3E">
        <w:rPr>
          <w:rStyle w:val="FootnoteReference"/>
        </w:rPr>
        <w:footnoteReference w:id="8"/>
      </w:r>
      <w:r w:rsidR="009A1B3E">
        <w:t xml:space="preserve"> This implies </w:t>
      </w:r>
      <w:r w:rsidR="00524DE0">
        <w:t>that Clodia’s</w:t>
      </w:r>
      <w:r w:rsidR="00504F3F">
        <w:t xml:space="preserve"> reasons for assisting Caelius were not of good or just reasons, but came from immoral sexual desir</w:t>
      </w:r>
      <w:r w:rsidR="00C07FCB">
        <w:t>e for Caelius.</w:t>
      </w:r>
      <w:r w:rsidR="00A35E98">
        <w:t xml:space="preserve"> Cicero is also careful to </w:t>
      </w:r>
      <w:r w:rsidR="00C21DB9">
        <w:t>make out Caelius as a mostly innocent young man who has made a number of mistakes</w:t>
      </w:r>
      <w:r w:rsidR="00984B47">
        <w:t xml:space="preserve">, best shown when Cicero says </w:t>
      </w:r>
      <w:r w:rsidR="00845C7C">
        <w:t xml:space="preserve">that he is </w:t>
      </w:r>
      <w:r w:rsidR="00984B47">
        <w:t>“</w:t>
      </w:r>
      <w:r w:rsidR="00845C7C">
        <w:t>confident, gentlemen, that I shall be able to defend</w:t>
      </w:r>
      <w:r w:rsidR="00845C7C">
        <w:t xml:space="preserve"> </w:t>
      </w:r>
      <w:r w:rsidR="00845C7C">
        <w:t>Marcus Caelius' private life before even the strictest judges.</w:t>
      </w:r>
      <w:r w:rsidR="00845C7C">
        <w:t>”</w:t>
      </w:r>
      <w:r w:rsidR="00817A55">
        <w:rPr>
          <w:rStyle w:val="FootnoteReference"/>
        </w:rPr>
        <w:footnoteReference w:id="9"/>
      </w:r>
      <w:r w:rsidR="003079A9">
        <w:t>, but that the same could not be said for Clodia, who he then accuses of a number of immoralities.</w:t>
      </w:r>
    </w:p>
    <w:p w14:paraId="0C9E4ABE" w14:textId="2F637FE6" w:rsidR="00B05A2D" w:rsidRPr="00C86C9E" w:rsidRDefault="00CE7FAE" w:rsidP="0028747F">
      <w:pPr>
        <w:rPr>
          <w:b/>
          <w:bCs/>
        </w:rPr>
      </w:pPr>
      <w:r>
        <w:t xml:space="preserve">The prosecutors would have had to defend against these accusations if they wished to continue using </w:t>
      </w:r>
      <w:r w:rsidR="00D02ECE">
        <w:t xml:space="preserve">Clodia’s testimony, as such it can be speculated what their </w:t>
      </w:r>
      <w:r w:rsidR="00C404A3">
        <w:t>response could have been.</w:t>
      </w:r>
      <w:r w:rsidR="009E2356">
        <w:br/>
        <w:t xml:space="preserve">One possible response to </w:t>
      </w:r>
      <w:r w:rsidR="006F2FCA">
        <w:t>Cicero’s attacks on Clodia</w:t>
      </w:r>
      <w:r w:rsidR="00EB1B74">
        <w:t>’s sexual habits and perceived immorality</w:t>
      </w:r>
      <w:r w:rsidR="006F2FCA">
        <w:t xml:space="preserve"> is that </w:t>
      </w:r>
      <w:r w:rsidR="00EB1B74">
        <w:t xml:space="preserve">few of the actions that Cicero actually accuses Clodia of are directly Immoral, and simply rely on context to imply that the </w:t>
      </w:r>
      <w:r w:rsidR="00014515">
        <w:t>actions she took were immoral.</w:t>
      </w:r>
      <w:r w:rsidR="009D2C46">
        <w:t xml:space="preserve"> One such </w:t>
      </w:r>
      <w:r w:rsidR="00C86C9E">
        <w:t>action</w:t>
      </w:r>
      <w:r w:rsidR="009D2C46">
        <w:t xml:space="preserve"> would be </w:t>
      </w:r>
      <w:r w:rsidR="00C86C9E">
        <w:t xml:space="preserve">her time spent in </w:t>
      </w:r>
      <w:r w:rsidR="00C86C9E" w:rsidRPr="004B11C0">
        <w:t>Baiae</w:t>
      </w:r>
      <w:r w:rsidR="00C86C9E">
        <w:t xml:space="preserve">. </w:t>
      </w:r>
      <w:r w:rsidR="00B15957">
        <w:t>It</w:t>
      </w:r>
      <w:r w:rsidR="00C86C9E">
        <w:t xml:space="preserve"> would </w:t>
      </w:r>
      <w:r w:rsidR="00B15957">
        <w:t xml:space="preserve">not </w:t>
      </w:r>
      <w:r w:rsidR="00C86C9E">
        <w:t>be</w:t>
      </w:r>
      <w:r w:rsidR="00B15957">
        <w:t xml:space="preserve"> totally</w:t>
      </w:r>
      <w:r w:rsidR="00C86C9E">
        <w:t xml:space="preserve"> unusual for an upper class Roman to go to </w:t>
      </w:r>
      <w:r w:rsidR="00C86C9E" w:rsidRPr="004B11C0">
        <w:t>Baiae</w:t>
      </w:r>
      <w:r w:rsidR="00C86C9E">
        <w:t xml:space="preserve">, </w:t>
      </w:r>
      <w:r w:rsidR="00030080">
        <w:t xml:space="preserve">as </w:t>
      </w:r>
      <w:r w:rsidR="00030080" w:rsidRPr="00030080">
        <w:t>T. A. Dorey</w:t>
      </w:r>
      <w:r w:rsidR="00030080">
        <w:t xml:space="preserve"> notes, </w:t>
      </w:r>
      <w:r w:rsidR="00B15957">
        <w:t>Cicero himself had been there</w:t>
      </w:r>
      <w:r w:rsidR="009E4112">
        <w:rPr>
          <w:rStyle w:val="FootnoteReference"/>
        </w:rPr>
        <w:footnoteReference w:id="10"/>
      </w:r>
      <w:r w:rsidR="000A56AF">
        <w:t xml:space="preserve">, </w:t>
      </w:r>
      <w:r w:rsidR="00C9221E">
        <w:t>as such a viable defence would be (if this was known) to point out that Cicero had been to such places, and that as such surely he would not be willing to accuse himself of such immorality.</w:t>
      </w:r>
      <w:r w:rsidR="00524DE0">
        <w:br/>
        <w:t xml:space="preserve">In regards to the Accusation of immoral desire for Caelius, </w:t>
      </w:r>
      <w:r w:rsidR="00A35E98">
        <w:t xml:space="preserve">several points could be made, but they would likely focus on the fact that there is not real reason </w:t>
      </w:r>
    </w:p>
    <w:p w14:paraId="11EB5D80" w14:textId="271D6552" w:rsidR="00CD2795" w:rsidRDefault="003E5D86" w:rsidP="009310B3">
      <w:r>
        <w:t xml:space="preserve">Another method that </w:t>
      </w:r>
      <w:r w:rsidR="00CA4CA0">
        <w:t xml:space="preserve">Cicero uses to </w:t>
      </w:r>
      <w:r w:rsidR="005D0FEF">
        <w:t xml:space="preserve">attack </w:t>
      </w:r>
      <w:r w:rsidR="006A1EB7">
        <w:t xml:space="preserve">Clodia is </w:t>
      </w:r>
      <w:r w:rsidR="00E4510C">
        <w:t xml:space="preserve">accusing her of manipulation, particularly of </w:t>
      </w:r>
      <w:r w:rsidR="0094795D">
        <w:t>Caelius</w:t>
      </w:r>
      <w:r w:rsidR="00B01D4A">
        <w:t xml:space="preserve">, as </w:t>
      </w:r>
      <w:r w:rsidR="0086286C">
        <w:t xml:space="preserve">Skinner says, “Sets her up </w:t>
      </w:r>
      <w:r w:rsidR="0086286C" w:rsidRPr="0086286C">
        <w:t>as the imperatrix of a t</w:t>
      </w:r>
      <w:r w:rsidR="0086286C">
        <w:t>roop of languid dinner-party habitues”.</w:t>
      </w:r>
      <w:r w:rsidR="0086286C">
        <w:rPr>
          <w:rStyle w:val="FootnoteReference"/>
        </w:rPr>
        <w:footnoteReference w:id="11"/>
      </w:r>
      <w:r w:rsidR="00412331">
        <w:br/>
      </w:r>
      <w:r w:rsidR="005C1DE1">
        <w:t>Cicero makes</w:t>
      </w:r>
      <w:r w:rsidR="00704F99">
        <w:t xml:space="preserve"> an attack on her aiming at her relationship with Caelius, saying:</w:t>
      </w:r>
      <w:r w:rsidR="005C1DE1">
        <w:t xml:space="preserve"> </w:t>
      </w:r>
      <w:r w:rsidR="00704F99">
        <w:t>“</w:t>
      </w:r>
      <w:r w:rsidR="00704F99">
        <w:t>What</w:t>
      </w:r>
      <w:r w:rsidR="00704F99">
        <w:t xml:space="preserve"> </w:t>
      </w:r>
      <w:r w:rsidR="00704F99">
        <w:t>do you think you are doing with Caelius, with a man much younger than yourself, with someone</w:t>
      </w:r>
      <w:r w:rsidR="00704F99">
        <w:t xml:space="preserve"> </w:t>
      </w:r>
      <w:r w:rsidR="00704F99">
        <w:t>from outside your own family? Why have you been either such a friend to him that you lent him</w:t>
      </w:r>
      <w:r w:rsidR="00704F99">
        <w:t xml:space="preserve"> </w:t>
      </w:r>
      <w:r w:rsidR="00704F99">
        <w:t>gold or such an enemy that you were afraid of poison?</w:t>
      </w:r>
      <w:r w:rsidR="00704F99">
        <w:t>”.</w:t>
      </w:r>
      <w:r w:rsidR="00524DE0">
        <w:rPr>
          <w:rStyle w:val="FootnoteReference"/>
        </w:rPr>
        <w:footnoteReference w:id="12"/>
      </w:r>
      <w:r w:rsidR="00704F99">
        <w:t xml:space="preserve"> This is clearly aimed to insinuate that there is no legitimate reason that Clodia would be associated with</w:t>
      </w:r>
      <w:r w:rsidR="00900F55">
        <w:t xml:space="preserve"> Caelius.</w:t>
      </w:r>
      <w:r w:rsidR="002F6DA0">
        <w:br/>
        <w:t xml:space="preserve">In paragraph 68, </w:t>
      </w:r>
      <w:r w:rsidR="009B218E">
        <w:t>Clodia is accused by Cicero of having a number of her slaves be freed. Cicero claims that this is because “</w:t>
      </w:r>
      <w:r w:rsidR="009B218E" w:rsidRPr="009B218E">
        <w:t>the prosecution wished to prevent the slaves being</w:t>
      </w:r>
      <w:r w:rsidR="009B218E">
        <w:t xml:space="preserve"> </w:t>
      </w:r>
      <w:r w:rsidR="009B218E" w:rsidRPr="009B218E">
        <w:t>interrogated</w:t>
      </w:r>
      <w:r w:rsidR="009B218E">
        <w:t>”</w:t>
      </w:r>
      <w:r w:rsidR="009310B3">
        <w:t>.</w:t>
      </w:r>
      <w:r w:rsidR="00524DE0">
        <w:rPr>
          <w:rStyle w:val="FootnoteReference"/>
        </w:rPr>
        <w:footnoteReference w:id="13"/>
      </w:r>
      <w:r w:rsidR="00C76186">
        <w:t xml:space="preserve"> </w:t>
      </w:r>
      <w:r w:rsidR="009310B3">
        <w:t>In</w:t>
      </w:r>
      <w:r w:rsidR="00C76186">
        <w:t xml:space="preserve"> doing so</w:t>
      </w:r>
      <w:r w:rsidR="009310B3">
        <w:t xml:space="preserve"> he</w:t>
      </w:r>
      <w:r w:rsidR="00C76186">
        <w:t xml:space="preserve"> once again implies that Clodia is taking action above her station, particularly through</w:t>
      </w:r>
      <w:r w:rsidR="009310B3">
        <w:t xml:space="preserve"> abusing her familial connections, saying </w:t>
      </w:r>
      <w:r w:rsidR="00806A05">
        <w:t>t</w:t>
      </w:r>
      <w:r w:rsidR="009310B3">
        <w:t>hat</w:t>
      </w:r>
      <w:r w:rsidR="00C76186">
        <w:t xml:space="preserve"> </w:t>
      </w:r>
      <w:r w:rsidR="009310B3">
        <w:t>“</w:t>
      </w:r>
      <w:r w:rsidR="009310B3">
        <w:t xml:space="preserve">the woman's </w:t>
      </w:r>
      <w:r w:rsidR="00806A05">
        <w:t xml:space="preserve">(Clodia’s) </w:t>
      </w:r>
      <w:r w:rsidR="009310B3">
        <w:t>relations,</w:t>
      </w:r>
      <w:r w:rsidR="009310B3">
        <w:t xml:space="preserve"> </w:t>
      </w:r>
      <w:r w:rsidR="009310B3">
        <w:t>illustrious men of the very highest rank.</w:t>
      </w:r>
      <w:r w:rsidR="009310B3">
        <w:t>”</w:t>
      </w:r>
      <w:r w:rsidR="00524DE0">
        <w:rPr>
          <w:rStyle w:val="FootnoteReference"/>
        </w:rPr>
        <w:footnoteReference w:id="14"/>
      </w:r>
      <w:r w:rsidR="00806A05">
        <w:t xml:space="preserve"> Had enables the freeing </w:t>
      </w:r>
      <w:r w:rsidR="00806A05">
        <w:lastRenderedPageBreak/>
        <w:t>of the slaves.</w:t>
      </w:r>
      <w:r w:rsidR="000B17F9">
        <w:t xml:space="preserve"> This accusation is intended not only to make Clodia look guilty</w:t>
      </w:r>
      <w:r w:rsidR="00B83889">
        <w:t xml:space="preserve"> of</w:t>
      </w:r>
      <w:r w:rsidR="007D7698">
        <w:t xml:space="preserve"> interfering with the court proceedings</w:t>
      </w:r>
      <w:r w:rsidR="000B17F9">
        <w:t>, but</w:t>
      </w:r>
      <w:r w:rsidR="007D7698">
        <w:t xml:space="preserve"> also</w:t>
      </w:r>
      <w:r w:rsidR="000B17F9">
        <w:t xml:space="preserve"> to emphasise her</w:t>
      </w:r>
      <w:r w:rsidR="00B83889">
        <w:t xml:space="preserve"> supposed</w:t>
      </w:r>
      <w:r w:rsidR="000B17F9">
        <w:t xml:space="preserve"> manipulation</w:t>
      </w:r>
      <w:r w:rsidR="00B83889">
        <w:t xml:space="preserve"> her family</w:t>
      </w:r>
      <w:r w:rsidR="007D7698">
        <w:t xml:space="preserve"> and Caelius</w:t>
      </w:r>
      <w:r w:rsidR="00EC69CC">
        <w:t xml:space="preserve">, a point which is echoed throughout the speech, particularly her </w:t>
      </w:r>
      <w:r w:rsidR="001704B5">
        <w:t>power over Caelius.</w:t>
      </w:r>
    </w:p>
    <w:p w14:paraId="60C25DEA" w14:textId="78477D6D" w:rsidR="00520723" w:rsidRDefault="00520723" w:rsidP="00704F99">
      <w:r>
        <w:t xml:space="preserve">In defence of these attacks, the </w:t>
      </w:r>
      <w:r w:rsidR="003609CF">
        <w:t>prosecutors</w:t>
      </w:r>
      <w:r>
        <w:t xml:space="preserve"> would obviously need a response.</w:t>
      </w:r>
      <w:r w:rsidR="008A4515">
        <w:t xml:space="preserve"> A</w:t>
      </w:r>
      <w:r w:rsidR="00143981">
        <w:t xml:space="preserve"> possible response to the</w:t>
      </w:r>
      <w:r w:rsidR="00C9221E">
        <w:t xml:space="preserve"> attacks that he makes would be to justify her actions, given that they were far from out of the ordinary. For example, the payment to Caelius may have been a simple business transaction, as makes just as much if not more sense than Cicero’s attacks.</w:t>
      </w:r>
      <w:r w:rsidR="00CF497E">
        <w:br/>
        <w:t>In relation to the accusation of freeing slaves, once again, while somewhat unusual and inconveniently timed, this is not hard evidence of any wrongdoing, and is once again within her purview as a woman of the Roman elite</w:t>
      </w:r>
      <w:r w:rsidR="00BC6561">
        <w:t>, something that Cicero continues to attempt to twist against her.</w:t>
      </w:r>
    </w:p>
    <w:p w14:paraId="04A0D55E" w14:textId="5F14D3CA" w:rsidR="006E78BD" w:rsidRDefault="00145FFB" w:rsidP="009D5C58">
      <w:r>
        <w:t xml:space="preserve">In conclusion, Cicero’s Arguments </w:t>
      </w:r>
      <w:r w:rsidR="00FB2803">
        <w:t xml:space="preserve">are generally </w:t>
      </w:r>
      <w:r w:rsidR="00DF11E9">
        <w:t xml:space="preserve">quite widely </w:t>
      </w:r>
      <w:r w:rsidR="00FB2803">
        <w:t>flawed and based on little more than rumour</w:t>
      </w:r>
      <w:r w:rsidR="003C1AC5">
        <w:t xml:space="preserve"> and hypocritical assumption</w:t>
      </w:r>
      <w:r w:rsidR="00FB2803">
        <w:t xml:space="preserve">, but </w:t>
      </w:r>
      <w:r w:rsidR="00236CE9">
        <w:t xml:space="preserve">were clearly designed to be convincing to a Roman senatorial </w:t>
      </w:r>
      <w:r w:rsidR="00FE3CA7">
        <w:t>j</w:t>
      </w:r>
      <w:r w:rsidR="00F82406">
        <w:t>ury</w:t>
      </w:r>
      <w:r w:rsidR="00393D56">
        <w:t xml:space="preserve"> through invoking anxieties and values that would</w:t>
      </w:r>
      <w:r w:rsidR="005664B9">
        <w:t xml:space="preserve"> likely</w:t>
      </w:r>
      <w:r w:rsidR="00393D56">
        <w:t xml:space="preserve"> hold some </w:t>
      </w:r>
      <w:r w:rsidR="005664B9">
        <w:t>sway</w:t>
      </w:r>
      <w:r w:rsidR="00393D56">
        <w:t xml:space="preserve"> with them</w:t>
      </w:r>
      <w:r w:rsidR="00755041">
        <w:t>, and as such</w:t>
      </w:r>
      <w:r w:rsidR="00526665">
        <w:t xml:space="preserve"> </w:t>
      </w:r>
      <w:r w:rsidR="00276A82">
        <w:t xml:space="preserve">the arguments </w:t>
      </w:r>
      <w:r w:rsidR="00526665">
        <w:t>could</w:t>
      </w:r>
      <w:r w:rsidR="00755041">
        <w:t xml:space="preserve"> easily serve their purpose.</w:t>
      </w:r>
    </w:p>
    <w:p w14:paraId="3D6DE969" w14:textId="77777777" w:rsidR="009C13D6" w:rsidRDefault="009C13D6" w:rsidP="009D5C58"/>
    <w:p w14:paraId="3607C746" w14:textId="2B0EA728" w:rsidR="006E78BD" w:rsidRDefault="006E78BD" w:rsidP="009D5C58">
      <w:r>
        <w:t>Bibliography:</w:t>
      </w:r>
    </w:p>
    <w:p w14:paraId="7B3A2EE9" w14:textId="27DCCC7B" w:rsidR="006E78BD" w:rsidRDefault="006E78BD" w:rsidP="006E78BD">
      <w:r w:rsidRPr="006E78BD">
        <w:t xml:space="preserve">Skinner, Marilyn B. “Clodia Metelli.” </w:t>
      </w:r>
      <w:r w:rsidRPr="006E78BD">
        <w:rPr>
          <w:i/>
          <w:iCs/>
        </w:rPr>
        <w:t>Transactions of the American Philological Association (1974-)</w:t>
      </w:r>
      <w:r w:rsidRPr="006E78BD">
        <w:t xml:space="preserve">, vol. 113, 1983, pp. 273–87. </w:t>
      </w:r>
      <w:r w:rsidRPr="006E78BD">
        <w:rPr>
          <w:i/>
          <w:iCs/>
        </w:rPr>
        <w:t>JSTOR</w:t>
      </w:r>
      <w:r w:rsidRPr="006E78BD">
        <w:t xml:space="preserve">, </w:t>
      </w:r>
      <w:hyperlink r:id="rId7" w:history="1">
        <w:r w:rsidR="00AE351F" w:rsidRPr="006E78BD">
          <w:rPr>
            <w:rStyle w:val="Hyperlink"/>
          </w:rPr>
          <w:t>https://doi.org/10.2307/284015. Accessed 8 Feb. 2025</w:t>
        </w:r>
      </w:hyperlink>
      <w:r w:rsidRPr="006E78BD">
        <w:t>.</w:t>
      </w:r>
    </w:p>
    <w:p w14:paraId="761A61D1" w14:textId="7A08AE9F" w:rsidR="006E78BD" w:rsidRDefault="0099507B" w:rsidP="009D5C58">
      <w:r w:rsidRPr="0099507B">
        <w:t>Crownover, Emma. “The Clash between Clodia and Cicero.” The Classical Journal, vol. 30, no. 3, 1934, pp. 137–47. JSTOR, http://www.jstor.org/stable/3289889. Accessed 8 Feb. 2025.</w:t>
      </w:r>
    </w:p>
    <w:p w14:paraId="797322C0" w14:textId="7AD583CF" w:rsidR="0099507B" w:rsidRDefault="0099507B" w:rsidP="009D5C58">
      <w:r w:rsidRPr="0099507B">
        <w:t xml:space="preserve">Berry, D. Defence Speeches (OUP, 2008; 2017 online): </w:t>
      </w:r>
      <w:r w:rsidRPr="0099507B">
        <w:rPr>
          <w:i/>
          <w:iCs/>
        </w:rPr>
        <w:t>Pro Caelio</w:t>
      </w:r>
      <w:r w:rsidRPr="0099507B">
        <w:t xml:space="preserve"> Translation</w:t>
      </w:r>
    </w:p>
    <w:p w14:paraId="520C7BFD" w14:textId="236E3CED" w:rsidR="006E4C6C" w:rsidRDefault="006E4C6C" w:rsidP="009D5C58">
      <w:r w:rsidRPr="006E4C6C">
        <w:t>Dorey, T. A. “Cicero, Clodia, and the ‘Pro Caelio.’” Greece &amp; Rome, vol. 5, no. 2, 1958, pp. 175–80. JSTOR, http://www.jstor.org/stable/640934. Accessed 8 Feb. 2025.</w:t>
      </w:r>
    </w:p>
    <w:p w14:paraId="39E3AF5F" w14:textId="77777777" w:rsidR="00387AEB" w:rsidRPr="00387AEB" w:rsidRDefault="00387AEB" w:rsidP="00387AEB">
      <w:r w:rsidRPr="00387AEB">
        <w:t xml:space="preserve">Leen, Anne. “Clodia Oppugnatrix: The Domus Motif in Cicero’s ‘Pro Caelio.’” </w:t>
      </w:r>
      <w:r w:rsidRPr="00387AEB">
        <w:rPr>
          <w:i/>
          <w:iCs/>
        </w:rPr>
        <w:t>The Classical Journal</w:t>
      </w:r>
      <w:r w:rsidRPr="00387AEB">
        <w:t xml:space="preserve">, vol. 96, no. 2, 2000, pp. 141–62. </w:t>
      </w:r>
      <w:r w:rsidRPr="00387AEB">
        <w:rPr>
          <w:i/>
          <w:iCs/>
        </w:rPr>
        <w:t>JSTOR</w:t>
      </w:r>
      <w:r w:rsidRPr="00387AEB">
        <w:t>, http://www.jstor.org/stable/3298121. Accessed 8 Feb. 2025.</w:t>
      </w:r>
    </w:p>
    <w:p w14:paraId="0CAF57E5" w14:textId="59A8F9B2" w:rsidR="00387AEB" w:rsidRPr="009D5C58" w:rsidRDefault="00464173" w:rsidP="009D5C58">
      <w:r w:rsidRPr="00464173">
        <w:t>Salzman, Michele Renee. “Cicero, the Megalenses and the Defense of Caelius.” The American Journal of Philology, vol. 103, no. 3, 1982, pp. 299–304. JSTOR, https://doi.org/10.2307/294473. Accessed 8 Feb. 2025.</w:t>
      </w:r>
    </w:p>
    <w:sectPr w:rsidR="00387AEB" w:rsidRPr="009D5C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D14CA" w14:textId="77777777" w:rsidR="00CE2A63" w:rsidRDefault="00CE2A63" w:rsidP="00AE351F">
      <w:pPr>
        <w:spacing w:after="0" w:line="240" w:lineRule="auto"/>
      </w:pPr>
      <w:r>
        <w:separator/>
      </w:r>
    </w:p>
  </w:endnote>
  <w:endnote w:type="continuationSeparator" w:id="0">
    <w:p w14:paraId="4F10D817" w14:textId="77777777" w:rsidR="00CE2A63" w:rsidRDefault="00CE2A63" w:rsidP="00AE3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8C232" w14:textId="77777777" w:rsidR="00CE2A63" w:rsidRDefault="00CE2A63" w:rsidP="00AE351F">
      <w:pPr>
        <w:spacing w:after="0" w:line="240" w:lineRule="auto"/>
      </w:pPr>
      <w:r>
        <w:separator/>
      </w:r>
    </w:p>
  </w:footnote>
  <w:footnote w:type="continuationSeparator" w:id="0">
    <w:p w14:paraId="716C34A4" w14:textId="77777777" w:rsidR="00CE2A63" w:rsidRDefault="00CE2A63" w:rsidP="00AE351F">
      <w:pPr>
        <w:spacing w:after="0" w:line="240" w:lineRule="auto"/>
      </w:pPr>
      <w:r>
        <w:continuationSeparator/>
      </w:r>
    </w:p>
  </w:footnote>
  <w:footnote w:id="1">
    <w:p w14:paraId="42ECC753" w14:textId="67B35328" w:rsidR="009C13D6" w:rsidRDefault="009C13D6">
      <w:pPr>
        <w:pStyle w:val="FootnoteText"/>
      </w:pPr>
      <w:r>
        <w:rPr>
          <w:rStyle w:val="FootnoteReference"/>
        </w:rPr>
        <w:footnoteRef/>
      </w:r>
      <w:r>
        <w:t xml:space="preserve"> </w:t>
      </w:r>
      <w:r w:rsidRPr="009C13D6">
        <w:t>Berry, D. Defence Speeches (OUP, 2008; 2017 online): Pro Caelio Translation</w:t>
      </w:r>
    </w:p>
  </w:footnote>
  <w:footnote w:id="2">
    <w:p w14:paraId="7CC2D267" w14:textId="061AD39C" w:rsidR="009C13D6" w:rsidRDefault="009C13D6">
      <w:pPr>
        <w:pStyle w:val="FootnoteText"/>
      </w:pPr>
      <w:r>
        <w:rPr>
          <w:rStyle w:val="FootnoteReference"/>
        </w:rPr>
        <w:footnoteRef/>
      </w:r>
      <w:r>
        <w:t xml:space="preserve"> </w:t>
      </w:r>
      <w:r w:rsidRPr="009C13D6">
        <w:t>Berry, D. Defence Speeches (OUP, 2008; 2017 online): Pro Caelio Translation</w:t>
      </w:r>
    </w:p>
  </w:footnote>
  <w:footnote w:id="3">
    <w:p w14:paraId="5A079AF0" w14:textId="66A9496D" w:rsidR="009C13D6" w:rsidRDefault="009C13D6">
      <w:pPr>
        <w:pStyle w:val="FootnoteText"/>
      </w:pPr>
      <w:r>
        <w:rPr>
          <w:rStyle w:val="FootnoteReference"/>
        </w:rPr>
        <w:footnoteRef/>
      </w:r>
      <w:r>
        <w:t xml:space="preserve"> </w:t>
      </w:r>
      <w:r w:rsidRPr="009C13D6">
        <w:t>Berry, D. Defence Speeches (OUP, 2008; 2017 online): Pro Caelio Translation</w:t>
      </w:r>
    </w:p>
  </w:footnote>
  <w:footnote w:id="4">
    <w:p w14:paraId="586C883E" w14:textId="0D50462A" w:rsidR="009C13D6" w:rsidRDefault="009C13D6">
      <w:pPr>
        <w:pStyle w:val="FootnoteText"/>
      </w:pPr>
      <w:r>
        <w:rPr>
          <w:rStyle w:val="FootnoteReference"/>
        </w:rPr>
        <w:footnoteRef/>
      </w:r>
      <w:r>
        <w:t xml:space="preserve"> </w:t>
      </w:r>
      <w:r w:rsidRPr="009C13D6">
        <w:t>Berry, D. Defence Speeches (OUP, 2008; 2017 online): Pro Caelio Translation</w:t>
      </w:r>
    </w:p>
  </w:footnote>
  <w:footnote w:id="5">
    <w:p w14:paraId="24E83979" w14:textId="065B30E0" w:rsidR="00AE351F" w:rsidRDefault="00AE351F">
      <w:pPr>
        <w:pStyle w:val="FootnoteText"/>
      </w:pPr>
      <w:r>
        <w:rPr>
          <w:rStyle w:val="FootnoteReference"/>
        </w:rPr>
        <w:footnoteRef/>
      </w:r>
      <w:r>
        <w:t xml:space="preserve"> </w:t>
      </w:r>
      <w:r w:rsidRPr="006E78BD">
        <w:t xml:space="preserve">Skinner, Marilyn B. </w:t>
      </w:r>
      <w:r>
        <w:t xml:space="preserve"> </w:t>
      </w:r>
      <w:r w:rsidRPr="006E78BD">
        <w:t>“Clodia Metelli.”</w:t>
      </w:r>
      <w:r>
        <w:t>, 1983</w:t>
      </w:r>
    </w:p>
  </w:footnote>
  <w:footnote w:id="6">
    <w:p w14:paraId="0E43B373" w14:textId="39EDA4EA" w:rsidR="00722EC3" w:rsidRDefault="00722EC3">
      <w:pPr>
        <w:pStyle w:val="FootnoteText"/>
      </w:pPr>
      <w:r>
        <w:rPr>
          <w:rStyle w:val="FootnoteReference"/>
        </w:rPr>
        <w:footnoteRef/>
      </w:r>
      <w:r>
        <w:t xml:space="preserve"> </w:t>
      </w:r>
      <w:r w:rsidRPr="006E78BD">
        <w:t xml:space="preserve">Skinner, Marilyn B. </w:t>
      </w:r>
      <w:r>
        <w:t xml:space="preserve"> </w:t>
      </w:r>
      <w:r w:rsidRPr="006E78BD">
        <w:t>“Clodia Metelli.”</w:t>
      </w:r>
      <w:r>
        <w:t>, 1983</w:t>
      </w:r>
    </w:p>
  </w:footnote>
  <w:footnote w:id="7">
    <w:p w14:paraId="65D3084B" w14:textId="77777777" w:rsidR="00524D13" w:rsidRDefault="00524D13" w:rsidP="00524D13">
      <w:pPr>
        <w:pStyle w:val="FootnoteText"/>
      </w:pPr>
      <w:r>
        <w:rPr>
          <w:rStyle w:val="FootnoteReference"/>
        </w:rPr>
        <w:footnoteRef/>
      </w:r>
      <w:r>
        <w:t xml:space="preserve"> </w:t>
      </w:r>
      <w:r w:rsidRPr="009C13D6">
        <w:t>Berry, D. Defence Speeches (OUP, 2008; 2017 online): Pro Caelio Translation</w:t>
      </w:r>
    </w:p>
  </w:footnote>
  <w:footnote w:id="8">
    <w:p w14:paraId="39BD873F" w14:textId="39B2E10F" w:rsidR="009A1B3E" w:rsidRDefault="009A1B3E">
      <w:pPr>
        <w:pStyle w:val="FootnoteText"/>
      </w:pPr>
      <w:r>
        <w:rPr>
          <w:rStyle w:val="FootnoteReference"/>
        </w:rPr>
        <w:footnoteRef/>
      </w:r>
      <w:r>
        <w:t xml:space="preserve"> </w:t>
      </w:r>
      <w:r w:rsidRPr="009C13D6">
        <w:t>Berry, D. Defence Speeches (OUP, 2008; 2017 online): Pro Caelio Translation</w:t>
      </w:r>
    </w:p>
  </w:footnote>
  <w:footnote w:id="9">
    <w:p w14:paraId="07AF06AA" w14:textId="1E219B01" w:rsidR="00817A55" w:rsidRDefault="00817A55">
      <w:pPr>
        <w:pStyle w:val="FootnoteText"/>
      </w:pPr>
      <w:r>
        <w:rPr>
          <w:rStyle w:val="FootnoteReference"/>
        </w:rPr>
        <w:footnoteRef/>
      </w:r>
      <w:r>
        <w:t xml:space="preserve"> </w:t>
      </w:r>
      <w:r w:rsidR="00DA1BD6" w:rsidRPr="009C13D6">
        <w:t>Berry, D. Defence Speeches (OUP, 2008; 2017 online): Pro Caelio Translation</w:t>
      </w:r>
    </w:p>
  </w:footnote>
  <w:footnote w:id="10">
    <w:p w14:paraId="2DF377F5" w14:textId="586D46DC" w:rsidR="009E4112" w:rsidRDefault="009E4112">
      <w:pPr>
        <w:pStyle w:val="FootnoteText"/>
      </w:pPr>
      <w:r>
        <w:rPr>
          <w:rStyle w:val="FootnoteReference"/>
        </w:rPr>
        <w:footnoteRef/>
      </w:r>
      <w:r>
        <w:t xml:space="preserve"> </w:t>
      </w:r>
      <w:r w:rsidRPr="006E4C6C">
        <w:t>Dorey, T. A. “Cicero, Clodia, and the ‘Pro Caelio.’”</w:t>
      </w:r>
      <w:r>
        <w:t>, 1958</w:t>
      </w:r>
    </w:p>
  </w:footnote>
  <w:footnote w:id="11">
    <w:p w14:paraId="0E963D62" w14:textId="7D21E003" w:rsidR="0086286C" w:rsidRDefault="0086286C">
      <w:pPr>
        <w:pStyle w:val="FootnoteText"/>
      </w:pPr>
      <w:r>
        <w:rPr>
          <w:rStyle w:val="FootnoteReference"/>
        </w:rPr>
        <w:footnoteRef/>
      </w:r>
      <w:r>
        <w:t xml:space="preserve"> </w:t>
      </w:r>
      <w:r w:rsidRPr="006E78BD">
        <w:t xml:space="preserve">Skinner, Marilyn B. </w:t>
      </w:r>
      <w:r>
        <w:t xml:space="preserve"> </w:t>
      </w:r>
      <w:r w:rsidRPr="006E78BD">
        <w:t>“Clodia Metelli.”</w:t>
      </w:r>
      <w:r>
        <w:t>, 1983</w:t>
      </w:r>
    </w:p>
  </w:footnote>
  <w:footnote w:id="12">
    <w:p w14:paraId="07470358" w14:textId="670432CA" w:rsidR="00524DE0" w:rsidRDefault="00524DE0">
      <w:pPr>
        <w:pStyle w:val="FootnoteText"/>
      </w:pPr>
      <w:r>
        <w:rPr>
          <w:rStyle w:val="FootnoteReference"/>
        </w:rPr>
        <w:footnoteRef/>
      </w:r>
      <w:r>
        <w:t xml:space="preserve"> </w:t>
      </w:r>
      <w:r w:rsidRPr="009C13D6">
        <w:t>Berry, D. Defence Speeches (OUP, 2008; 2017 online): Pro Caelio Translation</w:t>
      </w:r>
    </w:p>
  </w:footnote>
  <w:footnote w:id="13">
    <w:p w14:paraId="174A86BE" w14:textId="4AE4EBCA" w:rsidR="00524DE0" w:rsidRDefault="00524DE0">
      <w:pPr>
        <w:pStyle w:val="FootnoteText"/>
      </w:pPr>
      <w:r>
        <w:rPr>
          <w:rStyle w:val="FootnoteReference"/>
        </w:rPr>
        <w:footnoteRef/>
      </w:r>
      <w:r>
        <w:t xml:space="preserve"> </w:t>
      </w:r>
      <w:r w:rsidRPr="009C13D6">
        <w:t>Berry, D. Defence Speeches (OUP, 2008; 2017 online): Pro Caelio Translation</w:t>
      </w:r>
    </w:p>
  </w:footnote>
  <w:footnote w:id="14">
    <w:p w14:paraId="2DC4D0E2" w14:textId="28EE80AF" w:rsidR="00524DE0" w:rsidRDefault="00524DE0">
      <w:pPr>
        <w:pStyle w:val="FootnoteText"/>
      </w:pPr>
      <w:r>
        <w:rPr>
          <w:rStyle w:val="FootnoteReference"/>
        </w:rPr>
        <w:footnoteRef/>
      </w:r>
      <w:r>
        <w:t xml:space="preserve"> </w:t>
      </w:r>
      <w:r w:rsidRPr="009C13D6">
        <w:t>Berry, D. Defence Speeches (OUP, 2008; 2017 online): Pro Caelio Translation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47F"/>
    <w:rsid w:val="00014515"/>
    <w:rsid w:val="00030080"/>
    <w:rsid w:val="000A56AF"/>
    <w:rsid w:val="000B17F9"/>
    <w:rsid w:val="00117515"/>
    <w:rsid w:val="00143981"/>
    <w:rsid w:val="00145FFB"/>
    <w:rsid w:val="001704B5"/>
    <w:rsid w:val="00213176"/>
    <w:rsid w:val="00225D43"/>
    <w:rsid w:val="00232F68"/>
    <w:rsid w:val="00236CE9"/>
    <w:rsid w:val="00264C0B"/>
    <w:rsid w:val="00276A82"/>
    <w:rsid w:val="0028747F"/>
    <w:rsid w:val="002C7CFF"/>
    <w:rsid w:val="002F6DA0"/>
    <w:rsid w:val="003014B9"/>
    <w:rsid w:val="003079A9"/>
    <w:rsid w:val="00343965"/>
    <w:rsid w:val="003446F1"/>
    <w:rsid w:val="003609CF"/>
    <w:rsid w:val="00387AEB"/>
    <w:rsid w:val="00393D56"/>
    <w:rsid w:val="003C1AC5"/>
    <w:rsid w:val="003E5D86"/>
    <w:rsid w:val="003E7EA7"/>
    <w:rsid w:val="00412331"/>
    <w:rsid w:val="00464173"/>
    <w:rsid w:val="00497B8D"/>
    <w:rsid w:val="004B11C0"/>
    <w:rsid w:val="004C3F25"/>
    <w:rsid w:val="004F5EEB"/>
    <w:rsid w:val="00503FFA"/>
    <w:rsid w:val="00504F3F"/>
    <w:rsid w:val="00520723"/>
    <w:rsid w:val="00524D13"/>
    <w:rsid w:val="00524DE0"/>
    <w:rsid w:val="00526665"/>
    <w:rsid w:val="005664B9"/>
    <w:rsid w:val="005C1DE1"/>
    <w:rsid w:val="005D0FEF"/>
    <w:rsid w:val="006213AB"/>
    <w:rsid w:val="00691B54"/>
    <w:rsid w:val="006A1EB7"/>
    <w:rsid w:val="006B1F45"/>
    <w:rsid w:val="006E03FC"/>
    <w:rsid w:val="006E4C6C"/>
    <w:rsid w:val="006E78BD"/>
    <w:rsid w:val="006F2FCA"/>
    <w:rsid w:val="00704F99"/>
    <w:rsid w:val="00722EC3"/>
    <w:rsid w:val="00723915"/>
    <w:rsid w:val="007339D3"/>
    <w:rsid w:val="00733BF6"/>
    <w:rsid w:val="00735238"/>
    <w:rsid w:val="00755041"/>
    <w:rsid w:val="007D7698"/>
    <w:rsid w:val="00806A05"/>
    <w:rsid w:val="0081691B"/>
    <w:rsid w:val="00817A55"/>
    <w:rsid w:val="00832C8C"/>
    <w:rsid w:val="00845C7C"/>
    <w:rsid w:val="008505AD"/>
    <w:rsid w:val="0086286C"/>
    <w:rsid w:val="008978EA"/>
    <w:rsid w:val="008A4515"/>
    <w:rsid w:val="00900F55"/>
    <w:rsid w:val="0092378E"/>
    <w:rsid w:val="009310B3"/>
    <w:rsid w:val="0094795D"/>
    <w:rsid w:val="0095489C"/>
    <w:rsid w:val="00984B47"/>
    <w:rsid w:val="0099507B"/>
    <w:rsid w:val="009A1B3E"/>
    <w:rsid w:val="009B218E"/>
    <w:rsid w:val="009B7D5A"/>
    <w:rsid w:val="009C13D6"/>
    <w:rsid w:val="009D2C46"/>
    <w:rsid w:val="009D5C58"/>
    <w:rsid w:val="009E2356"/>
    <w:rsid w:val="009E4112"/>
    <w:rsid w:val="00A35E98"/>
    <w:rsid w:val="00AA6490"/>
    <w:rsid w:val="00AC1623"/>
    <w:rsid w:val="00AE351F"/>
    <w:rsid w:val="00AE4F06"/>
    <w:rsid w:val="00B01D4A"/>
    <w:rsid w:val="00B05A2D"/>
    <w:rsid w:val="00B15957"/>
    <w:rsid w:val="00B34116"/>
    <w:rsid w:val="00B83889"/>
    <w:rsid w:val="00BC6561"/>
    <w:rsid w:val="00C07C30"/>
    <w:rsid w:val="00C07D94"/>
    <w:rsid w:val="00C07FCB"/>
    <w:rsid w:val="00C21DB9"/>
    <w:rsid w:val="00C3624B"/>
    <w:rsid w:val="00C404A3"/>
    <w:rsid w:val="00C666ED"/>
    <w:rsid w:val="00C76186"/>
    <w:rsid w:val="00C86C9E"/>
    <w:rsid w:val="00C9221E"/>
    <w:rsid w:val="00C928B4"/>
    <w:rsid w:val="00C945A3"/>
    <w:rsid w:val="00CA4CA0"/>
    <w:rsid w:val="00CD2795"/>
    <w:rsid w:val="00CE2A63"/>
    <w:rsid w:val="00CE7FAE"/>
    <w:rsid w:val="00CF497E"/>
    <w:rsid w:val="00D02ECE"/>
    <w:rsid w:val="00D21087"/>
    <w:rsid w:val="00DA1BD6"/>
    <w:rsid w:val="00DF11E9"/>
    <w:rsid w:val="00E4510C"/>
    <w:rsid w:val="00E50555"/>
    <w:rsid w:val="00E84C6C"/>
    <w:rsid w:val="00EB1B74"/>
    <w:rsid w:val="00EC69CC"/>
    <w:rsid w:val="00F40030"/>
    <w:rsid w:val="00F82406"/>
    <w:rsid w:val="00F97416"/>
    <w:rsid w:val="00FA1F69"/>
    <w:rsid w:val="00FB1027"/>
    <w:rsid w:val="00FB2803"/>
    <w:rsid w:val="00FE3CA7"/>
    <w:rsid w:val="00FE7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E1AAE"/>
  <w15:chartTrackingRefBased/>
  <w15:docId w15:val="{61A59BCE-C357-455C-A532-2AF365134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47F"/>
  </w:style>
  <w:style w:type="paragraph" w:styleId="Heading1">
    <w:name w:val="heading 1"/>
    <w:basedOn w:val="Normal"/>
    <w:next w:val="Normal"/>
    <w:link w:val="Heading1Char"/>
    <w:uiPriority w:val="9"/>
    <w:qFormat/>
    <w:rsid w:val="002874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4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4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4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4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4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4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4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4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4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4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4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4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4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4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4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4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47F"/>
    <w:rPr>
      <w:rFonts w:eastAsiaTheme="majorEastAsia" w:cstheme="majorBidi"/>
      <w:color w:val="272727" w:themeColor="text1" w:themeTint="D8"/>
    </w:rPr>
  </w:style>
  <w:style w:type="paragraph" w:styleId="Title">
    <w:name w:val="Title"/>
    <w:basedOn w:val="Normal"/>
    <w:next w:val="Normal"/>
    <w:link w:val="TitleChar"/>
    <w:uiPriority w:val="10"/>
    <w:qFormat/>
    <w:rsid w:val="002874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4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4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4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47F"/>
    <w:pPr>
      <w:spacing w:before="160"/>
      <w:jc w:val="center"/>
    </w:pPr>
    <w:rPr>
      <w:i/>
      <w:iCs/>
      <w:color w:val="404040" w:themeColor="text1" w:themeTint="BF"/>
    </w:rPr>
  </w:style>
  <w:style w:type="character" w:customStyle="1" w:styleId="QuoteChar">
    <w:name w:val="Quote Char"/>
    <w:basedOn w:val="DefaultParagraphFont"/>
    <w:link w:val="Quote"/>
    <w:uiPriority w:val="29"/>
    <w:rsid w:val="0028747F"/>
    <w:rPr>
      <w:i/>
      <w:iCs/>
      <w:color w:val="404040" w:themeColor="text1" w:themeTint="BF"/>
    </w:rPr>
  </w:style>
  <w:style w:type="paragraph" w:styleId="ListParagraph">
    <w:name w:val="List Paragraph"/>
    <w:basedOn w:val="Normal"/>
    <w:uiPriority w:val="34"/>
    <w:qFormat/>
    <w:rsid w:val="0028747F"/>
    <w:pPr>
      <w:ind w:left="720"/>
      <w:contextualSpacing/>
    </w:pPr>
  </w:style>
  <w:style w:type="character" w:styleId="IntenseEmphasis">
    <w:name w:val="Intense Emphasis"/>
    <w:basedOn w:val="DefaultParagraphFont"/>
    <w:uiPriority w:val="21"/>
    <w:qFormat/>
    <w:rsid w:val="0028747F"/>
    <w:rPr>
      <w:i/>
      <w:iCs/>
      <w:color w:val="0F4761" w:themeColor="accent1" w:themeShade="BF"/>
    </w:rPr>
  </w:style>
  <w:style w:type="paragraph" w:styleId="IntenseQuote">
    <w:name w:val="Intense Quote"/>
    <w:basedOn w:val="Normal"/>
    <w:next w:val="Normal"/>
    <w:link w:val="IntenseQuoteChar"/>
    <w:uiPriority w:val="30"/>
    <w:qFormat/>
    <w:rsid w:val="002874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47F"/>
    <w:rPr>
      <w:i/>
      <w:iCs/>
      <w:color w:val="0F4761" w:themeColor="accent1" w:themeShade="BF"/>
    </w:rPr>
  </w:style>
  <w:style w:type="character" w:styleId="IntenseReference">
    <w:name w:val="Intense Reference"/>
    <w:basedOn w:val="DefaultParagraphFont"/>
    <w:uiPriority w:val="32"/>
    <w:qFormat/>
    <w:rsid w:val="0028747F"/>
    <w:rPr>
      <w:b/>
      <w:bCs/>
      <w:smallCaps/>
      <w:color w:val="0F4761" w:themeColor="accent1" w:themeShade="BF"/>
      <w:spacing w:val="5"/>
    </w:rPr>
  </w:style>
  <w:style w:type="character" w:styleId="Hyperlink">
    <w:name w:val="Hyperlink"/>
    <w:basedOn w:val="DefaultParagraphFont"/>
    <w:uiPriority w:val="99"/>
    <w:unhideWhenUsed/>
    <w:rsid w:val="00AE351F"/>
    <w:rPr>
      <w:color w:val="467886" w:themeColor="hyperlink"/>
      <w:u w:val="single"/>
    </w:rPr>
  </w:style>
  <w:style w:type="character" w:styleId="UnresolvedMention">
    <w:name w:val="Unresolved Mention"/>
    <w:basedOn w:val="DefaultParagraphFont"/>
    <w:uiPriority w:val="99"/>
    <w:semiHidden/>
    <w:unhideWhenUsed/>
    <w:rsid w:val="00AE351F"/>
    <w:rPr>
      <w:color w:val="605E5C"/>
      <w:shd w:val="clear" w:color="auto" w:fill="E1DFDD"/>
    </w:rPr>
  </w:style>
  <w:style w:type="paragraph" w:styleId="FootnoteText">
    <w:name w:val="footnote text"/>
    <w:basedOn w:val="Normal"/>
    <w:link w:val="FootnoteTextChar"/>
    <w:uiPriority w:val="99"/>
    <w:semiHidden/>
    <w:unhideWhenUsed/>
    <w:rsid w:val="00AE35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351F"/>
    <w:rPr>
      <w:sz w:val="20"/>
      <w:szCs w:val="20"/>
    </w:rPr>
  </w:style>
  <w:style w:type="character" w:styleId="FootnoteReference">
    <w:name w:val="footnote reference"/>
    <w:basedOn w:val="DefaultParagraphFont"/>
    <w:uiPriority w:val="99"/>
    <w:semiHidden/>
    <w:unhideWhenUsed/>
    <w:rsid w:val="00AE351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797332">
      <w:bodyDiv w:val="1"/>
      <w:marLeft w:val="0"/>
      <w:marRight w:val="0"/>
      <w:marTop w:val="0"/>
      <w:marBottom w:val="0"/>
      <w:divBdr>
        <w:top w:val="none" w:sz="0" w:space="0" w:color="auto"/>
        <w:left w:val="none" w:sz="0" w:space="0" w:color="auto"/>
        <w:bottom w:val="none" w:sz="0" w:space="0" w:color="auto"/>
        <w:right w:val="none" w:sz="0" w:space="0" w:color="auto"/>
      </w:divBdr>
      <w:divsChild>
        <w:div w:id="560948689">
          <w:marLeft w:val="0"/>
          <w:marRight w:val="0"/>
          <w:marTop w:val="0"/>
          <w:marBottom w:val="0"/>
          <w:divBdr>
            <w:top w:val="none" w:sz="0" w:space="0" w:color="auto"/>
            <w:left w:val="none" w:sz="0" w:space="0" w:color="auto"/>
            <w:bottom w:val="none" w:sz="0" w:space="0" w:color="auto"/>
            <w:right w:val="none" w:sz="0" w:space="0" w:color="auto"/>
          </w:divBdr>
          <w:divsChild>
            <w:div w:id="72190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998215">
      <w:bodyDiv w:val="1"/>
      <w:marLeft w:val="0"/>
      <w:marRight w:val="0"/>
      <w:marTop w:val="0"/>
      <w:marBottom w:val="0"/>
      <w:divBdr>
        <w:top w:val="none" w:sz="0" w:space="0" w:color="auto"/>
        <w:left w:val="none" w:sz="0" w:space="0" w:color="auto"/>
        <w:bottom w:val="none" w:sz="0" w:space="0" w:color="auto"/>
        <w:right w:val="none" w:sz="0" w:space="0" w:color="auto"/>
      </w:divBdr>
      <w:divsChild>
        <w:div w:id="726806169">
          <w:marLeft w:val="0"/>
          <w:marRight w:val="0"/>
          <w:marTop w:val="0"/>
          <w:marBottom w:val="0"/>
          <w:divBdr>
            <w:top w:val="none" w:sz="0" w:space="0" w:color="auto"/>
            <w:left w:val="none" w:sz="0" w:space="0" w:color="auto"/>
            <w:bottom w:val="none" w:sz="0" w:space="0" w:color="auto"/>
            <w:right w:val="none" w:sz="0" w:space="0" w:color="auto"/>
          </w:divBdr>
          <w:divsChild>
            <w:div w:id="210561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347284">
      <w:bodyDiv w:val="1"/>
      <w:marLeft w:val="0"/>
      <w:marRight w:val="0"/>
      <w:marTop w:val="0"/>
      <w:marBottom w:val="0"/>
      <w:divBdr>
        <w:top w:val="none" w:sz="0" w:space="0" w:color="auto"/>
        <w:left w:val="none" w:sz="0" w:space="0" w:color="auto"/>
        <w:bottom w:val="none" w:sz="0" w:space="0" w:color="auto"/>
        <w:right w:val="none" w:sz="0" w:space="0" w:color="auto"/>
      </w:divBdr>
      <w:divsChild>
        <w:div w:id="332611416">
          <w:marLeft w:val="0"/>
          <w:marRight w:val="0"/>
          <w:marTop w:val="0"/>
          <w:marBottom w:val="0"/>
          <w:divBdr>
            <w:top w:val="none" w:sz="0" w:space="0" w:color="auto"/>
            <w:left w:val="none" w:sz="0" w:space="0" w:color="auto"/>
            <w:bottom w:val="none" w:sz="0" w:space="0" w:color="auto"/>
            <w:right w:val="none" w:sz="0" w:space="0" w:color="auto"/>
          </w:divBdr>
          <w:divsChild>
            <w:div w:id="15481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137577">
      <w:bodyDiv w:val="1"/>
      <w:marLeft w:val="0"/>
      <w:marRight w:val="0"/>
      <w:marTop w:val="0"/>
      <w:marBottom w:val="0"/>
      <w:divBdr>
        <w:top w:val="none" w:sz="0" w:space="0" w:color="auto"/>
        <w:left w:val="none" w:sz="0" w:space="0" w:color="auto"/>
        <w:bottom w:val="none" w:sz="0" w:space="0" w:color="auto"/>
        <w:right w:val="none" w:sz="0" w:space="0" w:color="auto"/>
      </w:divBdr>
      <w:divsChild>
        <w:div w:id="89356961">
          <w:marLeft w:val="0"/>
          <w:marRight w:val="0"/>
          <w:marTop w:val="0"/>
          <w:marBottom w:val="0"/>
          <w:divBdr>
            <w:top w:val="none" w:sz="0" w:space="0" w:color="auto"/>
            <w:left w:val="none" w:sz="0" w:space="0" w:color="auto"/>
            <w:bottom w:val="none" w:sz="0" w:space="0" w:color="auto"/>
            <w:right w:val="none" w:sz="0" w:space="0" w:color="auto"/>
          </w:divBdr>
          <w:divsChild>
            <w:div w:id="142156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248691">
      <w:bodyDiv w:val="1"/>
      <w:marLeft w:val="0"/>
      <w:marRight w:val="0"/>
      <w:marTop w:val="0"/>
      <w:marBottom w:val="0"/>
      <w:divBdr>
        <w:top w:val="none" w:sz="0" w:space="0" w:color="auto"/>
        <w:left w:val="none" w:sz="0" w:space="0" w:color="auto"/>
        <w:bottom w:val="none" w:sz="0" w:space="0" w:color="auto"/>
        <w:right w:val="none" w:sz="0" w:space="0" w:color="auto"/>
      </w:divBdr>
      <w:divsChild>
        <w:div w:id="211580010">
          <w:marLeft w:val="0"/>
          <w:marRight w:val="0"/>
          <w:marTop w:val="0"/>
          <w:marBottom w:val="0"/>
          <w:divBdr>
            <w:top w:val="none" w:sz="0" w:space="0" w:color="auto"/>
            <w:left w:val="none" w:sz="0" w:space="0" w:color="auto"/>
            <w:bottom w:val="none" w:sz="0" w:space="0" w:color="auto"/>
            <w:right w:val="none" w:sz="0" w:space="0" w:color="auto"/>
          </w:divBdr>
          <w:divsChild>
            <w:div w:id="174537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872916">
      <w:bodyDiv w:val="1"/>
      <w:marLeft w:val="0"/>
      <w:marRight w:val="0"/>
      <w:marTop w:val="0"/>
      <w:marBottom w:val="0"/>
      <w:divBdr>
        <w:top w:val="none" w:sz="0" w:space="0" w:color="auto"/>
        <w:left w:val="none" w:sz="0" w:space="0" w:color="auto"/>
        <w:bottom w:val="none" w:sz="0" w:space="0" w:color="auto"/>
        <w:right w:val="none" w:sz="0" w:space="0" w:color="auto"/>
      </w:divBdr>
      <w:divsChild>
        <w:div w:id="356780254">
          <w:marLeft w:val="0"/>
          <w:marRight w:val="0"/>
          <w:marTop w:val="0"/>
          <w:marBottom w:val="0"/>
          <w:divBdr>
            <w:top w:val="none" w:sz="0" w:space="0" w:color="auto"/>
            <w:left w:val="none" w:sz="0" w:space="0" w:color="auto"/>
            <w:bottom w:val="none" w:sz="0" w:space="0" w:color="auto"/>
            <w:right w:val="none" w:sz="0" w:space="0" w:color="auto"/>
          </w:divBdr>
          <w:divsChild>
            <w:div w:id="9379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715531">
      <w:bodyDiv w:val="1"/>
      <w:marLeft w:val="0"/>
      <w:marRight w:val="0"/>
      <w:marTop w:val="0"/>
      <w:marBottom w:val="0"/>
      <w:divBdr>
        <w:top w:val="none" w:sz="0" w:space="0" w:color="auto"/>
        <w:left w:val="none" w:sz="0" w:space="0" w:color="auto"/>
        <w:bottom w:val="none" w:sz="0" w:space="0" w:color="auto"/>
        <w:right w:val="none" w:sz="0" w:space="0" w:color="auto"/>
      </w:divBdr>
      <w:divsChild>
        <w:div w:id="274484955">
          <w:marLeft w:val="0"/>
          <w:marRight w:val="0"/>
          <w:marTop w:val="0"/>
          <w:marBottom w:val="0"/>
          <w:divBdr>
            <w:top w:val="none" w:sz="0" w:space="0" w:color="auto"/>
            <w:left w:val="none" w:sz="0" w:space="0" w:color="auto"/>
            <w:bottom w:val="none" w:sz="0" w:space="0" w:color="auto"/>
            <w:right w:val="none" w:sz="0" w:space="0" w:color="auto"/>
          </w:divBdr>
          <w:divsChild>
            <w:div w:id="126072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504700">
      <w:bodyDiv w:val="1"/>
      <w:marLeft w:val="0"/>
      <w:marRight w:val="0"/>
      <w:marTop w:val="0"/>
      <w:marBottom w:val="0"/>
      <w:divBdr>
        <w:top w:val="none" w:sz="0" w:space="0" w:color="auto"/>
        <w:left w:val="none" w:sz="0" w:space="0" w:color="auto"/>
        <w:bottom w:val="none" w:sz="0" w:space="0" w:color="auto"/>
        <w:right w:val="none" w:sz="0" w:space="0" w:color="auto"/>
      </w:divBdr>
      <w:divsChild>
        <w:div w:id="574047166">
          <w:marLeft w:val="0"/>
          <w:marRight w:val="0"/>
          <w:marTop w:val="0"/>
          <w:marBottom w:val="0"/>
          <w:divBdr>
            <w:top w:val="none" w:sz="0" w:space="0" w:color="auto"/>
            <w:left w:val="none" w:sz="0" w:space="0" w:color="auto"/>
            <w:bottom w:val="none" w:sz="0" w:space="0" w:color="auto"/>
            <w:right w:val="none" w:sz="0" w:space="0" w:color="auto"/>
          </w:divBdr>
          <w:divsChild>
            <w:div w:id="193301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9545694">
      <w:bodyDiv w:val="1"/>
      <w:marLeft w:val="0"/>
      <w:marRight w:val="0"/>
      <w:marTop w:val="0"/>
      <w:marBottom w:val="0"/>
      <w:divBdr>
        <w:top w:val="none" w:sz="0" w:space="0" w:color="auto"/>
        <w:left w:val="none" w:sz="0" w:space="0" w:color="auto"/>
        <w:bottom w:val="none" w:sz="0" w:space="0" w:color="auto"/>
        <w:right w:val="none" w:sz="0" w:space="0" w:color="auto"/>
      </w:divBdr>
      <w:divsChild>
        <w:div w:id="907616034">
          <w:marLeft w:val="0"/>
          <w:marRight w:val="0"/>
          <w:marTop w:val="0"/>
          <w:marBottom w:val="0"/>
          <w:divBdr>
            <w:top w:val="none" w:sz="0" w:space="0" w:color="auto"/>
            <w:left w:val="none" w:sz="0" w:space="0" w:color="auto"/>
            <w:bottom w:val="none" w:sz="0" w:space="0" w:color="auto"/>
            <w:right w:val="none" w:sz="0" w:space="0" w:color="auto"/>
          </w:divBdr>
          <w:divsChild>
            <w:div w:id="61737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2307/284015.%20Accessed%208%20Feb.%20202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3296A-D4E4-4FCD-BBC5-E1013CAD7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3</Pages>
  <Words>1118</Words>
  <Characters>6377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127</cp:revision>
  <dcterms:created xsi:type="dcterms:W3CDTF">2025-02-07T20:38:00Z</dcterms:created>
  <dcterms:modified xsi:type="dcterms:W3CDTF">2025-02-08T09:30:00Z</dcterms:modified>
</cp:coreProperties>
</file>