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11F8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  <w:u w:val="single"/>
        </w:rPr>
        <w:t>Reference List ECAD6012 (Poster)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Alexander, R. (2010) Children, Their World, Their Education: The Report of the Cambridge Primary Review. London: Routledge.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Assessment for learning and the National Literacy and Numeracy Framework (2014) Wales Government, Cardiff </w:t>
      </w:r>
      <w:hyperlink r:id="rId4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http://learning.wales.gov.uk/docs/learningwales/pub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F5025B">
        <w:rPr>
          <w:rFonts w:ascii="Arial" w:eastAsia="Arial" w:hAnsi="Arial" w:cs="Arial"/>
          <w:sz w:val="24"/>
          <w:szCs w:val="24"/>
        </w:rPr>
        <w:t>lications</w:t>
      </w:r>
      <w:proofErr w:type="spellEnd"/>
      <w:r w:rsidRPr="00F5025B">
        <w:rPr>
          <w:rFonts w:ascii="Arial" w:eastAsia="Arial" w:hAnsi="Arial" w:cs="Arial"/>
          <w:sz w:val="24"/>
          <w:szCs w:val="24"/>
        </w:rPr>
        <w:t xml:space="preserve">/131104 -assessment-for-learning- and-thenlnf-en.pdf 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Barnes, J. (2015) Cross-curricular learning 3-14 (3rd edition) London: SAGE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Barnes, J. and Shirley, I. (2007) 'Strangely Familiar: Cross Curricular and Creative teaching in Initial Teacher Education' in Improving Schools, Vol. 10. No.2. pp160 – 179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Clarke, S. (2016). Learning objectives and co-constructed success criteria. [Blog] Shirley Clarke. Available at: </w:t>
      </w:r>
      <w:hyperlink r:id="rId5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https://www.shirleyclarke-education.org/research/learning-objectives-co-constructed-success-criteria-3/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[Accessed 5 Dec. 2018].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proofErr w:type="spellStart"/>
      <w:r w:rsidRPr="00F5025B">
        <w:rPr>
          <w:rFonts w:ascii="Arial" w:eastAsia="Arial" w:hAnsi="Arial" w:cs="Arial"/>
          <w:sz w:val="24"/>
          <w:szCs w:val="24"/>
        </w:rPr>
        <w:t>Dalto</w:t>
      </w:r>
      <w:proofErr w:type="spellEnd"/>
      <w:r w:rsidRPr="00F5025B">
        <w:rPr>
          <w:rFonts w:ascii="Arial" w:eastAsia="Arial" w:hAnsi="Arial" w:cs="Arial"/>
          <w:sz w:val="24"/>
          <w:szCs w:val="24"/>
        </w:rPr>
        <w:t xml:space="preserve">, J. (2013). How to write SMART learning objectives. [Blog] Convergence Training. Available at: </w:t>
      </w:r>
      <w:hyperlink r:id="rId6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https://www.convergencetraining.com/blog/how-to-write-smart-learning-objectives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[Accessed 5 Dec. 2018].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Digital Competence Framework (2016) Wales Government, Cardiff </w:t>
      </w:r>
      <w:hyperlink r:id="rId7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http://learning.gov.wales/docs/learningwales/publica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F5025B">
        <w:rPr>
          <w:rFonts w:ascii="Arial" w:eastAsia="Arial" w:hAnsi="Arial" w:cs="Arial"/>
          <w:sz w:val="24"/>
          <w:szCs w:val="24"/>
        </w:rPr>
        <w:t>tions</w:t>
      </w:r>
      <w:proofErr w:type="spellEnd"/>
      <w:r w:rsidRPr="00F5025B">
        <w:rPr>
          <w:rFonts w:ascii="Arial" w:eastAsia="Arial" w:hAnsi="Arial" w:cs="Arial"/>
          <w:sz w:val="24"/>
          <w:szCs w:val="24"/>
        </w:rPr>
        <w:t xml:space="preserve">/160901-dcf-excel-en.xlsx </w:t>
      </w:r>
    </w:p>
    <w:p w:rsidR="5E55A7AA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>Donaldson, G (2015) Successful Futures. Cardiff. WAG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Flutter, J. (2007) ‘Teacher development and pupil voice’, Curriculum Journal, 18(3), pp. 343–354.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Gregory, R. (2015). SMART Objectives. [Blog] </w:t>
      </w:r>
      <w:proofErr w:type="spellStart"/>
      <w:r w:rsidRPr="00F5025B">
        <w:rPr>
          <w:rFonts w:ascii="Arial" w:eastAsia="Arial" w:hAnsi="Arial" w:cs="Arial"/>
          <w:sz w:val="24"/>
          <w:szCs w:val="24"/>
        </w:rPr>
        <w:t>eLearn</w:t>
      </w:r>
      <w:proofErr w:type="spellEnd"/>
      <w:r w:rsidRPr="00F5025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http://blogs.volstate.edu/distributededucation/2015/11/16/smart-objectives/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[Accessed 5 Dec. 2018].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r w:rsidRPr="00F5025B">
        <w:rPr>
          <w:rFonts w:ascii="Arial" w:eastAsia="Arial" w:hAnsi="Arial" w:cs="Arial"/>
          <w:sz w:val="24"/>
          <w:szCs w:val="24"/>
        </w:rPr>
        <w:t xml:space="preserve">Hayes, D. (2010) </w:t>
      </w:r>
      <w:proofErr w:type="gramStart"/>
      <w:r w:rsidRPr="00F5025B">
        <w:rPr>
          <w:rFonts w:ascii="Arial" w:eastAsia="Arial" w:hAnsi="Arial" w:cs="Arial"/>
          <w:sz w:val="24"/>
          <w:szCs w:val="24"/>
        </w:rPr>
        <w:t>T</w:t>
      </w:r>
      <w:bookmarkStart w:id="0" w:name="_GoBack"/>
      <w:bookmarkEnd w:id="0"/>
      <w:r w:rsidRPr="00F5025B">
        <w:rPr>
          <w:rFonts w:ascii="Arial" w:eastAsia="Arial" w:hAnsi="Arial" w:cs="Arial"/>
          <w:sz w:val="24"/>
          <w:szCs w:val="24"/>
        </w:rPr>
        <w:t>he</w:t>
      </w:r>
      <w:proofErr w:type="gramEnd"/>
      <w:r w:rsidRPr="00F5025B">
        <w:rPr>
          <w:rFonts w:ascii="Arial" w:eastAsia="Arial" w:hAnsi="Arial" w:cs="Arial"/>
          <w:sz w:val="24"/>
          <w:szCs w:val="24"/>
        </w:rPr>
        <w:t xml:space="preserve"> seductive charms of a cross-curricular approach, Education 3- 13, 38:4, 381-387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proofErr w:type="spellStart"/>
      <w:proofErr w:type="gramStart"/>
      <w:r w:rsidRPr="00F5025B">
        <w:rPr>
          <w:rFonts w:ascii="Arial" w:eastAsia="Arial" w:hAnsi="Arial" w:cs="Arial"/>
          <w:sz w:val="24"/>
          <w:szCs w:val="24"/>
        </w:rPr>
        <w:t>iAMeducation</w:t>
      </w:r>
      <w:proofErr w:type="spellEnd"/>
      <w:proofErr w:type="gramEnd"/>
      <w:r w:rsidRPr="00F5025B">
        <w:rPr>
          <w:rFonts w:ascii="Arial" w:eastAsia="Arial" w:hAnsi="Arial" w:cs="Arial"/>
          <w:sz w:val="24"/>
          <w:szCs w:val="24"/>
        </w:rPr>
        <w:t>. (2016). Co-constructing Success Criteria. [</w:t>
      </w:r>
      <w:proofErr w:type="gramStart"/>
      <w:r w:rsidRPr="00F5025B">
        <w:rPr>
          <w:rFonts w:ascii="Arial" w:eastAsia="Arial" w:hAnsi="Arial" w:cs="Arial"/>
          <w:sz w:val="24"/>
          <w:szCs w:val="24"/>
        </w:rPr>
        <w:t>online</w:t>
      </w:r>
      <w:proofErr w:type="gramEnd"/>
      <w:r w:rsidRPr="00F5025B">
        <w:rPr>
          <w:rFonts w:ascii="Arial" w:eastAsia="Arial" w:hAnsi="Arial" w:cs="Arial"/>
          <w:sz w:val="24"/>
          <w:szCs w:val="24"/>
        </w:rPr>
        <w:t xml:space="preserve">] Available at: </w:t>
      </w:r>
      <w:hyperlink r:id="rId9">
        <w:r w:rsidRPr="00F5025B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http://program.yourschools.ca/assessment-and-evaluation/success-criteria/co-constructing-success-criteria/</w:t>
        </w:r>
      </w:hyperlink>
      <w:r w:rsidRPr="00F5025B">
        <w:rPr>
          <w:rFonts w:ascii="Arial" w:eastAsia="Arial" w:hAnsi="Arial" w:cs="Arial"/>
          <w:sz w:val="24"/>
          <w:szCs w:val="24"/>
        </w:rPr>
        <w:t xml:space="preserve"> [Accessed 5 Dec. 2018]. </w:t>
      </w:r>
    </w:p>
    <w:p w:rsidR="274D0AB9" w:rsidRPr="00F5025B" w:rsidRDefault="5E55A7AA" w:rsidP="5E55A7AA">
      <w:pPr>
        <w:rPr>
          <w:rFonts w:ascii="Arial" w:eastAsia="Arial" w:hAnsi="Arial" w:cs="Arial"/>
          <w:sz w:val="24"/>
          <w:szCs w:val="24"/>
        </w:rPr>
      </w:pPr>
      <w:proofErr w:type="spellStart"/>
      <w:r w:rsidRPr="00F5025B">
        <w:rPr>
          <w:rFonts w:ascii="Arial" w:eastAsia="Arial" w:hAnsi="Arial" w:cs="Arial"/>
          <w:sz w:val="24"/>
          <w:szCs w:val="24"/>
        </w:rPr>
        <w:t>Rudduck</w:t>
      </w:r>
      <w:proofErr w:type="spellEnd"/>
      <w:r w:rsidRPr="00F5025B">
        <w:rPr>
          <w:rFonts w:ascii="Arial" w:eastAsia="Arial" w:hAnsi="Arial" w:cs="Arial"/>
          <w:sz w:val="24"/>
          <w:szCs w:val="24"/>
        </w:rPr>
        <w:t xml:space="preserve">, J. and Flutter, J. (2004). How to improve your school. London: Continuum. </w:t>
      </w:r>
    </w:p>
    <w:sectPr w:rsidR="274D0AB9" w:rsidRPr="00F5025B" w:rsidSect="000307A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881990"/>
    <w:rsid w:val="000307A1"/>
    <w:rsid w:val="00124B52"/>
    <w:rsid w:val="00AC11F8"/>
    <w:rsid w:val="00F5025B"/>
    <w:rsid w:val="274D0AB9"/>
    <w:rsid w:val="2DA24CD6"/>
    <w:rsid w:val="4A881990"/>
    <w:rsid w:val="5026A8E3"/>
    <w:rsid w:val="5E55A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D7F11A1-24BD-46BF-9906-9A1453724B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307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07A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s.volstate.edu/distributededucation/2015/11/16/smart-objectiv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docs/learningwales/public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nvergencetraining.com/blog/how-to-write-smart-learning-objective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shirleyclarke-education.org/research/learning-objectives-co-constructed-success-criteria-3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learning.wales.gov.uk/docs/learningwales/pub" TargetMode="External"/><Relationship Id="rId9" Type="http://schemas.openxmlformats.org/officeDocument/2006/relationships/hyperlink" Target="http://program.yourschools.ca/assessment-and-evaluation/success-criteria/co-constructing-success-criter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Ethan Murphy (1600450)</dc:creator>
  <cp:lastModifiedBy>Ethan Murphy (1600450)</cp:lastModifiedBy>
  <cp:revision>2</cp:revision>
  <dcterms:created xsi:type="dcterms:W3CDTF">2018-12-13T15:31:00Z</dcterms:created>
  <dcterms:modified xsi:type="dcterms:W3CDTF">2018-12-13T15:31:00Z</dcterms:modified>
</cp:coreProperties>
</file>