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3B8A18" w14:textId="77777777" w:rsidR="007B7162" w:rsidRPr="007B7162" w:rsidRDefault="007B7162" w:rsidP="007B7162">
      <w:pPr>
        <w:spacing w:line="360" w:lineRule="auto"/>
        <w:jc w:val="center"/>
        <w:rPr>
          <w:rFonts w:ascii="Arial" w:hAnsi="Arial" w:cs="Arial"/>
          <w:b/>
          <w:bCs/>
          <w:sz w:val="44"/>
          <w:szCs w:val="44"/>
        </w:rPr>
      </w:pPr>
      <w:r w:rsidRPr="007B7162">
        <w:rPr>
          <w:rFonts w:ascii="Arial" w:hAnsi="Arial" w:cs="Arial"/>
          <w:b/>
          <w:bCs/>
          <w:sz w:val="44"/>
          <w:szCs w:val="44"/>
        </w:rPr>
        <w:t>Student name: Ionut Alin Sacalus</w:t>
      </w:r>
    </w:p>
    <w:p w14:paraId="552D8532" w14:textId="77777777" w:rsidR="007B7162" w:rsidRPr="007B7162" w:rsidRDefault="007B7162" w:rsidP="007B7162">
      <w:pPr>
        <w:spacing w:line="360" w:lineRule="auto"/>
        <w:jc w:val="center"/>
        <w:rPr>
          <w:rFonts w:ascii="Arial" w:hAnsi="Arial" w:cs="Arial"/>
          <w:b/>
          <w:bCs/>
          <w:sz w:val="44"/>
          <w:szCs w:val="44"/>
        </w:rPr>
      </w:pPr>
    </w:p>
    <w:p w14:paraId="4E5BBE22" w14:textId="77777777" w:rsidR="007B7162" w:rsidRPr="007B7162" w:rsidRDefault="007B7162" w:rsidP="007B7162">
      <w:pPr>
        <w:spacing w:line="360" w:lineRule="auto"/>
        <w:jc w:val="center"/>
        <w:rPr>
          <w:rFonts w:ascii="Arial" w:hAnsi="Arial" w:cs="Arial"/>
          <w:b/>
          <w:bCs/>
          <w:sz w:val="44"/>
          <w:szCs w:val="44"/>
        </w:rPr>
      </w:pPr>
      <w:r w:rsidRPr="007B7162">
        <w:rPr>
          <w:rFonts w:ascii="Arial" w:hAnsi="Arial" w:cs="Arial"/>
          <w:b/>
          <w:bCs/>
          <w:sz w:val="44"/>
          <w:szCs w:val="44"/>
        </w:rPr>
        <w:t>Student number: 1907523</w:t>
      </w:r>
    </w:p>
    <w:p w14:paraId="3099F891" w14:textId="77777777" w:rsidR="007B7162" w:rsidRPr="007B7162" w:rsidRDefault="007B7162" w:rsidP="007B7162">
      <w:pPr>
        <w:spacing w:line="360" w:lineRule="auto"/>
        <w:jc w:val="center"/>
        <w:rPr>
          <w:rFonts w:ascii="Arial" w:hAnsi="Arial" w:cs="Arial"/>
          <w:b/>
          <w:bCs/>
          <w:sz w:val="44"/>
          <w:szCs w:val="44"/>
        </w:rPr>
      </w:pPr>
    </w:p>
    <w:p w14:paraId="1DE1A0D4" w14:textId="77777777" w:rsidR="007B7162" w:rsidRPr="007B7162" w:rsidRDefault="007B7162" w:rsidP="007B7162">
      <w:pPr>
        <w:spacing w:line="360" w:lineRule="auto"/>
        <w:jc w:val="center"/>
        <w:rPr>
          <w:rFonts w:ascii="Arial" w:hAnsi="Arial" w:cs="Arial"/>
          <w:b/>
          <w:bCs/>
          <w:sz w:val="44"/>
          <w:szCs w:val="44"/>
        </w:rPr>
      </w:pPr>
      <w:r w:rsidRPr="007B7162">
        <w:rPr>
          <w:rFonts w:ascii="Arial" w:hAnsi="Arial" w:cs="Arial"/>
          <w:b/>
          <w:bCs/>
          <w:sz w:val="44"/>
          <w:szCs w:val="44"/>
        </w:rPr>
        <w:t>Module name: Children, Young People and Families</w:t>
      </w:r>
    </w:p>
    <w:p w14:paraId="73E3A9CC" w14:textId="77777777" w:rsidR="007B7162" w:rsidRPr="007B7162" w:rsidRDefault="007B7162" w:rsidP="007B7162">
      <w:pPr>
        <w:spacing w:line="360" w:lineRule="auto"/>
        <w:jc w:val="center"/>
        <w:rPr>
          <w:rFonts w:ascii="Arial" w:hAnsi="Arial" w:cs="Arial"/>
          <w:b/>
          <w:bCs/>
          <w:sz w:val="44"/>
          <w:szCs w:val="44"/>
        </w:rPr>
      </w:pPr>
    </w:p>
    <w:p w14:paraId="7FF5ED91" w14:textId="77777777" w:rsidR="007B7162" w:rsidRPr="007B7162" w:rsidRDefault="007B7162" w:rsidP="007B7162">
      <w:pPr>
        <w:spacing w:line="360" w:lineRule="auto"/>
        <w:jc w:val="center"/>
        <w:rPr>
          <w:rFonts w:ascii="Arial" w:hAnsi="Arial" w:cs="Arial"/>
          <w:b/>
          <w:bCs/>
          <w:sz w:val="44"/>
          <w:szCs w:val="44"/>
        </w:rPr>
      </w:pPr>
      <w:r w:rsidRPr="007B7162">
        <w:rPr>
          <w:rFonts w:ascii="Arial" w:hAnsi="Arial" w:cs="Arial"/>
          <w:b/>
          <w:bCs/>
          <w:sz w:val="44"/>
          <w:szCs w:val="44"/>
        </w:rPr>
        <w:t>Module code: BMHP5004_BIRM</w:t>
      </w:r>
    </w:p>
    <w:p w14:paraId="18A7DAA0" w14:textId="77777777" w:rsidR="007B7162" w:rsidRPr="007B7162" w:rsidRDefault="007B7162" w:rsidP="007B7162">
      <w:pPr>
        <w:spacing w:line="360" w:lineRule="auto"/>
        <w:jc w:val="center"/>
        <w:rPr>
          <w:rFonts w:ascii="Arial" w:hAnsi="Arial" w:cs="Arial"/>
          <w:b/>
          <w:bCs/>
          <w:sz w:val="44"/>
          <w:szCs w:val="44"/>
        </w:rPr>
      </w:pPr>
    </w:p>
    <w:p w14:paraId="7A7AE4D8" w14:textId="77777777" w:rsidR="007B7162" w:rsidRPr="007B7162" w:rsidRDefault="007B7162" w:rsidP="007B7162">
      <w:pPr>
        <w:spacing w:line="360" w:lineRule="auto"/>
        <w:jc w:val="center"/>
        <w:rPr>
          <w:rFonts w:ascii="Arial" w:hAnsi="Arial" w:cs="Arial"/>
          <w:b/>
          <w:bCs/>
          <w:sz w:val="44"/>
          <w:szCs w:val="44"/>
        </w:rPr>
      </w:pPr>
      <w:r w:rsidRPr="007B7162">
        <w:rPr>
          <w:rFonts w:ascii="Arial" w:hAnsi="Arial" w:cs="Arial"/>
          <w:b/>
          <w:bCs/>
          <w:sz w:val="44"/>
          <w:szCs w:val="44"/>
        </w:rPr>
        <w:t>Tutor name: Dr Crisford Chogugudza</w:t>
      </w:r>
    </w:p>
    <w:p w14:paraId="57AA1F90" w14:textId="77777777" w:rsidR="007B7162" w:rsidRPr="007B7162" w:rsidRDefault="007B7162" w:rsidP="007B7162">
      <w:pPr>
        <w:spacing w:line="360" w:lineRule="auto"/>
        <w:jc w:val="center"/>
        <w:rPr>
          <w:rFonts w:ascii="Arial" w:hAnsi="Arial" w:cs="Arial"/>
          <w:b/>
          <w:bCs/>
          <w:sz w:val="44"/>
          <w:szCs w:val="44"/>
        </w:rPr>
      </w:pPr>
    </w:p>
    <w:p w14:paraId="30CADDE7" w14:textId="6B84F666" w:rsidR="007B7162" w:rsidRDefault="007B7162" w:rsidP="007B7162">
      <w:pPr>
        <w:spacing w:line="360" w:lineRule="auto"/>
        <w:jc w:val="center"/>
        <w:rPr>
          <w:rFonts w:ascii="Arial" w:hAnsi="Arial" w:cs="Arial"/>
          <w:b/>
          <w:bCs/>
          <w:sz w:val="44"/>
          <w:szCs w:val="44"/>
        </w:rPr>
      </w:pPr>
      <w:r w:rsidRPr="007B7162">
        <w:rPr>
          <w:rFonts w:ascii="Arial" w:hAnsi="Arial" w:cs="Arial"/>
          <w:b/>
          <w:bCs/>
          <w:sz w:val="44"/>
          <w:szCs w:val="44"/>
        </w:rPr>
        <w:t xml:space="preserve">Assignment title: </w:t>
      </w:r>
      <w:r>
        <w:rPr>
          <w:rFonts w:ascii="Arial" w:hAnsi="Arial" w:cs="Arial"/>
          <w:b/>
          <w:bCs/>
          <w:sz w:val="44"/>
          <w:szCs w:val="44"/>
        </w:rPr>
        <w:t>Supporting Paper</w:t>
      </w:r>
    </w:p>
    <w:p w14:paraId="66EDA023" w14:textId="77777777" w:rsidR="007B7162" w:rsidRDefault="007B7162">
      <w:pPr>
        <w:rPr>
          <w:rFonts w:ascii="Arial" w:hAnsi="Arial" w:cs="Arial"/>
          <w:b/>
          <w:bCs/>
          <w:sz w:val="44"/>
          <w:szCs w:val="44"/>
        </w:rPr>
      </w:pPr>
      <w:r>
        <w:rPr>
          <w:rFonts w:ascii="Arial" w:hAnsi="Arial" w:cs="Arial"/>
          <w:b/>
          <w:bCs/>
          <w:sz w:val="44"/>
          <w:szCs w:val="44"/>
        </w:rPr>
        <w:br w:type="page"/>
      </w:r>
    </w:p>
    <w:p w14:paraId="3F2AE44B" w14:textId="239118B9" w:rsidR="001627AC" w:rsidRPr="00842674" w:rsidRDefault="007B7162" w:rsidP="00842674">
      <w:pPr>
        <w:spacing w:line="360" w:lineRule="auto"/>
        <w:jc w:val="center"/>
        <w:rPr>
          <w:rFonts w:ascii="Arial" w:hAnsi="Arial" w:cs="Arial"/>
          <w:b/>
          <w:bCs/>
          <w:sz w:val="28"/>
          <w:szCs w:val="28"/>
        </w:rPr>
      </w:pPr>
      <w:r w:rsidRPr="00842674">
        <w:rPr>
          <w:rFonts w:ascii="Arial" w:hAnsi="Arial" w:cs="Arial"/>
          <w:b/>
          <w:bCs/>
          <w:sz w:val="28"/>
          <w:szCs w:val="28"/>
        </w:rPr>
        <w:lastRenderedPageBreak/>
        <w:t>Factors of vulnerability child, young people, and family</w:t>
      </w:r>
    </w:p>
    <w:p w14:paraId="7DE238FC" w14:textId="4B123596" w:rsidR="007B7162" w:rsidRPr="00842674" w:rsidRDefault="007B7162" w:rsidP="00842674">
      <w:pPr>
        <w:spacing w:line="360" w:lineRule="auto"/>
        <w:jc w:val="both"/>
        <w:rPr>
          <w:rFonts w:ascii="Arial" w:hAnsi="Arial" w:cs="Arial"/>
        </w:rPr>
      </w:pPr>
      <w:r w:rsidRPr="00842674">
        <w:rPr>
          <w:rFonts w:ascii="Arial" w:hAnsi="Arial" w:cs="Arial"/>
        </w:rPr>
        <w:t>The strict meaning of the term “vulnerability” is the state or condition of being frail or ineffectively protected. The concept helplessness with respect to youthful individuals infers the ones who are more uncovered to dangers than their peers. They can be helpless in terms of hardship (nourishment, instruction, and parental care), misuse, manhandle, disregard, savagery, and contamination with HIV. Powerlessness may be a relative state that will run from strength to add up to weakness.</w:t>
      </w:r>
      <w:r w:rsidR="0089540F" w:rsidRPr="00842674">
        <w:rPr>
          <w:rFonts w:ascii="Arial" w:hAnsi="Arial" w:cs="Arial"/>
        </w:rPr>
        <w:t xml:space="preserve"> (Shah et al., 2015)</w:t>
      </w:r>
    </w:p>
    <w:p w14:paraId="149E9B54" w14:textId="276D1922" w:rsidR="0089540F" w:rsidRPr="00842674" w:rsidRDefault="0089540F" w:rsidP="00842674">
      <w:pPr>
        <w:spacing w:line="360" w:lineRule="auto"/>
        <w:jc w:val="both"/>
        <w:rPr>
          <w:rFonts w:ascii="Arial" w:hAnsi="Arial" w:cs="Arial"/>
        </w:rPr>
      </w:pPr>
      <w:r w:rsidRPr="00842674">
        <w:rPr>
          <w:rFonts w:ascii="Arial" w:hAnsi="Arial" w:cs="Arial"/>
        </w:rPr>
        <w:t>Numerous of the activities looked for to target youthful individuals by surveying their levels of risk. Such an approach requires a clear understanding of the transaction between the hazard and defensive components in each youthful person life, the ways in which these move over time, the concentrated and duration of each chance and its potential to result in destitute results, and the components that can be controlled most viably by different intercessions. Practitioners understanding of dangers and their capacity to evaluate them precisely shifted, and the utilize of comprehensive chance assessment apparatuses was sketchy. (Walker and Donaldson, 2010)</w:t>
      </w:r>
    </w:p>
    <w:p w14:paraId="69C21F2E" w14:textId="3E4CFAE2" w:rsidR="0089540F" w:rsidRPr="00842674" w:rsidRDefault="0089540F" w:rsidP="00842674">
      <w:pPr>
        <w:spacing w:line="360" w:lineRule="auto"/>
        <w:jc w:val="both"/>
        <w:rPr>
          <w:rFonts w:ascii="Arial" w:hAnsi="Arial" w:cs="Arial"/>
        </w:rPr>
      </w:pPr>
      <w:r w:rsidRPr="00842674">
        <w:rPr>
          <w:rFonts w:ascii="Arial" w:hAnsi="Arial" w:cs="Arial"/>
        </w:rPr>
        <w:t>As child sexual misuse (CSE) has risen towards the best of the UK political plan, the concept of powerlessness has gotten to be a central outline through which to get it and address the issue.</w:t>
      </w:r>
      <w:r w:rsidR="00EC0D7D" w:rsidRPr="00842674">
        <w:rPr>
          <w:rFonts w:ascii="Arial" w:hAnsi="Arial" w:cs="Arial"/>
        </w:rPr>
        <w:t xml:space="preserve"> (Brown, 2019)</w:t>
      </w:r>
    </w:p>
    <w:p w14:paraId="667D837A" w14:textId="71C3CA80" w:rsidR="00A73F02" w:rsidRPr="00842674" w:rsidRDefault="00A73F02" w:rsidP="00842674">
      <w:pPr>
        <w:spacing w:line="360" w:lineRule="auto"/>
        <w:jc w:val="both"/>
        <w:rPr>
          <w:rFonts w:ascii="Arial" w:hAnsi="Arial" w:cs="Arial"/>
        </w:rPr>
      </w:pPr>
      <w:r w:rsidRPr="00842674">
        <w:rPr>
          <w:rFonts w:ascii="Arial" w:hAnsi="Arial" w:cs="Arial"/>
        </w:rPr>
        <w:t>Abuse can happen to anybody but inquire about appears that a few children who have experienced abuse share comparative characteristics. This implies they may be more vulnerable. Having one or more of these characteristics does</w:t>
      </w:r>
      <w:r w:rsidR="00647AD8">
        <w:rPr>
          <w:rFonts w:ascii="Arial" w:hAnsi="Arial" w:cs="Arial"/>
        </w:rPr>
        <w:t xml:space="preserve"> not</w:t>
      </w:r>
      <w:r w:rsidRPr="00842674">
        <w:rPr>
          <w:rFonts w:ascii="Arial" w:hAnsi="Arial" w:cs="Arial"/>
        </w:rPr>
        <w:t xml:space="preserve"> naturally cruel a child will encounter abuse or disregard – and not having any of them is</w:t>
      </w:r>
      <w:r w:rsidR="00647AD8">
        <w:rPr>
          <w:rFonts w:ascii="Arial" w:hAnsi="Arial" w:cs="Arial"/>
        </w:rPr>
        <w:t xml:space="preserve"> not</w:t>
      </w:r>
      <w:r w:rsidRPr="00842674">
        <w:rPr>
          <w:rFonts w:ascii="Arial" w:hAnsi="Arial" w:cs="Arial"/>
        </w:rPr>
        <w:t xml:space="preserve"> a ensure that a child will never be harmed. But we do know that these challenges are regularly interlinked and the more issues a child and their family are encountering, the more noteworthy the chance of abuse It</w:t>
      </w:r>
      <w:r w:rsidR="00647AD8">
        <w:rPr>
          <w:rFonts w:ascii="Arial" w:hAnsi="Arial" w:cs="Arial"/>
        </w:rPr>
        <w:t xml:space="preserve"> is</w:t>
      </w:r>
      <w:r w:rsidRPr="00842674">
        <w:rPr>
          <w:rFonts w:ascii="Arial" w:hAnsi="Arial" w:cs="Arial"/>
        </w:rPr>
        <w:t xml:space="preserve"> imperative for experts to get it hazard and helplessness variables so they can distinguish which families require additional back to assist keep their children secure. (NSPCC Learning, 2011)</w:t>
      </w:r>
    </w:p>
    <w:p w14:paraId="213FF86B" w14:textId="5FD5E37A" w:rsidR="00A73F02" w:rsidRPr="00842674" w:rsidRDefault="00A73F02" w:rsidP="00842674">
      <w:pPr>
        <w:spacing w:line="360" w:lineRule="auto"/>
        <w:jc w:val="both"/>
        <w:rPr>
          <w:rFonts w:ascii="Arial" w:hAnsi="Arial" w:cs="Arial"/>
          <w:b/>
          <w:bCs/>
          <w:u w:val="single"/>
        </w:rPr>
      </w:pPr>
      <w:r w:rsidRPr="00842674">
        <w:rPr>
          <w:rFonts w:ascii="Arial" w:hAnsi="Arial" w:cs="Arial"/>
          <w:b/>
          <w:bCs/>
          <w:u w:val="single"/>
        </w:rPr>
        <w:t xml:space="preserve">Risk factors </w:t>
      </w:r>
    </w:p>
    <w:p w14:paraId="1EDF5323" w14:textId="03331E42" w:rsidR="00A73F02" w:rsidRPr="00842674" w:rsidRDefault="00A73F02" w:rsidP="00842674">
      <w:pPr>
        <w:spacing w:line="360" w:lineRule="auto"/>
        <w:jc w:val="both"/>
        <w:rPr>
          <w:rFonts w:ascii="Arial" w:hAnsi="Arial" w:cs="Arial"/>
        </w:rPr>
      </w:pPr>
      <w:r w:rsidRPr="00842674">
        <w:rPr>
          <w:rFonts w:ascii="Arial" w:hAnsi="Arial" w:cs="Arial"/>
        </w:rPr>
        <w:t>We all have a duty to keep all children and youthful individuals secure. A child having an inability, being d/Deaf or requiring extra back ought to never halt somebody acting on child security concerns. We are utilizing the term ‘disabled children’ to allude to children and youthful individuals with a extend of exceptionally distinctive conditions and characters, a few of whom may not distinguish as being crippled.</w:t>
      </w:r>
    </w:p>
    <w:p w14:paraId="5B1C6A92" w14:textId="3EDD878E" w:rsidR="00A73F02" w:rsidRPr="00842674" w:rsidRDefault="00A73F02" w:rsidP="00842674">
      <w:pPr>
        <w:spacing w:line="360" w:lineRule="auto"/>
        <w:jc w:val="both"/>
        <w:rPr>
          <w:rFonts w:ascii="Arial" w:hAnsi="Arial" w:cs="Arial"/>
        </w:rPr>
      </w:pPr>
      <w:r w:rsidRPr="00842674">
        <w:rPr>
          <w:rFonts w:ascii="Arial" w:hAnsi="Arial" w:cs="Arial"/>
        </w:rPr>
        <w:lastRenderedPageBreak/>
        <w:t>Children and youthful individuals may utilize distinctive dialect to depict themselves and their needs. You ought to inquire what terms they would lean toward and utilize these when talking to them. Children and youthful individuals who have incapacities are at an expanded hazard of being manhandled compared with their non-disabled peers and are moreover less likely to get the security and bolster they require when they have been mishandled</w:t>
      </w:r>
      <w:r w:rsidR="000309CC" w:rsidRPr="00842674">
        <w:rPr>
          <w:rFonts w:ascii="Arial" w:hAnsi="Arial" w:cs="Arial"/>
        </w:rPr>
        <w:t xml:space="preserve">. </w:t>
      </w:r>
      <w:r w:rsidRPr="00842674">
        <w:rPr>
          <w:rFonts w:ascii="Arial" w:hAnsi="Arial" w:cs="Arial"/>
        </w:rPr>
        <w:t xml:space="preserve">Professionals in some cases have trouble distinguishing shielding concerns when working with d/Deaf and crippled children. It </w:t>
      </w:r>
      <w:r w:rsidR="000309CC" w:rsidRPr="00842674">
        <w:rPr>
          <w:rFonts w:ascii="Arial" w:hAnsi="Arial" w:cs="Arial"/>
        </w:rPr>
        <w:t>is crucial</w:t>
      </w:r>
      <w:r w:rsidRPr="00842674">
        <w:rPr>
          <w:rFonts w:ascii="Arial" w:hAnsi="Arial" w:cs="Arial"/>
        </w:rPr>
        <w:t xml:space="preserve"> that everybody who works with d/Deaf and impaired children gets it how to secure them against individuals who would take advantage of their expanded powerlessness.</w:t>
      </w:r>
      <w:r w:rsidR="000309CC" w:rsidRPr="00842674">
        <w:rPr>
          <w:rFonts w:ascii="Arial" w:hAnsi="Arial" w:cs="Arial"/>
        </w:rPr>
        <w:t xml:space="preserve"> (NSPCC Learning, 2021)</w:t>
      </w:r>
    </w:p>
    <w:p w14:paraId="4CE1B68E" w14:textId="455A0145" w:rsidR="000309CC" w:rsidRPr="00842674" w:rsidRDefault="000309CC" w:rsidP="00842674">
      <w:pPr>
        <w:spacing w:line="360" w:lineRule="auto"/>
        <w:jc w:val="both"/>
        <w:rPr>
          <w:rFonts w:ascii="Arial" w:hAnsi="Arial" w:cs="Arial"/>
          <w:b/>
          <w:bCs/>
        </w:rPr>
      </w:pPr>
      <w:r w:rsidRPr="00842674">
        <w:rPr>
          <w:rFonts w:ascii="Arial" w:hAnsi="Arial" w:cs="Arial"/>
          <w:b/>
          <w:bCs/>
        </w:rPr>
        <w:t>Policies</w:t>
      </w:r>
    </w:p>
    <w:p w14:paraId="63138378" w14:textId="77777777" w:rsidR="000309CC" w:rsidRPr="00842674" w:rsidRDefault="000309CC" w:rsidP="00842674">
      <w:pPr>
        <w:spacing w:line="360" w:lineRule="auto"/>
        <w:jc w:val="both"/>
        <w:rPr>
          <w:rFonts w:ascii="Arial" w:hAnsi="Arial" w:cs="Arial"/>
        </w:rPr>
      </w:pPr>
      <w:r w:rsidRPr="00842674">
        <w:rPr>
          <w:rFonts w:ascii="Arial" w:hAnsi="Arial" w:cs="Arial"/>
        </w:rPr>
        <w:t xml:space="preserve">Desires of all children with an inability ought to be joined into shielding approaches and procedures. </w:t>
      </w:r>
    </w:p>
    <w:p w14:paraId="67E47EF8" w14:textId="55CC4F03" w:rsidR="000309CC" w:rsidRPr="00842674" w:rsidRDefault="000309CC" w:rsidP="00842674">
      <w:pPr>
        <w:spacing w:line="360" w:lineRule="auto"/>
        <w:jc w:val="both"/>
        <w:rPr>
          <w:rFonts w:ascii="Arial" w:hAnsi="Arial" w:cs="Arial"/>
        </w:rPr>
      </w:pPr>
      <w:r w:rsidRPr="00842674">
        <w:rPr>
          <w:rFonts w:ascii="Arial" w:hAnsi="Arial" w:cs="Arial"/>
        </w:rPr>
        <w:t>Safeguarding approach articulations should: include a balance articulation with a commitment to anti-discriminatory practice recognise the expanded helplessness of debilitated children to manhandle and disregard and the boundaries they may face include:</w:t>
      </w:r>
    </w:p>
    <w:p w14:paraId="67A9FF54" w14:textId="19FFFF1B" w:rsidR="000309CC" w:rsidRPr="00842674" w:rsidRDefault="000309CC" w:rsidP="00842674">
      <w:pPr>
        <w:spacing w:line="360" w:lineRule="auto"/>
        <w:jc w:val="both"/>
        <w:rPr>
          <w:rFonts w:ascii="Arial" w:hAnsi="Arial" w:cs="Arial"/>
        </w:rPr>
      </w:pPr>
      <w:r w:rsidRPr="00842674">
        <w:rPr>
          <w:rFonts w:ascii="Arial" w:hAnsi="Arial" w:cs="Arial"/>
        </w:rPr>
        <w:t>Extra shields to ensure impaired children, consider the require of d/Deaf or debilitated children in making it simpler for them to report manhandle to a trusted adult, cover any defending issues that are particular to a child, incapacity such as hint care and secure touch.</w:t>
      </w:r>
    </w:p>
    <w:p w14:paraId="0CEA808F" w14:textId="28EF818B" w:rsidR="000309CC" w:rsidRPr="00842674" w:rsidRDefault="000309CC" w:rsidP="00842674">
      <w:pPr>
        <w:spacing w:line="360" w:lineRule="auto"/>
        <w:jc w:val="both"/>
        <w:rPr>
          <w:rFonts w:ascii="Arial" w:hAnsi="Arial" w:cs="Arial"/>
        </w:rPr>
      </w:pPr>
      <w:r w:rsidRPr="00842674">
        <w:rPr>
          <w:rFonts w:ascii="Arial" w:hAnsi="Arial" w:cs="Arial"/>
        </w:rPr>
        <w:t>A few children and youthful individuals with inabilities may require pharmaceutical. Schools and private care settings ought to have an approach in put on regulating medication. Everyone working with children ought to get standard child assurance training. Training ought to highlight the reasons impaired children are at expanded hazard of mishandle and disregard and why extra shields are required to secure them. It ought to give direction on what to see out for and how to reply early to wants of impaired children. (NSPCC Learning, 2021)</w:t>
      </w:r>
    </w:p>
    <w:p w14:paraId="0749844C" w14:textId="71E651EB" w:rsidR="000309CC" w:rsidRPr="00842674" w:rsidRDefault="000309CC" w:rsidP="00842674">
      <w:pPr>
        <w:spacing w:line="360" w:lineRule="auto"/>
        <w:jc w:val="both"/>
        <w:rPr>
          <w:rFonts w:ascii="Arial" w:hAnsi="Arial" w:cs="Arial"/>
          <w:b/>
          <w:bCs/>
        </w:rPr>
      </w:pPr>
      <w:r w:rsidRPr="00842674">
        <w:rPr>
          <w:rFonts w:ascii="Arial" w:hAnsi="Arial" w:cs="Arial"/>
          <w:b/>
          <w:bCs/>
        </w:rPr>
        <w:t xml:space="preserve">Recommendation </w:t>
      </w:r>
    </w:p>
    <w:p w14:paraId="2BE190DE" w14:textId="232C4509" w:rsidR="00450D04" w:rsidRPr="00842674" w:rsidRDefault="00450D04" w:rsidP="00842674">
      <w:pPr>
        <w:spacing w:line="360" w:lineRule="auto"/>
        <w:jc w:val="both"/>
        <w:rPr>
          <w:rFonts w:ascii="Arial" w:hAnsi="Arial" w:cs="Arial"/>
        </w:rPr>
      </w:pPr>
      <w:r w:rsidRPr="00842674">
        <w:rPr>
          <w:rFonts w:ascii="Arial" w:hAnsi="Arial" w:cs="Arial"/>
        </w:rPr>
        <w:t xml:space="preserve">Guarantee neighbourhood communities, community and deliberate segment associations and statutory administrations work together to arrange, plan, create, </w:t>
      </w:r>
      <w:r w:rsidR="00647AD8" w:rsidRPr="00842674">
        <w:rPr>
          <w:rFonts w:ascii="Arial" w:hAnsi="Arial" w:cs="Arial"/>
        </w:rPr>
        <w:t>convey,</w:t>
      </w:r>
      <w:r w:rsidRPr="00842674">
        <w:rPr>
          <w:rFonts w:ascii="Arial" w:hAnsi="Arial" w:cs="Arial"/>
        </w:rPr>
        <w:t xml:space="preserve"> and assess wellbeing and prosperity initiatives. Support and advance feasible community engagement by empowering neighbourhood communities to induce included in all stages of a wellbeing and prosperity initiative. Support advancement of collaborations and partnerships to energize nearby communities to require portion in activities to progress their wellbeing and prosperity and decrease wellbeing imbalances.</w:t>
      </w:r>
    </w:p>
    <w:p w14:paraId="539966B1" w14:textId="6C639A84" w:rsidR="00450D04" w:rsidRPr="00842674" w:rsidRDefault="00450D04" w:rsidP="00842674">
      <w:pPr>
        <w:spacing w:line="360" w:lineRule="auto"/>
        <w:jc w:val="both"/>
        <w:rPr>
          <w:rFonts w:ascii="Arial" w:hAnsi="Arial" w:cs="Arial"/>
        </w:rPr>
      </w:pPr>
      <w:r w:rsidRPr="00842674">
        <w:rPr>
          <w:rFonts w:ascii="Arial" w:hAnsi="Arial" w:cs="Arial"/>
        </w:rPr>
        <w:lastRenderedPageBreak/>
        <w:t>Guarantee decision</w:t>
      </w:r>
      <w:r w:rsidRPr="00842674">
        <w:rPr>
          <w:rFonts w:ascii="Cambria Math" w:hAnsi="Cambria Math" w:cs="Cambria Math"/>
        </w:rPr>
        <w:t>‑</w:t>
      </w:r>
      <w:r w:rsidRPr="00842674">
        <w:rPr>
          <w:rFonts w:ascii="Arial" w:hAnsi="Arial" w:cs="Arial"/>
        </w:rPr>
        <w:t>making bunches incorporate individuals of the nearby community who reflect the differences of that community. Empower person individuals to share the seeds of their more extensive systems and others within the community. Bunches ought to follow to the key standards sketched out in this section. Feedback the comes about of engagement to the neighbourhood communities concerned, as well as other accomplices. This might be communicated in a run of ways, for case, through the neighbourhood daily paper or community site, through community bunches or by means of open occasions in community scenes or other broadly open places. See assessment and input. (Nice.org.uk, 2016)</w:t>
      </w:r>
    </w:p>
    <w:p w14:paraId="28E2A77A" w14:textId="77777777" w:rsidR="0089540F" w:rsidRPr="00842674" w:rsidRDefault="0089540F" w:rsidP="00842674">
      <w:pPr>
        <w:spacing w:line="360" w:lineRule="auto"/>
        <w:jc w:val="both"/>
        <w:rPr>
          <w:rFonts w:ascii="Arial" w:hAnsi="Arial" w:cs="Arial"/>
          <w:b/>
          <w:bCs/>
        </w:rPr>
      </w:pPr>
    </w:p>
    <w:p w14:paraId="17C08858" w14:textId="77777777" w:rsidR="0089540F" w:rsidRPr="00842674" w:rsidRDefault="0089540F" w:rsidP="00842674">
      <w:pPr>
        <w:spacing w:line="360" w:lineRule="auto"/>
        <w:jc w:val="both"/>
        <w:rPr>
          <w:rFonts w:ascii="Arial" w:hAnsi="Arial" w:cs="Arial"/>
          <w:b/>
          <w:bCs/>
        </w:rPr>
      </w:pPr>
    </w:p>
    <w:p w14:paraId="0EA1BC64" w14:textId="77777777" w:rsidR="0089540F" w:rsidRPr="00842674" w:rsidRDefault="0089540F" w:rsidP="00842674">
      <w:pPr>
        <w:spacing w:line="360" w:lineRule="auto"/>
        <w:jc w:val="both"/>
        <w:rPr>
          <w:rFonts w:ascii="Arial" w:hAnsi="Arial" w:cs="Arial"/>
          <w:b/>
          <w:bCs/>
        </w:rPr>
      </w:pPr>
    </w:p>
    <w:p w14:paraId="38984409" w14:textId="77777777" w:rsidR="0089540F" w:rsidRPr="00842674" w:rsidRDefault="0089540F" w:rsidP="00842674">
      <w:pPr>
        <w:spacing w:line="360" w:lineRule="auto"/>
        <w:jc w:val="both"/>
        <w:rPr>
          <w:rFonts w:ascii="Arial" w:hAnsi="Arial" w:cs="Arial"/>
          <w:b/>
          <w:bCs/>
        </w:rPr>
      </w:pPr>
    </w:p>
    <w:p w14:paraId="1F1CFF66" w14:textId="77777777" w:rsidR="0089540F" w:rsidRPr="00842674" w:rsidRDefault="0089540F" w:rsidP="00842674">
      <w:pPr>
        <w:spacing w:line="360" w:lineRule="auto"/>
        <w:jc w:val="both"/>
        <w:rPr>
          <w:rFonts w:ascii="Arial" w:hAnsi="Arial" w:cs="Arial"/>
          <w:b/>
          <w:bCs/>
        </w:rPr>
      </w:pPr>
    </w:p>
    <w:p w14:paraId="50801433" w14:textId="77777777" w:rsidR="000309CC" w:rsidRPr="00842674" w:rsidRDefault="000309CC" w:rsidP="00842674">
      <w:pPr>
        <w:spacing w:line="360" w:lineRule="auto"/>
        <w:jc w:val="both"/>
        <w:rPr>
          <w:rFonts w:ascii="Arial" w:hAnsi="Arial" w:cs="Arial"/>
          <w:b/>
          <w:bCs/>
        </w:rPr>
      </w:pPr>
    </w:p>
    <w:p w14:paraId="39985EE9" w14:textId="77777777" w:rsidR="0089540F" w:rsidRPr="00842674" w:rsidRDefault="0089540F" w:rsidP="00842674">
      <w:pPr>
        <w:spacing w:line="360" w:lineRule="auto"/>
        <w:jc w:val="both"/>
        <w:rPr>
          <w:rFonts w:ascii="Arial" w:hAnsi="Arial" w:cs="Arial"/>
          <w:b/>
          <w:bCs/>
        </w:rPr>
      </w:pPr>
    </w:p>
    <w:p w14:paraId="45C10DC7" w14:textId="77777777" w:rsidR="00450D04" w:rsidRPr="00842674" w:rsidRDefault="00450D04" w:rsidP="00842674">
      <w:pPr>
        <w:spacing w:line="360" w:lineRule="auto"/>
        <w:jc w:val="both"/>
        <w:rPr>
          <w:rFonts w:ascii="Arial" w:hAnsi="Arial" w:cs="Arial"/>
          <w:b/>
          <w:bCs/>
        </w:rPr>
      </w:pPr>
    </w:p>
    <w:p w14:paraId="4D075DDE" w14:textId="77777777" w:rsidR="00450D04" w:rsidRPr="00842674" w:rsidRDefault="00450D04" w:rsidP="00842674">
      <w:pPr>
        <w:spacing w:line="360" w:lineRule="auto"/>
        <w:jc w:val="both"/>
        <w:rPr>
          <w:rFonts w:ascii="Arial" w:hAnsi="Arial" w:cs="Arial"/>
          <w:b/>
          <w:bCs/>
        </w:rPr>
      </w:pPr>
    </w:p>
    <w:p w14:paraId="22CAE0CE" w14:textId="77777777" w:rsidR="00450D04" w:rsidRPr="00842674" w:rsidRDefault="00450D04" w:rsidP="00842674">
      <w:pPr>
        <w:spacing w:line="360" w:lineRule="auto"/>
        <w:jc w:val="both"/>
        <w:rPr>
          <w:rFonts w:ascii="Arial" w:hAnsi="Arial" w:cs="Arial"/>
          <w:b/>
          <w:bCs/>
        </w:rPr>
      </w:pPr>
    </w:p>
    <w:p w14:paraId="2E02CD8A" w14:textId="77777777" w:rsidR="00450D04" w:rsidRPr="00842674" w:rsidRDefault="00450D04" w:rsidP="00842674">
      <w:pPr>
        <w:spacing w:line="360" w:lineRule="auto"/>
        <w:jc w:val="both"/>
        <w:rPr>
          <w:rFonts w:ascii="Arial" w:hAnsi="Arial" w:cs="Arial"/>
          <w:b/>
          <w:bCs/>
        </w:rPr>
      </w:pPr>
    </w:p>
    <w:p w14:paraId="15971AE4" w14:textId="77777777" w:rsidR="00450D04" w:rsidRPr="00842674" w:rsidRDefault="00450D04" w:rsidP="00842674">
      <w:pPr>
        <w:spacing w:line="360" w:lineRule="auto"/>
        <w:jc w:val="both"/>
        <w:rPr>
          <w:rFonts w:ascii="Arial" w:hAnsi="Arial" w:cs="Arial"/>
          <w:b/>
          <w:bCs/>
        </w:rPr>
      </w:pPr>
    </w:p>
    <w:p w14:paraId="57C053D1" w14:textId="77777777" w:rsidR="00450D04" w:rsidRPr="00842674" w:rsidRDefault="00450D04" w:rsidP="00842674">
      <w:pPr>
        <w:spacing w:line="360" w:lineRule="auto"/>
        <w:jc w:val="both"/>
        <w:rPr>
          <w:rFonts w:ascii="Arial" w:hAnsi="Arial" w:cs="Arial"/>
          <w:b/>
          <w:bCs/>
        </w:rPr>
      </w:pPr>
    </w:p>
    <w:p w14:paraId="5BB45A49" w14:textId="5E24040F" w:rsidR="00450D04" w:rsidRDefault="00450D04" w:rsidP="00842674">
      <w:pPr>
        <w:spacing w:line="360" w:lineRule="auto"/>
        <w:jc w:val="both"/>
        <w:rPr>
          <w:rFonts w:ascii="Arial" w:hAnsi="Arial" w:cs="Arial"/>
          <w:b/>
          <w:bCs/>
        </w:rPr>
      </w:pPr>
    </w:p>
    <w:p w14:paraId="26BC8DE4" w14:textId="2A9C2086" w:rsidR="00842674" w:rsidRDefault="00842674" w:rsidP="00842674">
      <w:pPr>
        <w:spacing w:line="360" w:lineRule="auto"/>
        <w:jc w:val="both"/>
        <w:rPr>
          <w:rFonts w:ascii="Arial" w:hAnsi="Arial" w:cs="Arial"/>
          <w:b/>
          <w:bCs/>
        </w:rPr>
      </w:pPr>
    </w:p>
    <w:p w14:paraId="42986D1A" w14:textId="6C9E4FAA" w:rsidR="00842674" w:rsidRDefault="00842674" w:rsidP="00842674">
      <w:pPr>
        <w:spacing w:line="360" w:lineRule="auto"/>
        <w:jc w:val="both"/>
        <w:rPr>
          <w:rFonts w:ascii="Arial" w:hAnsi="Arial" w:cs="Arial"/>
          <w:b/>
          <w:bCs/>
        </w:rPr>
      </w:pPr>
    </w:p>
    <w:p w14:paraId="10632911" w14:textId="472B31D7" w:rsidR="00842674" w:rsidRDefault="00842674" w:rsidP="00842674">
      <w:pPr>
        <w:spacing w:line="360" w:lineRule="auto"/>
        <w:jc w:val="both"/>
        <w:rPr>
          <w:rFonts w:ascii="Arial" w:hAnsi="Arial" w:cs="Arial"/>
          <w:b/>
          <w:bCs/>
        </w:rPr>
      </w:pPr>
    </w:p>
    <w:p w14:paraId="5F23D594" w14:textId="7CC56BC0" w:rsidR="00842674" w:rsidRDefault="00842674" w:rsidP="00842674">
      <w:pPr>
        <w:spacing w:line="360" w:lineRule="auto"/>
        <w:jc w:val="both"/>
        <w:rPr>
          <w:rFonts w:ascii="Arial" w:hAnsi="Arial" w:cs="Arial"/>
          <w:b/>
          <w:bCs/>
        </w:rPr>
      </w:pPr>
    </w:p>
    <w:p w14:paraId="3CC38E8D" w14:textId="35407CFB" w:rsidR="00842674" w:rsidRDefault="00842674" w:rsidP="00842674">
      <w:pPr>
        <w:spacing w:line="360" w:lineRule="auto"/>
        <w:jc w:val="both"/>
        <w:rPr>
          <w:rFonts w:ascii="Arial" w:hAnsi="Arial" w:cs="Arial"/>
          <w:b/>
          <w:bCs/>
        </w:rPr>
      </w:pPr>
    </w:p>
    <w:p w14:paraId="06078726" w14:textId="77777777" w:rsidR="00842674" w:rsidRPr="00842674" w:rsidRDefault="00842674" w:rsidP="00842674">
      <w:pPr>
        <w:spacing w:line="360" w:lineRule="auto"/>
        <w:jc w:val="both"/>
        <w:rPr>
          <w:rFonts w:ascii="Arial" w:hAnsi="Arial" w:cs="Arial"/>
          <w:b/>
          <w:bCs/>
        </w:rPr>
      </w:pPr>
    </w:p>
    <w:p w14:paraId="02AD5AE7" w14:textId="085C65A7" w:rsidR="0089540F" w:rsidRPr="00842674" w:rsidRDefault="0089540F" w:rsidP="00842674">
      <w:pPr>
        <w:spacing w:line="360" w:lineRule="auto"/>
        <w:jc w:val="center"/>
        <w:rPr>
          <w:rFonts w:ascii="Arial" w:hAnsi="Arial" w:cs="Arial"/>
          <w:b/>
          <w:bCs/>
          <w:sz w:val="28"/>
          <w:szCs w:val="28"/>
        </w:rPr>
      </w:pPr>
      <w:r w:rsidRPr="00842674">
        <w:rPr>
          <w:rFonts w:ascii="Arial" w:hAnsi="Arial" w:cs="Arial"/>
          <w:b/>
          <w:bCs/>
          <w:sz w:val="28"/>
          <w:szCs w:val="28"/>
        </w:rPr>
        <w:lastRenderedPageBreak/>
        <w:t>References</w:t>
      </w:r>
    </w:p>
    <w:p w14:paraId="320364DA" w14:textId="30F87936" w:rsidR="0089540F" w:rsidRPr="00842674" w:rsidRDefault="0089540F" w:rsidP="00842674">
      <w:pPr>
        <w:pStyle w:val="ListParagraph"/>
        <w:numPr>
          <w:ilvl w:val="0"/>
          <w:numId w:val="1"/>
        </w:numPr>
        <w:spacing w:line="360" w:lineRule="auto"/>
        <w:jc w:val="both"/>
        <w:rPr>
          <w:rFonts w:ascii="Arial" w:hAnsi="Arial" w:cs="Arial"/>
        </w:rPr>
      </w:pPr>
      <w:r w:rsidRPr="00842674">
        <w:rPr>
          <w:rFonts w:ascii="Arial" w:hAnsi="Arial" w:cs="Arial"/>
        </w:rPr>
        <w:t xml:space="preserve">Brown, K. (2019). Vulnerability and child sexual exploitation: Towards an approach grounded in life experiences. Critical Social Policy, [online] 39(4), pp.622–642. Available at: </w:t>
      </w:r>
      <w:hyperlink r:id="rId7" w:history="1">
        <w:r w:rsidR="009C61C2" w:rsidRPr="00842674">
          <w:rPr>
            <w:rStyle w:val="Hyperlink"/>
            <w:rFonts w:ascii="Arial" w:hAnsi="Arial" w:cs="Arial"/>
          </w:rPr>
          <w:t>https://journals.sagepub.com/doi/10.1177/0261018318824480</w:t>
        </w:r>
      </w:hyperlink>
      <w:r w:rsidRPr="00842674">
        <w:rPr>
          <w:rFonts w:ascii="Arial" w:hAnsi="Arial" w:cs="Arial"/>
        </w:rPr>
        <w:t>.</w:t>
      </w:r>
    </w:p>
    <w:p w14:paraId="474EEC86" w14:textId="582E21A1" w:rsidR="00450D04" w:rsidRPr="00842674" w:rsidRDefault="00450D04" w:rsidP="00842674">
      <w:pPr>
        <w:pStyle w:val="ListParagraph"/>
        <w:numPr>
          <w:ilvl w:val="0"/>
          <w:numId w:val="1"/>
        </w:numPr>
        <w:spacing w:line="360" w:lineRule="auto"/>
        <w:jc w:val="both"/>
        <w:rPr>
          <w:rFonts w:ascii="Arial" w:hAnsi="Arial" w:cs="Arial"/>
        </w:rPr>
      </w:pPr>
      <w:r w:rsidRPr="00842674">
        <w:rPr>
          <w:rFonts w:ascii="Arial" w:hAnsi="Arial" w:cs="Arial"/>
        </w:rPr>
        <w:t>Nice.org.uk. (2016). Recommendations | Community engagement: improving health and wellbeing and reducing health inequalities | Guidance | NICE. [online] Available at: https://www.nice.org.uk/guidance/ng44/chapter/recommendations.</w:t>
      </w:r>
    </w:p>
    <w:p w14:paraId="16359C50" w14:textId="0EA1D05F" w:rsidR="00A73F02" w:rsidRPr="00842674" w:rsidRDefault="00A73F02" w:rsidP="00842674">
      <w:pPr>
        <w:pStyle w:val="ListParagraph"/>
        <w:numPr>
          <w:ilvl w:val="0"/>
          <w:numId w:val="1"/>
        </w:numPr>
        <w:spacing w:line="360" w:lineRule="auto"/>
        <w:jc w:val="both"/>
        <w:rPr>
          <w:rFonts w:ascii="Arial" w:hAnsi="Arial" w:cs="Arial"/>
        </w:rPr>
      </w:pPr>
      <w:r w:rsidRPr="00842674">
        <w:rPr>
          <w:rFonts w:ascii="Arial" w:hAnsi="Arial" w:cs="Arial"/>
        </w:rPr>
        <w:t xml:space="preserve">NSPCC Learning. (2011). Children and families at risk of abuse or neglect. [online] Available at: </w:t>
      </w:r>
      <w:hyperlink r:id="rId8" w:history="1">
        <w:r w:rsidR="000309CC" w:rsidRPr="00842674">
          <w:rPr>
            <w:rStyle w:val="Hyperlink"/>
            <w:rFonts w:ascii="Arial" w:hAnsi="Arial" w:cs="Arial"/>
          </w:rPr>
          <w:t>https://learning.nspcc.org.uk/children-and-families-at-risk</w:t>
        </w:r>
      </w:hyperlink>
      <w:r w:rsidRPr="00842674">
        <w:rPr>
          <w:rFonts w:ascii="Arial" w:hAnsi="Arial" w:cs="Arial"/>
        </w:rPr>
        <w:t>.</w:t>
      </w:r>
    </w:p>
    <w:p w14:paraId="14368A9F" w14:textId="283BDB1D" w:rsidR="000309CC" w:rsidRPr="00842674" w:rsidRDefault="000309CC" w:rsidP="00842674">
      <w:pPr>
        <w:pStyle w:val="ListParagraph"/>
        <w:numPr>
          <w:ilvl w:val="0"/>
          <w:numId w:val="1"/>
        </w:numPr>
        <w:spacing w:line="360" w:lineRule="auto"/>
        <w:jc w:val="both"/>
        <w:rPr>
          <w:rFonts w:ascii="Arial" w:hAnsi="Arial" w:cs="Arial"/>
        </w:rPr>
      </w:pPr>
      <w:r w:rsidRPr="00842674">
        <w:rPr>
          <w:rFonts w:ascii="Arial" w:hAnsi="Arial" w:cs="Arial"/>
        </w:rPr>
        <w:t xml:space="preserve">NSPCC Learning. (2021). Safeguarding d/Deaf and disabled children. [online] Available at: </w:t>
      </w:r>
      <w:hyperlink r:id="rId9" w:history="1">
        <w:r w:rsidRPr="00842674">
          <w:rPr>
            <w:rStyle w:val="Hyperlink"/>
            <w:rFonts w:ascii="Arial" w:hAnsi="Arial" w:cs="Arial"/>
          </w:rPr>
          <w:t>https://learning.nspcc.org.uk/safeguarding-child-protection/deaf-and-disabled-children</w:t>
        </w:r>
      </w:hyperlink>
      <w:r w:rsidRPr="00842674">
        <w:rPr>
          <w:rFonts w:ascii="Arial" w:hAnsi="Arial" w:cs="Arial"/>
        </w:rPr>
        <w:t>.</w:t>
      </w:r>
    </w:p>
    <w:p w14:paraId="580B0421" w14:textId="0F95DFCD" w:rsidR="000309CC" w:rsidRPr="00842674" w:rsidRDefault="000309CC" w:rsidP="00842674">
      <w:pPr>
        <w:pStyle w:val="ListParagraph"/>
        <w:numPr>
          <w:ilvl w:val="0"/>
          <w:numId w:val="1"/>
        </w:numPr>
        <w:spacing w:line="360" w:lineRule="auto"/>
        <w:jc w:val="both"/>
        <w:rPr>
          <w:rFonts w:ascii="Arial" w:hAnsi="Arial" w:cs="Arial"/>
        </w:rPr>
      </w:pPr>
      <w:r w:rsidRPr="00842674">
        <w:rPr>
          <w:rFonts w:ascii="Arial" w:hAnsi="Arial" w:cs="Arial"/>
        </w:rPr>
        <w:t>NSPCC Learning. (n.d.). Safeguarding d/Deaf and disabled children. [online] Available at: https://learning.nspcc.org.uk/safeguarding-child-protection/deaf-and-disabled-children#heading-top.</w:t>
      </w:r>
    </w:p>
    <w:p w14:paraId="66D3942C" w14:textId="6CEBED81" w:rsidR="0089540F" w:rsidRPr="00842674" w:rsidRDefault="0089540F" w:rsidP="00842674">
      <w:pPr>
        <w:pStyle w:val="ListParagraph"/>
        <w:numPr>
          <w:ilvl w:val="0"/>
          <w:numId w:val="1"/>
        </w:numPr>
        <w:spacing w:line="360" w:lineRule="auto"/>
        <w:jc w:val="both"/>
        <w:rPr>
          <w:rFonts w:ascii="Arial" w:hAnsi="Arial" w:cs="Arial"/>
        </w:rPr>
      </w:pPr>
      <w:r w:rsidRPr="00842674">
        <w:rPr>
          <w:rFonts w:ascii="Arial" w:hAnsi="Arial" w:cs="Arial"/>
        </w:rPr>
        <w:t xml:space="preserve">Shah, D., Arora, S., Chaturvedi, S. and Gupta, P. (2015). Defining and measuring vulnerability in young people. Indian Journal of Community Medicine, [online] 40(3), p.193. Available at: </w:t>
      </w:r>
      <w:hyperlink r:id="rId10" w:history="1">
        <w:r w:rsidRPr="00842674">
          <w:rPr>
            <w:rStyle w:val="Hyperlink"/>
            <w:rFonts w:ascii="Arial" w:hAnsi="Arial" w:cs="Arial"/>
          </w:rPr>
          <w:t>https://www.ncbi.nlm.nih.gov/pmc/articles/PMC4478662/</w:t>
        </w:r>
      </w:hyperlink>
      <w:r w:rsidRPr="00842674">
        <w:rPr>
          <w:rFonts w:ascii="Arial" w:hAnsi="Arial" w:cs="Arial"/>
        </w:rPr>
        <w:t>.</w:t>
      </w:r>
    </w:p>
    <w:p w14:paraId="0BCB50A7" w14:textId="43B1A66C" w:rsidR="0089540F" w:rsidRPr="00842674" w:rsidRDefault="0089540F" w:rsidP="00842674">
      <w:pPr>
        <w:pStyle w:val="ListParagraph"/>
        <w:numPr>
          <w:ilvl w:val="0"/>
          <w:numId w:val="1"/>
        </w:numPr>
        <w:spacing w:line="360" w:lineRule="auto"/>
        <w:jc w:val="both"/>
        <w:rPr>
          <w:rFonts w:ascii="Arial" w:hAnsi="Arial" w:cs="Arial"/>
        </w:rPr>
      </w:pPr>
      <w:r w:rsidRPr="00842674">
        <w:rPr>
          <w:rFonts w:ascii="Arial" w:hAnsi="Arial" w:cs="Arial"/>
        </w:rPr>
        <w:t>Walker, J. and Donaldson, C. (2010). Intervening to improve outcomes for vulnerable young people: a review of the evidence. [online] . Available at: https://dera.ioe.ac.uk/13303/1/DFE-RR078.pdf [Accessed 21 Jul. 2021].</w:t>
      </w:r>
    </w:p>
    <w:sectPr w:rsidR="0089540F" w:rsidRPr="00842674">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FF7FCC" w14:textId="77777777" w:rsidR="00211EBE" w:rsidRDefault="00211EBE" w:rsidP="00A73F02">
      <w:pPr>
        <w:spacing w:after="0" w:line="240" w:lineRule="auto"/>
      </w:pPr>
      <w:r>
        <w:separator/>
      </w:r>
    </w:p>
  </w:endnote>
  <w:endnote w:type="continuationSeparator" w:id="0">
    <w:p w14:paraId="52B520BF" w14:textId="77777777" w:rsidR="00211EBE" w:rsidRDefault="00211EBE" w:rsidP="00A73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86662735"/>
      <w:docPartObj>
        <w:docPartGallery w:val="Page Numbers (Bottom of Page)"/>
        <w:docPartUnique/>
      </w:docPartObj>
    </w:sdtPr>
    <w:sdtEndPr>
      <w:rPr>
        <w:noProof/>
      </w:rPr>
    </w:sdtEndPr>
    <w:sdtContent>
      <w:p w14:paraId="17E252FF" w14:textId="13544E02" w:rsidR="00842674" w:rsidRDefault="0084267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3C51DD" w14:textId="77777777" w:rsidR="00842674" w:rsidRDefault="008426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395E37" w14:textId="77777777" w:rsidR="00211EBE" w:rsidRDefault="00211EBE" w:rsidP="00A73F02">
      <w:pPr>
        <w:spacing w:after="0" w:line="240" w:lineRule="auto"/>
      </w:pPr>
      <w:r>
        <w:separator/>
      </w:r>
    </w:p>
  </w:footnote>
  <w:footnote w:type="continuationSeparator" w:id="0">
    <w:p w14:paraId="5A358690" w14:textId="77777777" w:rsidR="00211EBE" w:rsidRDefault="00211EBE" w:rsidP="00A73F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1B2752"/>
    <w:multiLevelType w:val="hybridMultilevel"/>
    <w:tmpl w:val="4030F7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DD5"/>
    <w:rsid w:val="000309CC"/>
    <w:rsid w:val="001627AC"/>
    <w:rsid w:val="00211EBE"/>
    <w:rsid w:val="00242B59"/>
    <w:rsid w:val="00450D04"/>
    <w:rsid w:val="00647AD8"/>
    <w:rsid w:val="007B7162"/>
    <w:rsid w:val="00842674"/>
    <w:rsid w:val="0089540F"/>
    <w:rsid w:val="009C61C2"/>
    <w:rsid w:val="00A73F02"/>
    <w:rsid w:val="00AE7DD5"/>
    <w:rsid w:val="00EC0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8F327"/>
  <w15:chartTrackingRefBased/>
  <w15:docId w15:val="{1F7E1B60-7468-42EA-B458-7301C89D9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540F"/>
    <w:pPr>
      <w:ind w:left="720"/>
      <w:contextualSpacing/>
    </w:pPr>
  </w:style>
  <w:style w:type="character" w:styleId="Hyperlink">
    <w:name w:val="Hyperlink"/>
    <w:basedOn w:val="DefaultParagraphFont"/>
    <w:uiPriority w:val="99"/>
    <w:unhideWhenUsed/>
    <w:rsid w:val="0089540F"/>
    <w:rPr>
      <w:color w:val="0563C1" w:themeColor="hyperlink"/>
      <w:u w:val="single"/>
    </w:rPr>
  </w:style>
  <w:style w:type="character" w:styleId="UnresolvedMention">
    <w:name w:val="Unresolved Mention"/>
    <w:basedOn w:val="DefaultParagraphFont"/>
    <w:uiPriority w:val="99"/>
    <w:semiHidden/>
    <w:unhideWhenUsed/>
    <w:rsid w:val="0089540F"/>
    <w:rPr>
      <w:color w:val="605E5C"/>
      <w:shd w:val="clear" w:color="auto" w:fill="E1DFDD"/>
    </w:rPr>
  </w:style>
  <w:style w:type="paragraph" w:styleId="Header">
    <w:name w:val="header"/>
    <w:basedOn w:val="Normal"/>
    <w:link w:val="HeaderChar"/>
    <w:uiPriority w:val="99"/>
    <w:unhideWhenUsed/>
    <w:rsid w:val="00A73F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3F02"/>
  </w:style>
  <w:style w:type="paragraph" w:styleId="Footer">
    <w:name w:val="footer"/>
    <w:basedOn w:val="Normal"/>
    <w:link w:val="FooterChar"/>
    <w:uiPriority w:val="99"/>
    <w:unhideWhenUsed/>
    <w:rsid w:val="00A73F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3F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nspcc.org.uk/children-and-families-at-ris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journals.sagepub.com/doi/10.1177/026101831882448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ncbi.nlm.nih.gov/pmc/articles/PMC4478662/" TargetMode="External"/><Relationship Id="rId4" Type="http://schemas.openxmlformats.org/officeDocument/2006/relationships/webSettings" Target="webSettings.xml"/><Relationship Id="rId9" Type="http://schemas.openxmlformats.org/officeDocument/2006/relationships/hyperlink" Target="https://learning.nspcc.org.uk/safeguarding-child-protection/deaf-and-disabled-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293</TotalTime>
  <Pages>5</Pages>
  <Words>1172</Words>
  <Characters>6684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Alin Sacalus (1907523)</dc:creator>
  <cp:keywords/>
  <dc:description/>
  <cp:lastModifiedBy>Ionut Alin Sacalus (1907523)</cp:lastModifiedBy>
  <cp:revision>15</cp:revision>
  <dcterms:created xsi:type="dcterms:W3CDTF">2021-07-21T14:54:00Z</dcterms:created>
  <dcterms:modified xsi:type="dcterms:W3CDTF">2021-07-23T09:19:00Z</dcterms:modified>
</cp:coreProperties>
</file>