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171762439"/>
        <w:docPartObj>
          <w:docPartGallery w:val="Cover Pages"/>
          <w:docPartUnique/>
        </w:docPartObj>
      </w:sdtPr>
      <w:sdtEndPr>
        <w:rPr>
          <w:color w:val="auto"/>
        </w:rPr>
      </w:sdtEndPr>
      <w:sdtContent>
        <w:p w14:paraId="66F697A9" w14:textId="0600385D" w:rsidR="00156227" w:rsidRDefault="00156227">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517F0899" wp14:editId="2655CB7F">
                <wp:extent cx="4612299" cy="2020186"/>
                <wp:effectExtent l="0" t="0" r="0" b="0"/>
                <wp:docPr id="628713441" name="Picture 4"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13441" name="Picture 4" descr="A logo of a university&#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633984" cy="2029684"/>
                        </a:xfrm>
                        <a:prstGeom prst="rect">
                          <a:avLst/>
                        </a:prstGeom>
                      </pic:spPr>
                    </pic:pic>
                  </a:graphicData>
                </a:graphic>
              </wp:inline>
            </w:drawing>
          </w:r>
        </w:p>
        <w:p w14:paraId="288BDE1F" w14:textId="42E094EC" w:rsidR="00156227" w:rsidRDefault="00156227">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3CBDED1D" wp14:editId="54A17596">
                <wp:extent cx="1913860" cy="2117327"/>
                <wp:effectExtent l="0" t="0" r="0" b="0"/>
                <wp:docPr id="1914348220"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48220" name="Graphic 1914348220"/>
                        <pic:cNvPicPr/>
                      </pic:nvPicPr>
                      <pic:blipFill>
                        <a:blip r:embed="rId8">
                          <a:extLst>
                            <a:ext uri="{96DAC541-7B7A-43D3-8B79-37D633B846F1}">
                              <asvg:svgBlip xmlns:asvg="http://schemas.microsoft.com/office/drawing/2016/SVG/main" r:embed="rId9"/>
                            </a:ext>
                          </a:extLst>
                        </a:blip>
                        <a:stretch>
                          <a:fillRect/>
                        </a:stretch>
                      </pic:blipFill>
                      <pic:spPr>
                        <a:xfrm>
                          <a:off x="0" y="0"/>
                          <a:ext cx="1916931" cy="2120724"/>
                        </a:xfrm>
                        <a:prstGeom prst="rect">
                          <a:avLst/>
                        </a:prstGeom>
                      </pic:spPr>
                    </pic:pic>
                  </a:graphicData>
                </a:graphic>
              </wp:inline>
            </w:drawing>
          </w:r>
        </w:p>
        <w:p w14:paraId="1490FDB4" w14:textId="77777777" w:rsidR="00156227" w:rsidRDefault="00156227">
          <w:pPr>
            <w:pStyle w:val="NoSpacing"/>
            <w:spacing w:before="1540" w:after="240"/>
            <w:jc w:val="center"/>
            <w:rPr>
              <w:color w:val="156082" w:themeColor="accent1"/>
            </w:rPr>
          </w:pPr>
        </w:p>
        <w:sdt>
          <w:sdtPr>
            <w:rPr>
              <w:rFonts w:asciiTheme="majorHAnsi" w:eastAsiaTheme="majorEastAsia" w:hAnsiTheme="majorHAnsi" w:cstheme="majorBidi"/>
              <w:caps/>
              <w:color w:val="002060"/>
              <w:sz w:val="72"/>
              <w:szCs w:val="72"/>
            </w:rPr>
            <w:alias w:val="Title"/>
            <w:tag w:val=""/>
            <w:id w:val="1735040861"/>
            <w:placeholder>
              <w:docPart w:val="9E123B7348DC4A11892D0DAD06B54D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2529E1" w14:textId="4CB8C70E" w:rsidR="00156227" w:rsidRPr="00156227" w:rsidRDefault="0015622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2060"/>
                  <w:sz w:val="80"/>
                  <w:szCs w:val="80"/>
                </w:rPr>
              </w:pPr>
              <w:r w:rsidRPr="00156227">
                <w:rPr>
                  <w:rFonts w:asciiTheme="majorHAnsi" w:eastAsiaTheme="majorEastAsia" w:hAnsiTheme="majorHAnsi" w:cstheme="majorBidi"/>
                  <w:caps/>
                  <w:color w:val="002060"/>
                  <w:sz w:val="72"/>
                  <w:szCs w:val="72"/>
                </w:rPr>
                <w:t xml:space="preserve">Assessment </w:t>
              </w:r>
            </w:p>
          </w:sdtContent>
        </w:sdt>
        <w:p w14:paraId="356A0E54" w14:textId="334BE0E5" w:rsidR="00156227" w:rsidRPr="00156227" w:rsidRDefault="00156227" w:rsidP="00156227">
          <w:pPr>
            <w:pStyle w:val="NoSpacing"/>
            <w:jc w:val="center"/>
            <w:rPr>
              <w:color w:val="002060"/>
              <w:sz w:val="28"/>
              <w:szCs w:val="28"/>
            </w:rPr>
          </w:pPr>
          <w:sdt>
            <w:sdtPr>
              <w:rPr>
                <w:rFonts w:ascii="Times New Roman" w:hAnsi="Times New Roman" w:cs="Times New Roman"/>
                <w:caps/>
                <w:color w:val="002060"/>
                <w:sz w:val="28"/>
                <w:szCs w:val="28"/>
              </w:rPr>
              <w:alias w:val="Subtitle"/>
              <w:tag w:val=""/>
              <w:id w:val="328029620"/>
              <w:placeholder>
                <w:docPart w:val="F38D140DD1F14D8D89FB7D82D25F6A4E"/>
              </w:placeholder>
              <w:dataBinding w:prefixMappings="xmlns:ns0='http://purl.org/dc/elements/1.1/' xmlns:ns1='http://schemas.openxmlformats.org/package/2006/metadata/core-properties' " w:xpath="/ns1:coreProperties[1]/ns0:subject[1]" w:storeItemID="{6C3C8BC8-F283-45AE-878A-BAB7291924A1}"/>
              <w:text/>
            </w:sdtPr>
            <w:sdtContent>
              <w:r w:rsidRPr="003976CC">
                <w:rPr>
                  <w:rFonts w:ascii="Times New Roman" w:hAnsi="Times New Roman" w:cs="Times New Roman"/>
                  <w:caps/>
                  <w:color w:val="002060"/>
                  <w:sz w:val="28"/>
                  <w:szCs w:val="28"/>
                </w:rPr>
                <w:t>BA (Hons) Business Management/ Global Business Environment LCBB4016</w:t>
              </w:r>
              <w:r w:rsidRPr="003976CC">
                <w:rPr>
                  <w:rFonts w:ascii="Times New Roman" w:hAnsi="Times New Roman" w:cs="Times New Roman"/>
                  <w:caps/>
                  <w:color w:val="002060"/>
                  <w:sz w:val="28"/>
                  <w:szCs w:val="28"/>
                </w:rPr>
                <w:t xml:space="preserve"> / </w:t>
              </w:r>
              <w:r w:rsidRPr="003976CC">
                <w:rPr>
                  <w:rFonts w:ascii="Times New Roman" w:hAnsi="Times New Roman" w:cs="Times New Roman"/>
                  <w:caps/>
                  <w:color w:val="002060"/>
                  <w:sz w:val="28"/>
                  <w:szCs w:val="28"/>
                </w:rPr>
                <w:t>VALYA BORISOVA 2430598</w:t>
              </w:r>
            </w:sdtContent>
          </w:sdt>
          <w:r>
            <w:rPr>
              <w:noProof/>
              <w:color w:val="156082" w:themeColor="accent1"/>
            </w:rPr>
            <mc:AlternateContent>
              <mc:Choice Requires="wps">
                <w:drawing>
                  <wp:anchor distT="0" distB="0" distL="114300" distR="114300" simplePos="0" relativeHeight="251659264" behindDoc="0" locked="0" layoutInCell="1" allowOverlap="1" wp14:anchorId="50F4B500" wp14:editId="56D098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427F7" w14:textId="49402C84" w:rsidR="00156227" w:rsidRDefault="0015622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F4B50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D5427F7" w14:textId="49402C84" w:rsidR="00156227" w:rsidRDefault="00156227">
                          <w:pPr>
                            <w:pStyle w:val="NoSpacing"/>
                            <w:jc w:val="center"/>
                            <w:rPr>
                              <w:color w:val="156082" w:themeColor="accent1"/>
                            </w:rPr>
                          </w:pPr>
                        </w:p>
                      </w:txbxContent>
                    </v:textbox>
                    <w10:wrap anchorx="margin" anchory="page"/>
                  </v:shape>
                </w:pict>
              </mc:Fallback>
            </mc:AlternateContent>
          </w:r>
          <w:r>
            <w:br w:type="page"/>
          </w:r>
        </w:p>
      </w:sdtContent>
    </w:sdt>
    <w:sdt>
      <w:sdtPr>
        <w:id w:val="-13532907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A77053C" w14:textId="143AF8DE" w:rsidR="005C0885" w:rsidRDefault="005C0885">
          <w:pPr>
            <w:pStyle w:val="TOCHeading"/>
          </w:pPr>
          <w:r>
            <w:t>Contents</w:t>
          </w:r>
        </w:p>
        <w:p w14:paraId="038298FD" w14:textId="52ED47D5" w:rsidR="003976CC" w:rsidRDefault="005C088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444017" w:history="1">
            <w:r w:rsidR="003976CC" w:rsidRPr="00BB7FAD">
              <w:rPr>
                <w:rStyle w:val="Hyperlink"/>
                <w:noProof/>
              </w:rPr>
              <w:t>Introduction</w:t>
            </w:r>
            <w:r w:rsidR="003976CC">
              <w:rPr>
                <w:noProof/>
                <w:webHidden/>
              </w:rPr>
              <w:tab/>
            </w:r>
            <w:r w:rsidR="003976CC">
              <w:rPr>
                <w:noProof/>
                <w:webHidden/>
              </w:rPr>
              <w:fldChar w:fldCharType="begin"/>
            </w:r>
            <w:r w:rsidR="003976CC">
              <w:rPr>
                <w:noProof/>
                <w:webHidden/>
              </w:rPr>
              <w:instrText xml:space="preserve"> PAGEREF _Toc216444017 \h </w:instrText>
            </w:r>
            <w:r w:rsidR="003976CC">
              <w:rPr>
                <w:noProof/>
                <w:webHidden/>
              </w:rPr>
            </w:r>
            <w:r w:rsidR="003976CC">
              <w:rPr>
                <w:noProof/>
                <w:webHidden/>
              </w:rPr>
              <w:fldChar w:fldCharType="separate"/>
            </w:r>
            <w:r w:rsidR="003976CC">
              <w:rPr>
                <w:noProof/>
                <w:webHidden/>
              </w:rPr>
              <w:t>2</w:t>
            </w:r>
            <w:r w:rsidR="003976CC">
              <w:rPr>
                <w:noProof/>
                <w:webHidden/>
              </w:rPr>
              <w:fldChar w:fldCharType="end"/>
            </w:r>
          </w:hyperlink>
        </w:p>
        <w:p w14:paraId="4433CD4B" w14:textId="61E70AAB" w:rsidR="003976CC" w:rsidRDefault="003976CC">
          <w:pPr>
            <w:pStyle w:val="TOC1"/>
            <w:tabs>
              <w:tab w:val="right" w:leader="dot" w:pos="9016"/>
            </w:tabs>
            <w:rPr>
              <w:rFonts w:eastAsiaTheme="minorEastAsia"/>
              <w:noProof/>
              <w:sz w:val="24"/>
              <w:szCs w:val="24"/>
              <w:lang w:eastAsia="en-GB"/>
            </w:rPr>
          </w:pPr>
          <w:hyperlink w:anchor="_Toc216444018" w:history="1">
            <w:r w:rsidRPr="00BB7FAD">
              <w:rPr>
                <w:rStyle w:val="Hyperlink"/>
                <w:noProof/>
              </w:rPr>
              <w:t>Opportunities and Challenges</w:t>
            </w:r>
            <w:r>
              <w:rPr>
                <w:noProof/>
                <w:webHidden/>
              </w:rPr>
              <w:tab/>
            </w:r>
            <w:r>
              <w:rPr>
                <w:noProof/>
                <w:webHidden/>
              </w:rPr>
              <w:fldChar w:fldCharType="begin"/>
            </w:r>
            <w:r>
              <w:rPr>
                <w:noProof/>
                <w:webHidden/>
              </w:rPr>
              <w:instrText xml:space="preserve"> PAGEREF _Toc216444018 \h </w:instrText>
            </w:r>
            <w:r>
              <w:rPr>
                <w:noProof/>
                <w:webHidden/>
              </w:rPr>
            </w:r>
            <w:r>
              <w:rPr>
                <w:noProof/>
                <w:webHidden/>
              </w:rPr>
              <w:fldChar w:fldCharType="separate"/>
            </w:r>
            <w:r>
              <w:rPr>
                <w:noProof/>
                <w:webHidden/>
              </w:rPr>
              <w:t>2</w:t>
            </w:r>
            <w:r>
              <w:rPr>
                <w:noProof/>
                <w:webHidden/>
              </w:rPr>
              <w:fldChar w:fldCharType="end"/>
            </w:r>
          </w:hyperlink>
        </w:p>
        <w:p w14:paraId="1257969B" w14:textId="19DB4523" w:rsidR="003976CC" w:rsidRDefault="003976CC">
          <w:pPr>
            <w:pStyle w:val="TOC1"/>
            <w:tabs>
              <w:tab w:val="right" w:leader="dot" w:pos="9016"/>
            </w:tabs>
            <w:rPr>
              <w:rFonts w:eastAsiaTheme="minorEastAsia"/>
              <w:noProof/>
              <w:sz w:val="24"/>
              <w:szCs w:val="24"/>
              <w:lang w:eastAsia="en-GB"/>
            </w:rPr>
          </w:pPr>
          <w:hyperlink w:anchor="_Toc216444019" w:history="1">
            <w:r w:rsidRPr="00BB7FAD">
              <w:rPr>
                <w:rStyle w:val="Hyperlink"/>
                <w:noProof/>
              </w:rPr>
              <w:t>Impact on Unilever’s Market Position, Innovation, Talent, Competitiveness</w:t>
            </w:r>
            <w:r>
              <w:rPr>
                <w:noProof/>
                <w:webHidden/>
              </w:rPr>
              <w:tab/>
            </w:r>
            <w:r>
              <w:rPr>
                <w:noProof/>
                <w:webHidden/>
              </w:rPr>
              <w:fldChar w:fldCharType="begin"/>
            </w:r>
            <w:r>
              <w:rPr>
                <w:noProof/>
                <w:webHidden/>
              </w:rPr>
              <w:instrText xml:space="preserve"> PAGEREF _Toc216444019 \h </w:instrText>
            </w:r>
            <w:r>
              <w:rPr>
                <w:noProof/>
                <w:webHidden/>
              </w:rPr>
            </w:r>
            <w:r>
              <w:rPr>
                <w:noProof/>
                <w:webHidden/>
              </w:rPr>
              <w:fldChar w:fldCharType="separate"/>
            </w:r>
            <w:r>
              <w:rPr>
                <w:noProof/>
                <w:webHidden/>
              </w:rPr>
              <w:t>5</w:t>
            </w:r>
            <w:r>
              <w:rPr>
                <w:noProof/>
                <w:webHidden/>
              </w:rPr>
              <w:fldChar w:fldCharType="end"/>
            </w:r>
          </w:hyperlink>
        </w:p>
        <w:p w14:paraId="4539826A" w14:textId="48CC905D" w:rsidR="003976CC" w:rsidRDefault="003976CC">
          <w:pPr>
            <w:pStyle w:val="TOC1"/>
            <w:tabs>
              <w:tab w:val="right" w:leader="dot" w:pos="9016"/>
            </w:tabs>
            <w:rPr>
              <w:rFonts w:eastAsiaTheme="minorEastAsia"/>
              <w:noProof/>
              <w:sz w:val="24"/>
              <w:szCs w:val="24"/>
              <w:lang w:eastAsia="en-GB"/>
            </w:rPr>
          </w:pPr>
          <w:hyperlink w:anchor="_Toc216444020" w:history="1">
            <w:r w:rsidRPr="00BB7FAD">
              <w:rPr>
                <w:rStyle w:val="Hyperlink"/>
                <w:noProof/>
              </w:rPr>
              <w:t>Strategic Recommendations</w:t>
            </w:r>
            <w:r>
              <w:rPr>
                <w:noProof/>
                <w:webHidden/>
              </w:rPr>
              <w:tab/>
            </w:r>
            <w:r>
              <w:rPr>
                <w:noProof/>
                <w:webHidden/>
              </w:rPr>
              <w:fldChar w:fldCharType="begin"/>
            </w:r>
            <w:r>
              <w:rPr>
                <w:noProof/>
                <w:webHidden/>
              </w:rPr>
              <w:instrText xml:space="preserve"> PAGEREF _Toc216444020 \h </w:instrText>
            </w:r>
            <w:r>
              <w:rPr>
                <w:noProof/>
                <w:webHidden/>
              </w:rPr>
            </w:r>
            <w:r>
              <w:rPr>
                <w:noProof/>
                <w:webHidden/>
              </w:rPr>
              <w:fldChar w:fldCharType="separate"/>
            </w:r>
            <w:r>
              <w:rPr>
                <w:noProof/>
                <w:webHidden/>
              </w:rPr>
              <w:t>7</w:t>
            </w:r>
            <w:r>
              <w:rPr>
                <w:noProof/>
                <w:webHidden/>
              </w:rPr>
              <w:fldChar w:fldCharType="end"/>
            </w:r>
          </w:hyperlink>
        </w:p>
        <w:p w14:paraId="4A4CE8A2" w14:textId="0CCB1EFD" w:rsidR="003976CC" w:rsidRDefault="003976CC">
          <w:pPr>
            <w:pStyle w:val="TOC1"/>
            <w:tabs>
              <w:tab w:val="right" w:leader="dot" w:pos="9016"/>
            </w:tabs>
            <w:rPr>
              <w:rFonts w:eastAsiaTheme="minorEastAsia"/>
              <w:noProof/>
              <w:sz w:val="24"/>
              <w:szCs w:val="24"/>
              <w:lang w:eastAsia="en-GB"/>
            </w:rPr>
          </w:pPr>
          <w:hyperlink w:anchor="_Toc216444021" w:history="1">
            <w:r w:rsidRPr="00BB7FAD">
              <w:rPr>
                <w:rStyle w:val="Hyperlink"/>
                <w:noProof/>
              </w:rPr>
              <w:t>Conclusion</w:t>
            </w:r>
            <w:r>
              <w:rPr>
                <w:noProof/>
                <w:webHidden/>
              </w:rPr>
              <w:tab/>
            </w:r>
            <w:r>
              <w:rPr>
                <w:noProof/>
                <w:webHidden/>
              </w:rPr>
              <w:fldChar w:fldCharType="begin"/>
            </w:r>
            <w:r>
              <w:rPr>
                <w:noProof/>
                <w:webHidden/>
              </w:rPr>
              <w:instrText xml:space="preserve"> PAGEREF _Toc216444021 \h </w:instrText>
            </w:r>
            <w:r>
              <w:rPr>
                <w:noProof/>
                <w:webHidden/>
              </w:rPr>
            </w:r>
            <w:r>
              <w:rPr>
                <w:noProof/>
                <w:webHidden/>
              </w:rPr>
              <w:fldChar w:fldCharType="separate"/>
            </w:r>
            <w:r>
              <w:rPr>
                <w:noProof/>
                <w:webHidden/>
              </w:rPr>
              <w:t>8</w:t>
            </w:r>
            <w:r>
              <w:rPr>
                <w:noProof/>
                <w:webHidden/>
              </w:rPr>
              <w:fldChar w:fldCharType="end"/>
            </w:r>
          </w:hyperlink>
        </w:p>
        <w:p w14:paraId="03857DAD" w14:textId="65361E90" w:rsidR="003976CC" w:rsidRDefault="003976CC">
          <w:pPr>
            <w:pStyle w:val="TOC1"/>
            <w:tabs>
              <w:tab w:val="right" w:leader="dot" w:pos="9016"/>
            </w:tabs>
            <w:rPr>
              <w:rFonts w:eastAsiaTheme="minorEastAsia"/>
              <w:noProof/>
              <w:sz w:val="24"/>
              <w:szCs w:val="24"/>
              <w:lang w:eastAsia="en-GB"/>
            </w:rPr>
          </w:pPr>
          <w:hyperlink w:anchor="_Toc216444022" w:history="1">
            <w:r w:rsidRPr="00BB7FAD">
              <w:rPr>
                <w:rStyle w:val="Hyperlink"/>
                <w:noProof/>
              </w:rPr>
              <w:t>References</w:t>
            </w:r>
            <w:r>
              <w:rPr>
                <w:noProof/>
                <w:webHidden/>
              </w:rPr>
              <w:tab/>
            </w:r>
            <w:r>
              <w:rPr>
                <w:noProof/>
                <w:webHidden/>
              </w:rPr>
              <w:fldChar w:fldCharType="begin"/>
            </w:r>
            <w:r>
              <w:rPr>
                <w:noProof/>
                <w:webHidden/>
              </w:rPr>
              <w:instrText xml:space="preserve"> PAGEREF _Toc216444022 \h </w:instrText>
            </w:r>
            <w:r>
              <w:rPr>
                <w:noProof/>
                <w:webHidden/>
              </w:rPr>
            </w:r>
            <w:r>
              <w:rPr>
                <w:noProof/>
                <w:webHidden/>
              </w:rPr>
              <w:fldChar w:fldCharType="separate"/>
            </w:r>
            <w:r>
              <w:rPr>
                <w:noProof/>
                <w:webHidden/>
              </w:rPr>
              <w:t>9</w:t>
            </w:r>
            <w:r>
              <w:rPr>
                <w:noProof/>
                <w:webHidden/>
              </w:rPr>
              <w:fldChar w:fldCharType="end"/>
            </w:r>
          </w:hyperlink>
        </w:p>
        <w:p w14:paraId="5310A62A" w14:textId="3332FBC3" w:rsidR="005C0885" w:rsidRDefault="005C0885">
          <w:r>
            <w:rPr>
              <w:b/>
              <w:bCs/>
            </w:rPr>
            <w:fldChar w:fldCharType="end"/>
          </w:r>
        </w:p>
      </w:sdtContent>
    </w:sdt>
    <w:p w14:paraId="0F325425" w14:textId="7BE600FD" w:rsidR="005C0885" w:rsidRDefault="005C0885">
      <w:r>
        <w:br w:type="page"/>
      </w:r>
    </w:p>
    <w:p w14:paraId="55BB9454" w14:textId="48042C1E" w:rsidR="005C0885" w:rsidRDefault="005C0885" w:rsidP="005C0885">
      <w:pPr>
        <w:pStyle w:val="Heading1"/>
      </w:pPr>
      <w:bookmarkStart w:id="0" w:name="_Toc216444017"/>
      <w:r>
        <w:lastRenderedPageBreak/>
        <w:t>Introduction</w:t>
      </w:r>
      <w:bookmarkEnd w:id="0"/>
    </w:p>
    <w:p w14:paraId="47DCA30C" w14:textId="16EABA9F" w:rsidR="004B26F6" w:rsidRDefault="004B26F6" w:rsidP="004B26F6">
      <w:pPr>
        <w:spacing w:line="360" w:lineRule="auto"/>
        <w:jc w:val="both"/>
        <w:rPr>
          <w:rFonts w:ascii="Arial" w:hAnsi="Arial" w:cs="Arial"/>
        </w:rPr>
      </w:pPr>
      <w:r w:rsidRPr="004B26F6">
        <w:rPr>
          <w:rFonts w:ascii="Arial" w:hAnsi="Arial" w:cs="Arial"/>
        </w:rPr>
        <w:t>Globalisation has created an increasingly interconnected business environment in which organisations operate across diverse markets, supply chains, and technological systems. For multinational firms, this interconnectedness brings both expanded opportunities and heightened exposure to global risks. Unilever, one of the world’s largest consumer goods companies headquartered in the UK, operates in more than 190 countries and relies on extensive international sourcing, manufacturing, and distribution networks. As global conditions shift rapidly, the company must adapt to emerging forces that significantly influence its strategic direction. In 2024–2025, three developments are particularly relevant: the rapid adoption of artificial intelligence (AI), escalating geopolitical tensions that disrupt trade routes, and expanding sustainability regulations such as the EU’s Corporate Sustainability Reporting Directive (CSRD). This essay examines how these forces create both opportunities and challenges for Unilever and evaluates their impact on the company’s market position, innovation capacity, talent management, and global competitiveness.</w:t>
      </w:r>
    </w:p>
    <w:p w14:paraId="4994D32D" w14:textId="6F0F0754" w:rsidR="004B26F6" w:rsidRDefault="004B26F6" w:rsidP="004B26F6">
      <w:pPr>
        <w:spacing w:line="360" w:lineRule="auto"/>
        <w:jc w:val="both"/>
        <w:rPr>
          <w:rFonts w:ascii="Arial" w:hAnsi="Arial" w:cs="Arial"/>
        </w:rPr>
      </w:pPr>
      <w:r>
        <w:rPr>
          <w:rFonts w:ascii="Arial" w:hAnsi="Arial" w:cs="Arial"/>
          <w:noProof/>
        </w:rPr>
        <w:drawing>
          <wp:inline distT="0" distB="0" distL="0" distR="0" wp14:anchorId="2E990B8A" wp14:editId="7E590263">
            <wp:extent cx="3636335" cy="3171825"/>
            <wp:effectExtent l="0" t="0" r="2540" b="0"/>
            <wp:docPr id="10662689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68980" name="Graphic 1066268980"/>
                    <pic:cNvPicPr/>
                  </pic:nvPicPr>
                  <pic:blipFill>
                    <a:blip r:embed="rId8">
                      <a:extLst>
                        <a:ext uri="{96DAC541-7B7A-43D3-8B79-37D633B846F1}">
                          <asvg:svgBlip xmlns:asvg="http://schemas.microsoft.com/office/drawing/2016/SVG/main" r:embed="rId9"/>
                        </a:ext>
                      </a:extLst>
                    </a:blip>
                    <a:stretch>
                      <a:fillRect/>
                    </a:stretch>
                  </pic:blipFill>
                  <pic:spPr>
                    <a:xfrm>
                      <a:off x="0" y="0"/>
                      <a:ext cx="3642421" cy="3177133"/>
                    </a:xfrm>
                    <a:prstGeom prst="rect">
                      <a:avLst/>
                    </a:prstGeom>
                  </pic:spPr>
                </pic:pic>
              </a:graphicData>
            </a:graphic>
          </wp:inline>
        </w:drawing>
      </w:r>
    </w:p>
    <w:p w14:paraId="7DC9795E" w14:textId="3AD934FB" w:rsidR="004B26F6" w:rsidRPr="004B26F6" w:rsidRDefault="00156227" w:rsidP="004B26F6">
      <w:pPr>
        <w:spacing w:line="360" w:lineRule="auto"/>
        <w:jc w:val="both"/>
        <w:rPr>
          <w:rFonts w:ascii="Arial" w:hAnsi="Arial" w:cs="Arial"/>
        </w:rPr>
      </w:pPr>
      <w:r>
        <w:rPr>
          <w:rFonts w:ascii="Arial" w:hAnsi="Arial" w:cs="Arial"/>
        </w:rPr>
        <w:t>(</w:t>
      </w:r>
      <w:r w:rsidR="004B26F6" w:rsidRPr="004B26F6">
        <w:rPr>
          <w:rFonts w:ascii="Arial" w:hAnsi="Arial" w:cs="Arial"/>
        </w:rPr>
        <w:t>Unilever</w:t>
      </w:r>
      <w:r w:rsidR="004B26F6">
        <w:rPr>
          <w:rFonts w:ascii="Arial" w:hAnsi="Arial" w:cs="Arial"/>
        </w:rPr>
        <w:t xml:space="preserve">, </w:t>
      </w:r>
      <w:r w:rsidR="004B26F6" w:rsidRPr="004B26F6">
        <w:rPr>
          <w:rFonts w:ascii="Arial" w:hAnsi="Arial" w:cs="Arial"/>
        </w:rPr>
        <w:t xml:space="preserve">2024) </w:t>
      </w:r>
    </w:p>
    <w:p w14:paraId="38C78B04" w14:textId="0F8C88B8" w:rsidR="005C0885" w:rsidRDefault="005C0885" w:rsidP="005C0885">
      <w:pPr>
        <w:pStyle w:val="Heading1"/>
      </w:pPr>
      <w:bookmarkStart w:id="1" w:name="_Toc216444018"/>
      <w:r w:rsidRPr="005C0885">
        <w:t>Opportunities and Challenges</w:t>
      </w:r>
      <w:bookmarkEnd w:id="1"/>
    </w:p>
    <w:p w14:paraId="1042C9D0" w14:textId="77777777" w:rsidR="005C0885" w:rsidRDefault="005C0885" w:rsidP="005C0885">
      <w:pPr>
        <w:spacing w:line="360" w:lineRule="auto"/>
        <w:jc w:val="both"/>
        <w:rPr>
          <w:rFonts w:ascii="Arial" w:hAnsi="Arial" w:cs="Arial"/>
        </w:rPr>
      </w:pPr>
      <w:r w:rsidRPr="005C0885">
        <w:rPr>
          <w:rFonts w:ascii="Arial" w:hAnsi="Arial" w:cs="Arial"/>
        </w:rPr>
        <w:t xml:space="preserve">The global business landscape in which Unilever operates is being reshaped by three major forces: rapid artificial intelligence (AI) adoption, intensifying geopolitical tensions, and expanding sustainability regulations such as the EU Corporate Sustainability Reporting </w:t>
      </w:r>
      <w:r w:rsidRPr="005C0885">
        <w:rPr>
          <w:rFonts w:ascii="Arial" w:hAnsi="Arial" w:cs="Arial"/>
        </w:rPr>
        <w:lastRenderedPageBreak/>
        <w:t>Directive (CSRD). These developments create significant opportunities for strategic enhancement but also major operational and organisational challenges (</w:t>
      </w:r>
      <w:proofErr w:type="spellStart"/>
      <w:r w:rsidRPr="005C0885">
        <w:rPr>
          <w:rFonts w:ascii="Arial" w:hAnsi="Arial" w:cs="Arial"/>
        </w:rPr>
        <w:t>Cavusgil</w:t>
      </w:r>
      <w:proofErr w:type="spellEnd"/>
      <w:r w:rsidRPr="005C0885">
        <w:rPr>
          <w:rFonts w:ascii="Arial" w:hAnsi="Arial" w:cs="Arial"/>
        </w:rPr>
        <w:t xml:space="preserve"> et al., 2019).</w:t>
      </w:r>
    </w:p>
    <w:p w14:paraId="0772AB89" w14:textId="77777777" w:rsidR="004B26F6" w:rsidRPr="005C0885" w:rsidRDefault="004B26F6" w:rsidP="005C0885">
      <w:pPr>
        <w:spacing w:line="360" w:lineRule="auto"/>
        <w:jc w:val="both"/>
        <w:rPr>
          <w:rFonts w:ascii="Arial" w:hAnsi="Arial" w:cs="Arial"/>
        </w:rPr>
      </w:pPr>
    </w:p>
    <w:p w14:paraId="17029F2C" w14:textId="10698BAD" w:rsidR="005C0885" w:rsidRDefault="005C0885" w:rsidP="005C0885">
      <w:pPr>
        <w:spacing w:line="360" w:lineRule="auto"/>
        <w:jc w:val="both"/>
        <w:rPr>
          <w:rStyle w:val="IntenseEmphasis"/>
        </w:rPr>
      </w:pPr>
      <w:r w:rsidRPr="005C0885">
        <w:rPr>
          <w:rStyle w:val="IntenseEmphasis"/>
        </w:rPr>
        <w:t>AI adoption provides Unilever with several compelling opportunities</w:t>
      </w:r>
    </w:p>
    <w:p w14:paraId="7A12817D" w14:textId="77777777" w:rsidR="004B26F6" w:rsidRDefault="004B26F6" w:rsidP="005C0885">
      <w:pPr>
        <w:spacing w:line="360" w:lineRule="auto"/>
        <w:jc w:val="both"/>
        <w:rPr>
          <w:rFonts w:ascii="Arial" w:hAnsi="Arial" w:cs="Arial"/>
        </w:rPr>
      </w:pPr>
    </w:p>
    <w:p w14:paraId="6D44E83B" w14:textId="2863B7FB" w:rsidR="005C0885" w:rsidRPr="005C0885" w:rsidRDefault="005C0885" w:rsidP="005C0885">
      <w:pPr>
        <w:spacing w:line="360" w:lineRule="auto"/>
        <w:jc w:val="both"/>
        <w:rPr>
          <w:rFonts w:ascii="Arial" w:hAnsi="Arial" w:cs="Arial"/>
        </w:rPr>
      </w:pPr>
      <w:r w:rsidRPr="005C0885">
        <w:rPr>
          <w:rFonts w:ascii="Arial" w:hAnsi="Arial" w:cs="Arial"/>
        </w:rPr>
        <w:t xml:space="preserve">As a global consumer goods company managing thousands of products and highly complex logistics networks, Unilever can benefit considerably from AI-enabled forecasting, optimisation, and decision-making. AI-driven analytics improve </w:t>
      </w:r>
      <w:r w:rsidRPr="005C0885">
        <w:rPr>
          <w:rFonts w:ascii="Arial" w:hAnsi="Arial" w:cs="Arial"/>
          <w:b/>
          <w:bCs/>
        </w:rPr>
        <w:t>demand prediction and inventory management</w:t>
      </w:r>
      <w:r w:rsidRPr="005C0885">
        <w:rPr>
          <w:rFonts w:ascii="Arial" w:hAnsi="Arial" w:cs="Arial"/>
        </w:rPr>
        <w:t>, reducing stockouts and waste</w:t>
      </w:r>
      <w:r>
        <w:rPr>
          <w:rFonts w:ascii="Arial" w:hAnsi="Arial" w:cs="Arial"/>
        </w:rPr>
        <w:t xml:space="preserve"> - </w:t>
      </w:r>
      <w:r w:rsidRPr="005C0885">
        <w:rPr>
          <w:rFonts w:ascii="Arial" w:hAnsi="Arial" w:cs="Arial"/>
        </w:rPr>
        <w:t xml:space="preserve">an area in which AI has been proven to increase organisational efficiency (Davenport &amp; </w:t>
      </w:r>
      <w:proofErr w:type="spellStart"/>
      <w:r w:rsidRPr="005C0885">
        <w:rPr>
          <w:rFonts w:ascii="Arial" w:hAnsi="Arial" w:cs="Arial"/>
        </w:rPr>
        <w:t>Ronanki</w:t>
      </w:r>
      <w:proofErr w:type="spellEnd"/>
      <w:r w:rsidRPr="005C0885">
        <w:rPr>
          <w:rFonts w:ascii="Arial" w:hAnsi="Arial" w:cs="Arial"/>
        </w:rPr>
        <w:t xml:space="preserve">, 2018). Unilever can also capitalise on AI-enhanced </w:t>
      </w:r>
      <w:r w:rsidRPr="005C0885">
        <w:rPr>
          <w:rFonts w:ascii="Arial" w:hAnsi="Arial" w:cs="Arial"/>
          <w:b/>
          <w:bCs/>
        </w:rPr>
        <w:t>consumer insight generation</w:t>
      </w:r>
      <w:r w:rsidRPr="005C0885">
        <w:rPr>
          <w:rFonts w:ascii="Arial" w:hAnsi="Arial" w:cs="Arial"/>
        </w:rPr>
        <w:t xml:space="preserve">, which enables personalised marketing and more targeted product positioning. Given the company’s vast global customer base, personalised digital advertising supported by machine learning models can significantly strengthen brand loyalty and market reach (McKinsey, 2023). Furthermore, AI accelerates </w:t>
      </w:r>
      <w:r w:rsidRPr="005C0885">
        <w:rPr>
          <w:rFonts w:ascii="Arial" w:hAnsi="Arial" w:cs="Arial"/>
          <w:b/>
          <w:bCs/>
        </w:rPr>
        <w:t>innovation in research and development</w:t>
      </w:r>
      <w:r w:rsidRPr="005C0885">
        <w:rPr>
          <w:rFonts w:ascii="Arial" w:hAnsi="Arial" w:cs="Arial"/>
        </w:rPr>
        <w:t>, allowing Unilever to test product formulations digitally, identify new sustainable materials, and speed up product launches, a capability increasingly important in competitive fast-moving consumer goods (FMCG) markets (</w:t>
      </w:r>
      <w:proofErr w:type="spellStart"/>
      <w:r w:rsidRPr="005C0885">
        <w:rPr>
          <w:rFonts w:ascii="Arial" w:hAnsi="Arial" w:cs="Arial"/>
        </w:rPr>
        <w:t>Bughin</w:t>
      </w:r>
      <w:proofErr w:type="spellEnd"/>
      <w:r w:rsidRPr="005C0885">
        <w:rPr>
          <w:rFonts w:ascii="Arial" w:hAnsi="Arial" w:cs="Arial"/>
        </w:rPr>
        <w:t xml:space="preserve"> et al., 2019).</w:t>
      </w:r>
    </w:p>
    <w:p w14:paraId="078E1E11" w14:textId="77777777" w:rsidR="005C0885" w:rsidRDefault="005C0885" w:rsidP="005C0885">
      <w:pPr>
        <w:spacing w:line="360" w:lineRule="auto"/>
        <w:jc w:val="both"/>
        <w:rPr>
          <w:rFonts w:ascii="Arial" w:hAnsi="Arial" w:cs="Arial"/>
        </w:rPr>
      </w:pPr>
      <w:r w:rsidRPr="005C0885">
        <w:rPr>
          <w:rFonts w:ascii="Arial" w:hAnsi="Arial" w:cs="Arial"/>
        </w:rPr>
        <w:t>Despite these advantages, AI introduces several challenges. Implementing advanced AI systems demands significant investment in data infrastructure, cybersecurity, and employee training. Ethical concerns related to data privacy, algorithmic bias, and transparency must also be carefully managed, particularly for a consumer-facing company whose reputation depends on trust (Johnson et al., 2020). Additionally, Unilever faces competitive pressure, as rivals such as Procter &amp; Gamble are also rapidly integrating AI. If Unilever falls behind in automation or digital marketing capabilities, its global competitiveness may weaken (McKinsey, 2023).</w:t>
      </w:r>
    </w:p>
    <w:p w14:paraId="6AA4E2A0" w14:textId="77777777" w:rsidR="004B26F6" w:rsidRPr="005C0885" w:rsidRDefault="004B26F6" w:rsidP="005C0885">
      <w:pPr>
        <w:spacing w:line="360" w:lineRule="auto"/>
        <w:jc w:val="both"/>
        <w:rPr>
          <w:rFonts w:ascii="Arial" w:hAnsi="Arial" w:cs="Arial"/>
        </w:rPr>
      </w:pPr>
    </w:p>
    <w:p w14:paraId="4D38275B" w14:textId="77777777" w:rsidR="005C0885" w:rsidRDefault="005C0885" w:rsidP="005C0885">
      <w:pPr>
        <w:spacing w:line="360" w:lineRule="auto"/>
        <w:jc w:val="both"/>
        <w:rPr>
          <w:rStyle w:val="IntenseEmphasis"/>
        </w:rPr>
      </w:pPr>
      <w:r w:rsidRPr="005C0885">
        <w:rPr>
          <w:rStyle w:val="IntenseEmphasis"/>
        </w:rPr>
        <w:t>Geopolitical tensions present another set of opportunities and constraints</w:t>
      </w:r>
    </w:p>
    <w:p w14:paraId="530F687A" w14:textId="42D63E00" w:rsidR="00156227" w:rsidRDefault="00156227" w:rsidP="005C0885">
      <w:pPr>
        <w:spacing w:line="360" w:lineRule="auto"/>
        <w:jc w:val="both"/>
        <w:rPr>
          <w:rStyle w:val="IntenseEmphasis"/>
        </w:rPr>
      </w:pPr>
      <w:r>
        <w:rPr>
          <w:i/>
          <w:iCs/>
          <w:noProof/>
          <w:color w:val="0F4761" w:themeColor="accent1" w:themeShade="BF"/>
        </w:rPr>
        <w:lastRenderedPageBreak/>
        <w:drawing>
          <wp:inline distT="0" distB="0" distL="0" distR="0" wp14:anchorId="30154CA9" wp14:editId="5C264EF3">
            <wp:extent cx="5731510" cy="5201285"/>
            <wp:effectExtent l="0" t="0" r="2540" b="0"/>
            <wp:docPr id="1979940939" name="Picture 2"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40939" name="Picture 2" descr="A map of the worl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5201285"/>
                    </a:xfrm>
                    <a:prstGeom prst="rect">
                      <a:avLst/>
                    </a:prstGeom>
                  </pic:spPr>
                </pic:pic>
              </a:graphicData>
            </a:graphic>
          </wp:inline>
        </w:drawing>
      </w:r>
    </w:p>
    <w:p w14:paraId="229DE135" w14:textId="23BFFDF3" w:rsidR="00156227" w:rsidRPr="00156227" w:rsidRDefault="00156227" w:rsidP="005C0885">
      <w:pPr>
        <w:spacing w:line="360" w:lineRule="auto"/>
        <w:jc w:val="both"/>
        <w:rPr>
          <w:rStyle w:val="IntenseEmphasis"/>
          <w:i w:val="0"/>
          <w:iCs w:val="0"/>
          <w:color w:val="auto"/>
        </w:rPr>
      </w:pPr>
      <w:r>
        <w:t>(</w:t>
      </w:r>
      <w:r w:rsidRPr="00156227">
        <w:t>Financial Times</w:t>
      </w:r>
      <w:r>
        <w:t xml:space="preserve">, </w:t>
      </w:r>
      <w:r w:rsidRPr="00156227">
        <w:t>2024)</w:t>
      </w:r>
    </w:p>
    <w:p w14:paraId="08EB0C94" w14:textId="77777777" w:rsidR="004B26F6" w:rsidRDefault="004B26F6" w:rsidP="005C0885">
      <w:pPr>
        <w:spacing w:line="360" w:lineRule="auto"/>
        <w:jc w:val="both"/>
        <w:rPr>
          <w:rFonts w:ascii="Arial" w:hAnsi="Arial" w:cs="Arial"/>
          <w:b/>
          <w:bCs/>
        </w:rPr>
      </w:pPr>
    </w:p>
    <w:p w14:paraId="722424C0" w14:textId="633040F0" w:rsidR="005C0885" w:rsidRPr="005C0885" w:rsidRDefault="005C0885" w:rsidP="005C0885">
      <w:pPr>
        <w:spacing w:line="360" w:lineRule="auto"/>
        <w:jc w:val="both"/>
        <w:rPr>
          <w:rFonts w:ascii="Arial" w:hAnsi="Arial" w:cs="Arial"/>
        </w:rPr>
      </w:pPr>
      <w:r w:rsidRPr="005C0885">
        <w:rPr>
          <w:rFonts w:ascii="Arial" w:hAnsi="Arial" w:cs="Arial"/>
        </w:rPr>
        <w:t>Disruptions in the Red Sea shipping route, increasing instability in the Middle East, and uncertainty in regions such as China–Taiwan have caused global delays, increased transport costs, and reduced supply chain reliability. Since Unilever sources key raw materials internationally—including palm oil, tea, and chemical inputs—these disruptions pose risks to cost efficiency and product availability (</w:t>
      </w:r>
      <w:proofErr w:type="spellStart"/>
      <w:r w:rsidRPr="005C0885">
        <w:rPr>
          <w:rFonts w:ascii="Arial" w:hAnsi="Arial" w:cs="Arial"/>
        </w:rPr>
        <w:t>Gereffi</w:t>
      </w:r>
      <w:proofErr w:type="spellEnd"/>
      <w:r w:rsidRPr="005C0885">
        <w:rPr>
          <w:rFonts w:ascii="Arial" w:hAnsi="Arial" w:cs="Arial"/>
        </w:rPr>
        <w:t>, 2020). Geopolitical instability also raises exposure to fluctuations in commodity prices and regulatory barriers, which can destabilise planning and forecasting.</w:t>
      </w:r>
    </w:p>
    <w:p w14:paraId="6FA2CAE4" w14:textId="77777777" w:rsidR="005C0885" w:rsidRDefault="005C0885" w:rsidP="005C0885">
      <w:pPr>
        <w:spacing w:line="360" w:lineRule="auto"/>
        <w:jc w:val="both"/>
        <w:rPr>
          <w:rFonts w:ascii="Arial" w:hAnsi="Arial" w:cs="Arial"/>
        </w:rPr>
      </w:pPr>
      <w:r w:rsidRPr="005C0885">
        <w:rPr>
          <w:rFonts w:ascii="Arial" w:hAnsi="Arial" w:cs="Arial"/>
        </w:rPr>
        <w:t xml:space="preserve">At the same time, geopolitical risk can stimulate positive organisational transformation. Unilever can leverage this period to develop </w:t>
      </w:r>
      <w:r w:rsidRPr="005C0885">
        <w:rPr>
          <w:rFonts w:ascii="Arial" w:hAnsi="Arial" w:cs="Arial"/>
          <w:b/>
          <w:bCs/>
        </w:rPr>
        <w:t>more resilient and diversified supply chains</w:t>
      </w:r>
      <w:r w:rsidRPr="005C0885">
        <w:rPr>
          <w:rFonts w:ascii="Arial" w:hAnsi="Arial" w:cs="Arial"/>
        </w:rPr>
        <w:t xml:space="preserve">, which are increasingly recognised as a key source of competitive advantage in uncertain global conditions (OECD, 2023). Strategies such as nearshoring to Europe or Africa, supplier </w:t>
      </w:r>
      <w:r w:rsidRPr="005C0885">
        <w:rPr>
          <w:rFonts w:ascii="Arial" w:hAnsi="Arial" w:cs="Arial"/>
        </w:rPr>
        <w:lastRenderedPageBreak/>
        <w:t>diversification, and regionalised manufacturing could reduce vulnerability to future disruptions while supporting sustainability objectives through shorter transport routes.</w:t>
      </w:r>
    </w:p>
    <w:p w14:paraId="06121EC3" w14:textId="77777777" w:rsidR="004B26F6" w:rsidRPr="005C0885" w:rsidRDefault="004B26F6" w:rsidP="005C0885">
      <w:pPr>
        <w:spacing w:line="360" w:lineRule="auto"/>
        <w:jc w:val="both"/>
        <w:rPr>
          <w:rFonts w:ascii="Arial" w:hAnsi="Arial" w:cs="Arial"/>
        </w:rPr>
      </w:pPr>
    </w:p>
    <w:p w14:paraId="0D9A7621" w14:textId="77777777" w:rsidR="005C0885" w:rsidRDefault="005C0885" w:rsidP="005C0885">
      <w:pPr>
        <w:spacing w:line="360" w:lineRule="auto"/>
        <w:jc w:val="both"/>
        <w:rPr>
          <w:rStyle w:val="IntenseEmphasis"/>
        </w:rPr>
      </w:pPr>
      <w:r w:rsidRPr="005C0885">
        <w:rPr>
          <w:rStyle w:val="IntenseEmphasis"/>
        </w:rPr>
        <w:t>Sustainability regulations, especially the CSRD, create additional opportunities and challenges</w:t>
      </w:r>
    </w:p>
    <w:p w14:paraId="38764234" w14:textId="77777777" w:rsidR="004B26F6" w:rsidRDefault="004B26F6" w:rsidP="005C0885">
      <w:pPr>
        <w:spacing w:line="360" w:lineRule="auto"/>
        <w:jc w:val="both"/>
        <w:rPr>
          <w:rFonts w:ascii="Arial" w:hAnsi="Arial" w:cs="Arial"/>
          <w:b/>
          <w:bCs/>
        </w:rPr>
      </w:pPr>
    </w:p>
    <w:p w14:paraId="534E7175" w14:textId="6B21DFFA" w:rsidR="005C0885" w:rsidRPr="005C0885" w:rsidRDefault="005C0885" w:rsidP="005C0885">
      <w:pPr>
        <w:spacing w:line="360" w:lineRule="auto"/>
        <w:jc w:val="both"/>
        <w:rPr>
          <w:rFonts w:ascii="Arial" w:hAnsi="Arial" w:cs="Arial"/>
        </w:rPr>
      </w:pPr>
      <w:r w:rsidRPr="005C0885">
        <w:rPr>
          <w:rFonts w:ascii="Arial" w:hAnsi="Arial" w:cs="Arial"/>
        </w:rPr>
        <w:t xml:space="preserve">The CSRD expands environmental, social, and governance (ESG) reporting requirements across Europe, demanding detailed disclosures on emissions, resource usage, and social impacts. Unilever, long known for its sustainability commitments, stands to strengthen its consumer and investor reputation by meeting these expectations. Strong ESG performance is increasingly linked to competitive advantage, customer trust, and long-term profitability (KPMG, 2024). The directive also encourages </w:t>
      </w:r>
      <w:r w:rsidRPr="005C0885">
        <w:rPr>
          <w:rFonts w:ascii="Arial" w:hAnsi="Arial" w:cs="Arial"/>
          <w:b/>
          <w:bCs/>
        </w:rPr>
        <w:t>innovation in sustainable packaging</w:t>
      </w:r>
      <w:r w:rsidRPr="005C0885">
        <w:rPr>
          <w:rFonts w:ascii="Arial" w:hAnsi="Arial" w:cs="Arial"/>
        </w:rPr>
        <w:t>, renewable energy, and circular production systems, aligning with Unilever’s strategic priorities.</w:t>
      </w:r>
    </w:p>
    <w:p w14:paraId="03636D40" w14:textId="77777777" w:rsidR="005C0885" w:rsidRPr="005C0885" w:rsidRDefault="005C0885" w:rsidP="005C0885">
      <w:pPr>
        <w:spacing w:line="360" w:lineRule="auto"/>
        <w:jc w:val="both"/>
        <w:rPr>
          <w:rFonts w:ascii="Arial" w:hAnsi="Arial" w:cs="Arial"/>
        </w:rPr>
      </w:pPr>
      <w:r w:rsidRPr="005C0885">
        <w:rPr>
          <w:rFonts w:ascii="Arial" w:hAnsi="Arial" w:cs="Arial"/>
        </w:rPr>
        <w:t xml:space="preserve">However, CSRD compliance is complex. Companies must provide verified data across their entire value chain, including </w:t>
      </w:r>
      <w:r w:rsidRPr="005C0885">
        <w:rPr>
          <w:rFonts w:ascii="Arial" w:hAnsi="Arial" w:cs="Arial"/>
          <w:b/>
          <w:bCs/>
        </w:rPr>
        <w:t>Scope 3 emissions</w:t>
      </w:r>
      <w:r w:rsidRPr="005C0885">
        <w:rPr>
          <w:rFonts w:ascii="Arial" w:hAnsi="Arial" w:cs="Arial"/>
        </w:rPr>
        <w:t>, which depend heavily on suppliers. Gathering accurate sustainability data from thousands of suppliers globally is expensive and operationally demanding (EU Commission, 2023). Additionally, the increased reporting obligations raise administrative costs and may pressure margins, especially in emerging markets with limited sustainability infrastructure.</w:t>
      </w:r>
    </w:p>
    <w:p w14:paraId="1862D844" w14:textId="77777777" w:rsidR="005C0885" w:rsidRPr="005C0885" w:rsidRDefault="005C0885" w:rsidP="005C0885">
      <w:pPr>
        <w:spacing w:line="360" w:lineRule="auto"/>
        <w:jc w:val="both"/>
        <w:rPr>
          <w:rFonts w:ascii="Arial" w:hAnsi="Arial" w:cs="Arial"/>
        </w:rPr>
      </w:pPr>
      <w:r w:rsidRPr="005C0885">
        <w:rPr>
          <w:rFonts w:ascii="Arial" w:hAnsi="Arial" w:cs="Arial"/>
        </w:rPr>
        <w:t>Overall, these global forces—AI development, geopolitical instability, and sustainability regulation—create a dynamic environment that shapes both opportunities for long-term growth and challenges affecting Unilever’s operational efficiency and strategic decisions. Effectively managing these pressures will be crucial for maintaining its global leadership position.</w:t>
      </w:r>
    </w:p>
    <w:p w14:paraId="77E1017A" w14:textId="77777777" w:rsidR="005C0885" w:rsidRPr="005C0885" w:rsidRDefault="005C0885" w:rsidP="005C0885"/>
    <w:p w14:paraId="031A551A" w14:textId="1F325EF0" w:rsidR="005C0885" w:rsidRDefault="005C0885" w:rsidP="005C0885">
      <w:pPr>
        <w:pStyle w:val="Heading1"/>
      </w:pPr>
      <w:bookmarkStart w:id="2" w:name="_Toc216444019"/>
      <w:r w:rsidRPr="005C0885">
        <w:t>Impact on Unilever’s Market Position, Innovation, Talent, Competitiveness</w:t>
      </w:r>
      <w:bookmarkEnd w:id="2"/>
      <w:r w:rsidRPr="005C0885">
        <w:t xml:space="preserve"> </w:t>
      </w:r>
    </w:p>
    <w:p w14:paraId="020C45F8" w14:textId="77777777" w:rsidR="005C0885" w:rsidRDefault="005C0885" w:rsidP="004B26F6">
      <w:pPr>
        <w:spacing w:line="360" w:lineRule="auto"/>
        <w:jc w:val="both"/>
        <w:rPr>
          <w:rFonts w:ascii="Arial" w:hAnsi="Arial" w:cs="Arial"/>
        </w:rPr>
      </w:pPr>
      <w:r w:rsidRPr="005C0885">
        <w:rPr>
          <w:rFonts w:ascii="Arial" w:hAnsi="Arial" w:cs="Arial"/>
        </w:rPr>
        <w:t>The combined forces of rapid AI adoption, geopolitical tensions, and expanding sustainability regulations significantly influence Unilever’s global performance and strategic positioning. These factors affect the company’s market presence, innovation capability, workforce strategy, and overall competitiveness in the fast-moving consumer goods (FMCG) sector.</w:t>
      </w:r>
    </w:p>
    <w:p w14:paraId="48F39C0D" w14:textId="77777777" w:rsidR="004B26F6" w:rsidRPr="005C0885" w:rsidRDefault="004B26F6" w:rsidP="004B26F6">
      <w:pPr>
        <w:spacing w:line="360" w:lineRule="auto"/>
        <w:jc w:val="both"/>
        <w:rPr>
          <w:rFonts w:ascii="Arial" w:hAnsi="Arial" w:cs="Arial"/>
        </w:rPr>
      </w:pPr>
    </w:p>
    <w:p w14:paraId="302DF344" w14:textId="77777777" w:rsidR="004B26F6" w:rsidRPr="004B26F6" w:rsidRDefault="005C0885" w:rsidP="004B26F6">
      <w:pPr>
        <w:spacing w:line="360" w:lineRule="auto"/>
        <w:jc w:val="both"/>
        <w:rPr>
          <w:rStyle w:val="IntenseEmphasis"/>
        </w:rPr>
      </w:pPr>
      <w:r w:rsidRPr="005C0885">
        <w:rPr>
          <w:rStyle w:val="IntenseEmphasis"/>
        </w:rPr>
        <w:t>Market Position</w:t>
      </w:r>
    </w:p>
    <w:p w14:paraId="2BE4E654" w14:textId="2F9632F7" w:rsidR="005C0885" w:rsidRDefault="005C0885" w:rsidP="004B26F6">
      <w:pPr>
        <w:spacing w:line="360" w:lineRule="auto"/>
        <w:jc w:val="both"/>
        <w:rPr>
          <w:rFonts w:ascii="Arial" w:hAnsi="Arial" w:cs="Arial"/>
        </w:rPr>
      </w:pPr>
      <w:r w:rsidRPr="005C0885">
        <w:rPr>
          <w:rFonts w:ascii="Arial" w:hAnsi="Arial" w:cs="Arial"/>
        </w:rPr>
        <w:lastRenderedPageBreak/>
        <w:br/>
        <w:t xml:space="preserve">AI adoption enhances Unilever’s ability to understand consumer behaviour and adapt to market trends more rapidly. The company’s use of AI-driven analytics supports precise demand forecasting and segmented marketing, helping maintain strong market penetration across diverse regions (Davenport &amp; </w:t>
      </w:r>
      <w:proofErr w:type="spellStart"/>
      <w:r w:rsidRPr="005C0885">
        <w:rPr>
          <w:rFonts w:ascii="Arial" w:hAnsi="Arial" w:cs="Arial"/>
        </w:rPr>
        <w:t>Ronanki</w:t>
      </w:r>
      <w:proofErr w:type="spellEnd"/>
      <w:r w:rsidRPr="005C0885">
        <w:rPr>
          <w:rFonts w:ascii="Arial" w:hAnsi="Arial" w:cs="Arial"/>
        </w:rPr>
        <w:t>, 2018). This strengthens Unilever’s ability to align products with specific consumer needs, reinforcing its position against competitors such as Procter &amp; Gamble and Nestlé. However, geopolitical disruptions pose risks that can weaken short-term market stability. Supply chain delays caused by the Red Sea shipping crisis or tensions in Asia can reduce product availability and increase costs, potentially leading to lost shelf space in retail markets—an important determinant of market share in FMCG (Gereffi, 2020). Thus, while AI enhances strategic positioning, geopolitical instability pressures Unilever’s ability to maintain consistent market performance globally.</w:t>
      </w:r>
    </w:p>
    <w:p w14:paraId="2797F9D9" w14:textId="77777777" w:rsidR="004B26F6" w:rsidRPr="005C0885" w:rsidRDefault="004B26F6" w:rsidP="004B26F6">
      <w:pPr>
        <w:spacing w:line="360" w:lineRule="auto"/>
        <w:jc w:val="both"/>
        <w:rPr>
          <w:rFonts w:ascii="Arial" w:hAnsi="Arial" w:cs="Arial"/>
        </w:rPr>
      </w:pPr>
    </w:p>
    <w:p w14:paraId="68F33023" w14:textId="77777777" w:rsidR="004B26F6" w:rsidRPr="004B26F6" w:rsidRDefault="005C0885" w:rsidP="004B26F6">
      <w:pPr>
        <w:spacing w:line="360" w:lineRule="auto"/>
        <w:jc w:val="both"/>
        <w:rPr>
          <w:rStyle w:val="IntenseEmphasis"/>
        </w:rPr>
      </w:pPr>
      <w:r w:rsidRPr="005C0885">
        <w:rPr>
          <w:rStyle w:val="IntenseEmphasis"/>
        </w:rPr>
        <w:t>Innovation</w:t>
      </w:r>
    </w:p>
    <w:p w14:paraId="0764F6F1" w14:textId="6DDA40C1" w:rsidR="005C0885" w:rsidRDefault="005C0885" w:rsidP="004B26F6">
      <w:pPr>
        <w:spacing w:line="360" w:lineRule="auto"/>
        <w:jc w:val="both"/>
        <w:rPr>
          <w:rFonts w:ascii="Arial" w:hAnsi="Arial" w:cs="Arial"/>
        </w:rPr>
      </w:pPr>
      <w:r w:rsidRPr="005C0885">
        <w:rPr>
          <w:rFonts w:ascii="Arial" w:hAnsi="Arial" w:cs="Arial"/>
        </w:rPr>
        <w:br/>
        <w:t>AI has also become a core driver of Unilever’s innovation capabilities. Digital tools enable rapid experimentation and virtual product testing, reducing development timelines and increasing the pace at which new products can be brought to market (</w:t>
      </w:r>
      <w:proofErr w:type="spellStart"/>
      <w:r w:rsidRPr="005C0885">
        <w:rPr>
          <w:rFonts w:ascii="Arial" w:hAnsi="Arial" w:cs="Arial"/>
        </w:rPr>
        <w:t>Bughin</w:t>
      </w:r>
      <w:proofErr w:type="spellEnd"/>
      <w:r w:rsidRPr="005C0885">
        <w:rPr>
          <w:rFonts w:ascii="Arial" w:hAnsi="Arial" w:cs="Arial"/>
        </w:rPr>
        <w:t xml:space="preserve"> et al., 2019). This is particularly important in categories such as personal care and food, where consumer preferences evolve quickly. Meanwhile, the CSRD encourages innovation in sustainability, pushing Unilever to invest further in eco-friendly packaging, low-carbon production methods, and biodegradable materials. Such innovation supports differentiation and enables the company to meet rising consumer expectations for responsible brands (KPMG, 2024). However, regulatory pressure also requires substantial investment in reporting systems and product reformulation, which may divert resources away from other innovation initiatives. Thus, while sustainability regulation drives long-term innovation, it also introduces short-term complexity.</w:t>
      </w:r>
    </w:p>
    <w:p w14:paraId="44281CE7" w14:textId="77777777" w:rsidR="004B26F6" w:rsidRPr="005C0885" w:rsidRDefault="004B26F6" w:rsidP="004B26F6">
      <w:pPr>
        <w:spacing w:line="360" w:lineRule="auto"/>
        <w:jc w:val="both"/>
        <w:rPr>
          <w:rFonts w:ascii="Arial" w:hAnsi="Arial" w:cs="Arial"/>
        </w:rPr>
      </w:pPr>
    </w:p>
    <w:p w14:paraId="2DF87466" w14:textId="77777777" w:rsidR="004B26F6" w:rsidRPr="004B26F6" w:rsidRDefault="005C0885" w:rsidP="004B26F6">
      <w:pPr>
        <w:spacing w:line="360" w:lineRule="auto"/>
        <w:jc w:val="both"/>
        <w:rPr>
          <w:rStyle w:val="IntenseEmphasis"/>
        </w:rPr>
      </w:pPr>
      <w:r w:rsidRPr="005C0885">
        <w:rPr>
          <w:rStyle w:val="IntenseEmphasis"/>
        </w:rPr>
        <w:t>Talent Management</w:t>
      </w:r>
    </w:p>
    <w:p w14:paraId="47623E89" w14:textId="23DE9B4C" w:rsidR="005C0885" w:rsidRDefault="005C0885" w:rsidP="004B26F6">
      <w:pPr>
        <w:spacing w:line="360" w:lineRule="auto"/>
        <w:jc w:val="both"/>
        <w:rPr>
          <w:rFonts w:ascii="Arial" w:hAnsi="Arial" w:cs="Arial"/>
        </w:rPr>
      </w:pPr>
      <w:r w:rsidRPr="005C0885">
        <w:rPr>
          <w:rFonts w:ascii="Arial" w:hAnsi="Arial" w:cs="Arial"/>
        </w:rPr>
        <w:br/>
        <w:t xml:space="preserve">The increasing importance of AI and sustainability reshapes the skills Unilever requires from its workforce. The shift toward digital operations creates a growing demand for data scientists, AI specialists, and digital marketers, forcing the company to invest in reskilling and talent development programmes (McKinsey, 2023). Meanwhile, CSRD compliance and broader </w:t>
      </w:r>
      <w:r w:rsidRPr="005C0885">
        <w:rPr>
          <w:rFonts w:ascii="Arial" w:hAnsi="Arial" w:cs="Arial"/>
        </w:rPr>
        <w:lastRenderedPageBreak/>
        <w:t>ESG commitments require expertise in sustainability reporting, carbon accounting, and supply chain transparency (EU Commission, 2023). These shifts enhance Unilever’s attractiveness to talent seeking purpose-driven and technologically advanced workplaces but may also widen skills gaps if recruitment and training cannot keep pace with emerging needs. Additionally, automation may create internal resistance or anxiety among employees concerned about job displacement, requiring careful management and communication (Johnson et al., 2020).</w:t>
      </w:r>
    </w:p>
    <w:p w14:paraId="097BAF54" w14:textId="77777777" w:rsidR="004B26F6" w:rsidRPr="005C0885" w:rsidRDefault="004B26F6" w:rsidP="004B26F6">
      <w:pPr>
        <w:spacing w:line="360" w:lineRule="auto"/>
        <w:jc w:val="both"/>
        <w:rPr>
          <w:rFonts w:ascii="Arial" w:hAnsi="Arial" w:cs="Arial"/>
          <w:b/>
          <w:bCs/>
        </w:rPr>
      </w:pPr>
    </w:p>
    <w:p w14:paraId="61F5FDA3" w14:textId="77777777" w:rsidR="004B26F6" w:rsidRPr="004B26F6" w:rsidRDefault="005C0885" w:rsidP="004B26F6">
      <w:pPr>
        <w:spacing w:line="360" w:lineRule="auto"/>
        <w:jc w:val="both"/>
        <w:rPr>
          <w:rStyle w:val="IntenseEmphasis"/>
        </w:rPr>
      </w:pPr>
      <w:r w:rsidRPr="005C0885">
        <w:rPr>
          <w:rStyle w:val="IntenseEmphasis"/>
        </w:rPr>
        <w:t>Competitiveness</w:t>
      </w:r>
    </w:p>
    <w:p w14:paraId="1F05F672" w14:textId="548A8AA7" w:rsidR="005C0885" w:rsidRPr="005C0885" w:rsidRDefault="005C0885" w:rsidP="004B26F6">
      <w:pPr>
        <w:spacing w:line="360" w:lineRule="auto"/>
        <w:jc w:val="both"/>
        <w:rPr>
          <w:rFonts w:ascii="Arial" w:hAnsi="Arial" w:cs="Arial"/>
        </w:rPr>
      </w:pPr>
      <w:r w:rsidRPr="005C0885">
        <w:rPr>
          <w:rFonts w:ascii="Arial" w:hAnsi="Arial" w:cs="Arial"/>
        </w:rPr>
        <w:br/>
        <w:t>Combined, these global forces reshape Unilever’s competitive landscape. Successfully integrating AI into operations can produce significant cost efficiencies and faster decision-making, strengthening competitiveness relative to companies slower to adopt digital tools. Likewise, strong sustainability performance helps differentiate Unilever in markets where consumers increasingly prioritise ethical production and transparency (KPMG, 2024). However, geopolitical instability increases operational risk and raises costs for transportation, insurance, and raw materials, potentially harming price competitiveness. Furthermore, compliance with sustainability regulations may increase production costs that competitors with simpler supply chains might avoid. As a result, Unilever’s competitiveness will depend on how effectively it balances innovation-driven growth with the cost pressures imposed by external global forces.</w:t>
      </w:r>
    </w:p>
    <w:p w14:paraId="52642724" w14:textId="77777777" w:rsidR="005C0885" w:rsidRPr="005C0885" w:rsidRDefault="005C0885" w:rsidP="005C0885"/>
    <w:p w14:paraId="021B49A0" w14:textId="792B352D" w:rsidR="005C0885" w:rsidRDefault="005C0885" w:rsidP="005C0885">
      <w:pPr>
        <w:pStyle w:val="Heading1"/>
      </w:pPr>
      <w:bookmarkStart w:id="3" w:name="_Toc216444020"/>
      <w:r>
        <w:t>S</w:t>
      </w:r>
      <w:r w:rsidRPr="005C0885">
        <w:t>trategic Recommendations</w:t>
      </w:r>
      <w:bookmarkEnd w:id="3"/>
    </w:p>
    <w:p w14:paraId="5D119B07" w14:textId="395F41D0" w:rsidR="00156227" w:rsidRDefault="00156227" w:rsidP="00156227">
      <w:r>
        <w:rPr>
          <w:noProof/>
        </w:rPr>
        <w:drawing>
          <wp:inline distT="0" distB="0" distL="0" distR="0" wp14:anchorId="166CA361" wp14:editId="78F94294">
            <wp:extent cx="4667693" cy="2119234"/>
            <wp:effectExtent l="0" t="0" r="0" b="0"/>
            <wp:docPr id="1987759200" name="Picture 3" descr="A diagram of a company's stand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59200" name="Picture 3" descr="A diagram of a company's standard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671121" cy="2120790"/>
                    </a:xfrm>
                    <a:prstGeom prst="rect">
                      <a:avLst/>
                    </a:prstGeom>
                  </pic:spPr>
                </pic:pic>
              </a:graphicData>
            </a:graphic>
          </wp:inline>
        </w:drawing>
      </w:r>
    </w:p>
    <w:p w14:paraId="70CB132E" w14:textId="5C1B4CD7" w:rsidR="00156227" w:rsidRDefault="00156227" w:rsidP="00156227">
      <w:r>
        <w:t>(</w:t>
      </w:r>
      <w:r w:rsidRPr="00156227">
        <w:t>European Commission</w:t>
      </w:r>
      <w:r>
        <w:t xml:space="preserve">, </w:t>
      </w:r>
      <w:r w:rsidRPr="00156227">
        <w:t xml:space="preserve">2023) </w:t>
      </w:r>
    </w:p>
    <w:p w14:paraId="76184F70" w14:textId="77777777" w:rsidR="00156227" w:rsidRPr="00156227" w:rsidRDefault="00156227" w:rsidP="00156227"/>
    <w:p w14:paraId="147EB424" w14:textId="3BD894E3" w:rsidR="004B26F6" w:rsidRPr="004B26F6" w:rsidRDefault="004B26F6" w:rsidP="004B26F6">
      <w:pPr>
        <w:spacing w:line="360" w:lineRule="auto"/>
        <w:jc w:val="both"/>
        <w:rPr>
          <w:rFonts w:ascii="Arial" w:hAnsi="Arial" w:cs="Arial"/>
        </w:rPr>
      </w:pPr>
      <w:r w:rsidRPr="004B26F6">
        <w:rPr>
          <w:rFonts w:ascii="Arial" w:hAnsi="Arial" w:cs="Arial"/>
        </w:rPr>
        <w:lastRenderedPageBreak/>
        <w:t>To</w:t>
      </w:r>
      <w:r w:rsidRPr="004B26F6">
        <w:rPr>
          <w:rFonts w:ascii="Arial" w:hAnsi="Arial" w:cs="Arial"/>
        </w:rPr>
        <w:t xml:space="preserve"> respond effectively to major global forces—including AI adoption, geopolitical tensions, and CSRD sustainability regulations—Unilever must pursue integrated strategic actions that strengthen resilience and competitiveness. First, the company should accelerate AI integration across its value chain. Investments in AI-enabled forecasting, marketing personalisation, and digital product development can improve efficiency and decision accuracy (Davenport &amp; </w:t>
      </w:r>
      <w:proofErr w:type="spellStart"/>
      <w:r w:rsidRPr="004B26F6">
        <w:rPr>
          <w:rFonts w:ascii="Arial" w:hAnsi="Arial" w:cs="Arial"/>
        </w:rPr>
        <w:t>Ronanki</w:t>
      </w:r>
      <w:proofErr w:type="spellEnd"/>
      <w:r w:rsidRPr="004B26F6">
        <w:rPr>
          <w:rFonts w:ascii="Arial" w:hAnsi="Arial" w:cs="Arial"/>
        </w:rPr>
        <w:t>, 2018). Establishing cross-functional AI teams and forming partnerships with technology firms would help Unilever advance these capabilities while upskilling programmes reduce internal resistance (McKinsey, 2023).</w:t>
      </w:r>
    </w:p>
    <w:p w14:paraId="5BD17EF3" w14:textId="77777777" w:rsidR="004B26F6" w:rsidRPr="004B26F6" w:rsidRDefault="004B26F6" w:rsidP="004B26F6">
      <w:pPr>
        <w:spacing w:line="360" w:lineRule="auto"/>
        <w:jc w:val="both"/>
        <w:rPr>
          <w:rFonts w:ascii="Arial" w:hAnsi="Arial" w:cs="Arial"/>
        </w:rPr>
      </w:pPr>
      <w:r w:rsidRPr="004B26F6">
        <w:rPr>
          <w:rFonts w:ascii="Arial" w:hAnsi="Arial" w:cs="Arial"/>
        </w:rPr>
        <w:t>Second, Unilever should reinforce supply chain resilience by diversifying suppliers and developing regional manufacturing hubs. Research shows that diversified networks withstand geopolitical shocks more effectively (Gereffi, 2020). Using predictive analytics to monitor global shipping risks would also minimise disruptions.</w:t>
      </w:r>
    </w:p>
    <w:p w14:paraId="0F00211F" w14:textId="77777777" w:rsidR="004B26F6" w:rsidRPr="004B26F6" w:rsidRDefault="004B26F6" w:rsidP="004B26F6">
      <w:pPr>
        <w:spacing w:line="360" w:lineRule="auto"/>
        <w:jc w:val="both"/>
        <w:rPr>
          <w:rFonts w:ascii="Arial" w:hAnsi="Arial" w:cs="Arial"/>
        </w:rPr>
      </w:pPr>
      <w:r w:rsidRPr="004B26F6">
        <w:rPr>
          <w:rFonts w:ascii="Arial" w:hAnsi="Arial" w:cs="Arial"/>
        </w:rPr>
        <w:t>Third, the company must enhance sustainability reporting to meet CSRD requirements by investing in digital tools for accurate Scope 1–3 emissions measurement and supporting suppliers in compliance (EU Commission, 2023; KPMG, 2024). Stronger reporting systems will protect Unilever’s sustainability reputation.</w:t>
      </w:r>
    </w:p>
    <w:p w14:paraId="13036ADF" w14:textId="77777777" w:rsidR="004B26F6" w:rsidRPr="004B26F6" w:rsidRDefault="004B26F6" w:rsidP="004B26F6">
      <w:pPr>
        <w:spacing w:line="360" w:lineRule="auto"/>
        <w:jc w:val="both"/>
        <w:rPr>
          <w:rFonts w:ascii="Arial" w:hAnsi="Arial" w:cs="Arial"/>
        </w:rPr>
      </w:pPr>
      <w:r w:rsidRPr="004B26F6">
        <w:rPr>
          <w:rFonts w:ascii="Arial" w:hAnsi="Arial" w:cs="Arial"/>
        </w:rPr>
        <w:t>Finally, Unilever should strengthen competitive differentiation through innovation in circular packaging and low-carbon production, supported by talent strategies emphasising digital and sustainability skills (Johnson et al., 2020). These combined actions will position the company for long-term global success.</w:t>
      </w:r>
    </w:p>
    <w:p w14:paraId="04B0BEE7" w14:textId="77777777" w:rsidR="004B26F6" w:rsidRPr="004B26F6" w:rsidRDefault="004B26F6" w:rsidP="004B26F6"/>
    <w:p w14:paraId="71C96A66" w14:textId="76FEFEFE" w:rsidR="005C0885" w:rsidRDefault="005C0885" w:rsidP="005C0885">
      <w:pPr>
        <w:pStyle w:val="Heading1"/>
      </w:pPr>
      <w:bookmarkStart w:id="4" w:name="_Toc216444021"/>
      <w:r w:rsidRPr="005C0885">
        <w:t>Conclusion</w:t>
      </w:r>
      <w:bookmarkEnd w:id="4"/>
    </w:p>
    <w:p w14:paraId="2B100973" w14:textId="3287B145" w:rsidR="004B26F6" w:rsidRDefault="004B26F6" w:rsidP="004B26F6">
      <w:pPr>
        <w:spacing w:line="360" w:lineRule="auto"/>
        <w:jc w:val="both"/>
        <w:rPr>
          <w:rFonts w:ascii="Arial" w:hAnsi="Arial" w:cs="Arial"/>
        </w:rPr>
      </w:pPr>
      <w:r w:rsidRPr="004B26F6">
        <w:rPr>
          <w:rFonts w:ascii="Arial" w:hAnsi="Arial" w:cs="Arial"/>
        </w:rPr>
        <w:t>Unilever operates in a global environment shaped by fast technological change, geopolitical uncertainty, and rising sustainability expectations. The analysis demonstrates that AI offers significant potential for improved efficiency and innovation, while geopolitical instability creates supply chain vulnerabilities requiring strategic adaptation. At the same time, sustainability regulations such as the CSRD present both compliance challenges and opportunities for differentiation. How effectively Unilever responds to these forces will determine its future competitiveness. Strengthening AI capabilities, enhancing supply chain resilience, and advancing sustainability practices are essential for sustaining long-term success in an increasingly dynamic global business landscape.</w:t>
      </w:r>
    </w:p>
    <w:p w14:paraId="38A87B1C" w14:textId="4DF2D371" w:rsidR="004B26F6" w:rsidRPr="004B26F6" w:rsidRDefault="004B26F6" w:rsidP="004B26F6">
      <w:pPr>
        <w:rPr>
          <w:rFonts w:ascii="Arial" w:hAnsi="Arial" w:cs="Arial"/>
        </w:rPr>
      </w:pPr>
      <w:r>
        <w:rPr>
          <w:rFonts w:ascii="Arial" w:hAnsi="Arial" w:cs="Arial"/>
        </w:rPr>
        <w:br w:type="page"/>
      </w:r>
    </w:p>
    <w:p w14:paraId="38B06CDA" w14:textId="403C515D" w:rsidR="005C0885" w:rsidRDefault="005C0885" w:rsidP="005C0885">
      <w:pPr>
        <w:pStyle w:val="Heading1"/>
      </w:pPr>
      <w:bookmarkStart w:id="5" w:name="_Toc216444022"/>
      <w:r>
        <w:lastRenderedPageBreak/>
        <w:t>References</w:t>
      </w:r>
      <w:bookmarkEnd w:id="5"/>
    </w:p>
    <w:p w14:paraId="6EBD7E22" w14:textId="77777777" w:rsidR="003976CC" w:rsidRPr="003976CC" w:rsidRDefault="003976CC" w:rsidP="003976CC">
      <w:pPr>
        <w:jc w:val="both"/>
        <w:rPr>
          <w:rFonts w:ascii="Arial" w:hAnsi="Arial" w:cs="Arial"/>
        </w:rPr>
      </w:pPr>
      <w:proofErr w:type="spellStart"/>
      <w:r w:rsidRPr="003976CC">
        <w:rPr>
          <w:rFonts w:ascii="Arial" w:hAnsi="Arial" w:cs="Arial"/>
        </w:rPr>
        <w:t>Bughin</w:t>
      </w:r>
      <w:proofErr w:type="spellEnd"/>
      <w:r w:rsidRPr="003976CC">
        <w:rPr>
          <w:rFonts w:ascii="Arial" w:hAnsi="Arial" w:cs="Arial"/>
        </w:rPr>
        <w:t xml:space="preserve">, J., Hazan, E., Ramaswamy, S., Chui, M., Allas, T., Dahlström, P., Henke, N. and Trench, M. (2019) </w:t>
      </w:r>
      <w:r w:rsidRPr="003976CC">
        <w:rPr>
          <w:rFonts w:ascii="Arial" w:hAnsi="Arial" w:cs="Arial"/>
          <w:i/>
          <w:iCs/>
        </w:rPr>
        <w:t>Notes from the AI frontier</w:t>
      </w:r>
      <w:r w:rsidRPr="003976CC">
        <w:rPr>
          <w:rFonts w:ascii="Arial" w:hAnsi="Arial" w:cs="Arial"/>
        </w:rPr>
        <w:t xml:space="preserve">. McKinsey Global Institute. Available at: </w:t>
      </w:r>
      <w:hyperlink r:id="rId12" w:tgtFrame="_new" w:history="1">
        <w:r w:rsidRPr="003976CC">
          <w:rPr>
            <w:rStyle w:val="Hyperlink"/>
            <w:rFonts w:ascii="Arial" w:hAnsi="Arial" w:cs="Arial"/>
          </w:rPr>
          <w:t>https://www.mckinsey.com</w:t>
        </w:r>
      </w:hyperlink>
      <w:r w:rsidRPr="003976CC">
        <w:rPr>
          <w:rFonts w:ascii="Arial" w:hAnsi="Arial" w:cs="Arial"/>
        </w:rPr>
        <w:t xml:space="preserve"> (Accessed: 25 November 2025).</w:t>
      </w:r>
    </w:p>
    <w:p w14:paraId="769CD5A2" w14:textId="77777777" w:rsidR="003976CC" w:rsidRPr="003976CC" w:rsidRDefault="003976CC" w:rsidP="003976CC">
      <w:pPr>
        <w:jc w:val="both"/>
        <w:rPr>
          <w:rFonts w:ascii="Arial" w:hAnsi="Arial" w:cs="Arial"/>
        </w:rPr>
      </w:pPr>
      <w:proofErr w:type="spellStart"/>
      <w:r w:rsidRPr="003976CC">
        <w:rPr>
          <w:rFonts w:ascii="Arial" w:hAnsi="Arial" w:cs="Arial"/>
        </w:rPr>
        <w:t>Cavusgil</w:t>
      </w:r>
      <w:proofErr w:type="spellEnd"/>
      <w:r w:rsidRPr="003976CC">
        <w:rPr>
          <w:rFonts w:ascii="Arial" w:hAnsi="Arial" w:cs="Arial"/>
        </w:rPr>
        <w:t xml:space="preserve">, S.T., Knight, G., Riesenberger, J., Yaprak, A. and </w:t>
      </w:r>
      <w:proofErr w:type="spellStart"/>
      <w:r w:rsidRPr="003976CC">
        <w:rPr>
          <w:rFonts w:ascii="Arial" w:hAnsi="Arial" w:cs="Arial"/>
        </w:rPr>
        <w:t>Beugelsdijk</w:t>
      </w:r>
      <w:proofErr w:type="spellEnd"/>
      <w:r w:rsidRPr="003976CC">
        <w:rPr>
          <w:rFonts w:ascii="Arial" w:hAnsi="Arial" w:cs="Arial"/>
        </w:rPr>
        <w:t xml:space="preserve">, S. (2019) </w:t>
      </w:r>
      <w:r w:rsidRPr="003976CC">
        <w:rPr>
          <w:rFonts w:ascii="Arial" w:hAnsi="Arial" w:cs="Arial"/>
          <w:i/>
          <w:iCs/>
        </w:rPr>
        <w:t>International Business: The New Realities</w:t>
      </w:r>
      <w:r w:rsidRPr="003976CC">
        <w:rPr>
          <w:rFonts w:ascii="Arial" w:hAnsi="Arial" w:cs="Arial"/>
        </w:rPr>
        <w:t xml:space="preserve">. 5th </w:t>
      </w:r>
      <w:proofErr w:type="spellStart"/>
      <w:r w:rsidRPr="003976CC">
        <w:rPr>
          <w:rFonts w:ascii="Arial" w:hAnsi="Arial" w:cs="Arial"/>
        </w:rPr>
        <w:t>edn</w:t>
      </w:r>
      <w:proofErr w:type="spellEnd"/>
      <w:r w:rsidRPr="003976CC">
        <w:rPr>
          <w:rFonts w:ascii="Arial" w:hAnsi="Arial" w:cs="Arial"/>
        </w:rPr>
        <w:t>. Harlow: Pearson.</w:t>
      </w:r>
    </w:p>
    <w:p w14:paraId="79BCAEA5" w14:textId="77777777" w:rsidR="003976CC" w:rsidRPr="003976CC" w:rsidRDefault="003976CC" w:rsidP="003976CC">
      <w:pPr>
        <w:jc w:val="both"/>
        <w:rPr>
          <w:rFonts w:ascii="Arial" w:hAnsi="Arial" w:cs="Arial"/>
        </w:rPr>
      </w:pPr>
      <w:r w:rsidRPr="003976CC">
        <w:rPr>
          <w:rFonts w:ascii="Arial" w:hAnsi="Arial" w:cs="Arial"/>
        </w:rPr>
        <w:t xml:space="preserve">Davenport, T.H. and </w:t>
      </w:r>
      <w:proofErr w:type="spellStart"/>
      <w:r w:rsidRPr="003976CC">
        <w:rPr>
          <w:rFonts w:ascii="Arial" w:hAnsi="Arial" w:cs="Arial"/>
        </w:rPr>
        <w:t>Ronanki</w:t>
      </w:r>
      <w:proofErr w:type="spellEnd"/>
      <w:r w:rsidRPr="003976CC">
        <w:rPr>
          <w:rFonts w:ascii="Arial" w:hAnsi="Arial" w:cs="Arial"/>
        </w:rPr>
        <w:t xml:space="preserve">, R. (2018) ‘Artificial Intelligence for the Real World’, </w:t>
      </w:r>
      <w:r w:rsidRPr="003976CC">
        <w:rPr>
          <w:rFonts w:ascii="Arial" w:hAnsi="Arial" w:cs="Arial"/>
          <w:i/>
          <w:iCs/>
        </w:rPr>
        <w:t>Harvard Business Review</w:t>
      </w:r>
      <w:r w:rsidRPr="003976CC">
        <w:rPr>
          <w:rFonts w:ascii="Arial" w:hAnsi="Arial" w:cs="Arial"/>
        </w:rPr>
        <w:t>, 96(1), pp. 108–116.</w:t>
      </w:r>
    </w:p>
    <w:p w14:paraId="5684E773" w14:textId="77777777" w:rsidR="003976CC" w:rsidRPr="003976CC" w:rsidRDefault="003976CC" w:rsidP="003976CC">
      <w:pPr>
        <w:jc w:val="both"/>
        <w:rPr>
          <w:rFonts w:ascii="Arial" w:hAnsi="Arial" w:cs="Arial"/>
        </w:rPr>
      </w:pPr>
      <w:r w:rsidRPr="003976CC">
        <w:rPr>
          <w:rFonts w:ascii="Arial" w:hAnsi="Arial" w:cs="Arial"/>
        </w:rPr>
        <w:t xml:space="preserve">European Commission (2023) </w:t>
      </w:r>
      <w:r w:rsidRPr="003976CC">
        <w:rPr>
          <w:rFonts w:ascii="Arial" w:hAnsi="Arial" w:cs="Arial"/>
          <w:i/>
          <w:iCs/>
        </w:rPr>
        <w:t>Corporate Sustainability Reporting Directive (CSRD): Overview</w:t>
      </w:r>
      <w:r w:rsidRPr="003976CC">
        <w:rPr>
          <w:rFonts w:ascii="Arial" w:hAnsi="Arial" w:cs="Arial"/>
        </w:rPr>
        <w:t xml:space="preserve">. Available at: </w:t>
      </w:r>
      <w:hyperlink r:id="rId13" w:tgtFrame="_new" w:history="1">
        <w:r w:rsidRPr="003976CC">
          <w:rPr>
            <w:rStyle w:val="Hyperlink"/>
            <w:rFonts w:ascii="Arial" w:hAnsi="Arial" w:cs="Arial"/>
          </w:rPr>
          <w:t>https://ec.europa.eu</w:t>
        </w:r>
      </w:hyperlink>
      <w:r w:rsidRPr="003976CC">
        <w:rPr>
          <w:rFonts w:ascii="Arial" w:hAnsi="Arial" w:cs="Arial"/>
        </w:rPr>
        <w:t xml:space="preserve"> (Accessed: 25 November 2025).</w:t>
      </w:r>
    </w:p>
    <w:p w14:paraId="43B01C31" w14:textId="77777777" w:rsidR="003976CC" w:rsidRPr="003976CC" w:rsidRDefault="003976CC" w:rsidP="003976CC">
      <w:pPr>
        <w:jc w:val="both"/>
        <w:rPr>
          <w:rFonts w:ascii="Arial" w:hAnsi="Arial" w:cs="Arial"/>
        </w:rPr>
      </w:pPr>
      <w:r w:rsidRPr="003976CC">
        <w:rPr>
          <w:rFonts w:ascii="Arial" w:hAnsi="Arial" w:cs="Arial"/>
        </w:rPr>
        <w:t xml:space="preserve">European Commission (2023) </w:t>
      </w:r>
      <w:r w:rsidRPr="003976CC">
        <w:rPr>
          <w:rFonts w:ascii="Arial" w:hAnsi="Arial" w:cs="Arial"/>
          <w:i/>
          <w:iCs/>
        </w:rPr>
        <w:t>CSRD Framework Diagram</w:t>
      </w:r>
      <w:r w:rsidRPr="003976CC">
        <w:rPr>
          <w:rFonts w:ascii="Arial" w:hAnsi="Arial" w:cs="Arial"/>
        </w:rPr>
        <w:t xml:space="preserve">. Available at: </w:t>
      </w:r>
      <w:hyperlink r:id="rId14" w:tgtFrame="_new" w:history="1">
        <w:r w:rsidRPr="003976CC">
          <w:rPr>
            <w:rStyle w:val="Hyperlink"/>
            <w:rFonts w:ascii="Arial" w:hAnsi="Arial" w:cs="Arial"/>
          </w:rPr>
          <w:t>https://ec.europa.eu</w:t>
        </w:r>
      </w:hyperlink>
      <w:r w:rsidRPr="003976CC">
        <w:rPr>
          <w:rFonts w:ascii="Arial" w:hAnsi="Arial" w:cs="Arial"/>
        </w:rPr>
        <w:t xml:space="preserve"> (Accessed: 25 November 2025).</w:t>
      </w:r>
    </w:p>
    <w:p w14:paraId="56364F7A" w14:textId="77777777" w:rsidR="003976CC" w:rsidRPr="003976CC" w:rsidRDefault="003976CC" w:rsidP="003976CC">
      <w:pPr>
        <w:jc w:val="both"/>
        <w:rPr>
          <w:rFonts w:ascii="Arial" w:hAnsi="Arial" w:cs="Arial"/>
        </w:rPr>
      </w:pPr>
      <w:r w:rsidRPr="003976CC">
        <w:rPr>
          <w:rFonts w:ascii="Arial" w:hAnsi="Arial" w:cs="Arial"/>
        </w:rPr>
        <w:t xml:space="preserve">Financial Times (2024) </w:t>
      </w:r>
      <w:r w:rsidRPr="003976CC">
        <w:rPr>
          <w:rFonts w:ascii="Arial" w:hAnsi="Arial" w:cs="Arial"/>
          <w:i/>
          <w:iCs/>
        </w:rPr>
        <w:t>Red Sea shipping disruptions and global supply chain impacts</w:t>
      </w:r>
      <w:r w:rsidRPr="003976CC">
        <w:rPr>
          <w:rFonts w:ascii="Arial" w:hAnsi="Arial" w:cs="Arial"/>
        </w:rPr>
        <w:t>. Available at: https://www.ft.com (Accessed: 25 November 2025).</w:t>
      </w:r>
    </w:p>
    <w:p w14:paraId="7C93E6B0" w14:textId="77777777" w:rsidR="003976CC" w:rsidRPr="003976CC" w:rsidRDefault="003976CC" w:rsidP="003976CC">
      <w:pPr>
        <w:jc w:val="both"/>
        <w:rPr>
          <w:rFonts w:ascii="Arial" w:hAnsi="Arial" w:cs="Arial"/>
        </w:rPr>
      </w:pPr>
      <w:r w:rsidRPr="003976CC">
        <w:rPr>
          <w:rFonts w:ascii="Arial" w:hAnsi="Arial" w:cs="Arial"/>
        </w:rPr>
        <w:t xml:space="preserve">Financial Times (2024) </w:t>
      </w:r>
      <w:r w:rsidRPr="003976CC">
        <w:rPr>
          <w:rFonts w:ascii="Arial" w:hAnsi="Arial" w:cs="Arial"/>
          <w:i/>
          <w:iCs/>
        </w:rPr>
        <w:t>Red Sea Disruption Map</w:t>
      </w:r>
      <w:r w:rsidRPr="003976CC">
        <w:rPr>
          <w:rFonts w:ascii="Arial" w:hAnsi="Arial" w:cs="Arial"/>
        </w:rPr>
        <w:t>. Available at: https://www.ft.com (Accessed: 25 November 2025).</w:t>
      </w:r>
    </w:p>
    <w:p w14:paraId="5105F94E" w14:textId="77777777" w:rsidR="003976CC" w:rsidRPr="003976CC" w:rsidRDefault="003976CC" w:rsidP="003976CC">
      <w:pPr>
        <w:jc w:val="both"/>
        <w:rPr>
          <w:rFonts w:ascii="Arial" w:hAnsi="Arial" w:cs="Arial"/>
        </w:rPr>
      </w:pPr>
      <w:r w:rsidRPr="003976CC">
        <w:rPr>
          <w:rFonts w:ascii="Arial" w:hAnsi="Arial" w:cs="Arial"/>
        </w:rPr>
        <w:t xml:space="preserve">Gereffi, G. (2020) ‘What does the COVID-19 pandemic teach us about global value chains? The case of medical supplies’, </w:t>
      </w:r>
      <w:r w:rsidRPr="003976CC">
        <w:rPr>
          <w:rFonts w:ascii="Arial" w:hAnsi="Arial" w:cs="Arial"/>
          <w:i/>
          <w:iCs/>
        </w:rPr>
        <w:t>Journal of International Business Policy</w:t>
      </w:r>
      <w:r w:rsidRPr="003976CC">
        <w:rPr>
          <w:rFonts w:ascii="Arial" w:hAnsi="Arial" w:cs="Arial"/>
        </w:rPr>
        <w:t>, 3(3), pp. 287–301.</w:t>
      </w:r>
    </w:p>
    <w:p w14:paraId="6D39F97A" w14:textId="77777777" w:rsidR="003976CC" w:rsidRPr="003976CC" w:rsidRDefault="003976CC" w:rsidP="003976CC">
      <w:pPr>
        <w:jc w:val="both"/>
        <w:rPr>
          <w:rFonts w:ascii="Arial" w:hAnsi="Arial" w:cs="Arial"/>
        </w:rPr>
      </w:pPr>
      <w:r w:rsidRPr="003976CC">
        <w:rPr>
          <w:rFonts w:ascii="Arial" w:hAnsi="Arial" w:cs="Arial"/>
        </w:rPr>
        <w:t xml:space="preserve">Johnson, G., Whittington, R., </w:t>
      </w:r>
      <w:proofErr w:type="spellStart"/>
      <w:r w:rsidRPr="003976CC">
        <w:rPr>
          <w:rFonts w:ascii="Arial" w:hAnsi="Arial" w:cs="Arial"/>
        </w:rPr>
        <w:t>Regnér</w:t>
      </w:r>
      <w:proofErr w:type="spellEnd"/>
      <w:r w:rsidRPr="003976CC">
        <w:rPr>
          <w:rFonts w:ascii="Arial" w:hAnsi="Arial" w:cs="Arial"/>
        </w:rPr>
        <w:t xml:space="preserve">, P., Scholes, K. and Angwin, D. (2020) </w:t>
      </w:r>
      <w:r w:rsidRPr="003976CC">
        <w:rPr>
          <w:rFonts w:ascii="Arial" w:hAnsi="Arial" w:cs="Arial"/>
          <w:i/>
          <w:iCs/>
        </w:rPr>
        <w:t>Exploring Strategy: Text and Cases</w:t>
      </w:r>
      <w:r w:rsidRPr="003976CC">
        <w:rPr>
          <w:rFonts w:ascii="Arial" w:hAnsi="Arial" w:cs="Arial"/>
        </w:rPr>
        <w:t xml:space="preserve">. 12th </w:t>
      </w:r>
      <w:proofErr w:type="spellStart"/>
      <w:r w:rsidRPr="003976CC">
        <w:rPr>
          <w:rFonts w:ascii="Arial" w:hAnsi="Arial" w:cs="Arial"/>
        </w:rPr>
        <w:t>edn</w:t>
      </w:r>
      <w:proofErr w:type="spellEnd"/>
      <w:r w:rsidRPr="003976CC">
        <w:rPr>
          <w:rFonts w:ascii="Arial" w:hAnsi="Arial" w:cs="Arial"/>
        </w:rPr>
        <w:t>. Harlow: Pearson.</w:t>
      </w:r>
    </w:p>
    <w:p w14:paraId="6424BCD9" w14:textId="77777777" w:rsidR="003976CC" w:rsidRPr="003976CC" w:rsidRDefault="003976CC" w:rsidP="003976CC">
      <w:pPr>
        <w:jc w:val="both"/>
        <w:rPr>
          <w:rFonts w:ascii="Arial" w:hAnsi="Arial" w:cs="Arial"/>
        </w:rPr>
      </w:pPr>
      <w:r w:rsidRPr="003976CC">
        <w:rPr>
          <w:rFonts w:ascii="Arial" w:hAnsi="Arial" w:cs="Arial"/>
        </w:rPr>
        <w:t xml:space="preserve">KPMG (2024) </w:t>
      </w:r>
      <w:r w:rsidRPr="003976CC">
        <w:rPr>
          <w:rFonts w:ascii="Arial" w:hAnsi="Arial" w:cs="Arial"/>
          <w:i/>
          <w:iCs/>
        </w:rPr>
        <w:t>CSRD Readiness Report: Preparing Organisations for Enhanced Sustainability Reporting</w:t>
      </w:r>
      <w:r w:rsidRPr="003976CC">
        <w:rPr>
          <w:rFonts w:ascii="Arial" w:hAnsi="Arial" w:cs="Arial"/>
        </w:rPr>
        <w:t>. Available at: https://www.kpmg.com (Accessed: 25 November 2025).</w:t>
      </w:r>
    </w:p>
    <w:p w14:paraId="706DB0AA" w14:textId="77777777" w:rsidR="003976CC" w:rsidRPr="003976CC" w:rsidRDefault="003976CC" w:rsidP="003976CC">
      <w:pPr>
        <w:jc w:val="both"/>
        <w:rPr>
          <w:rFonts w:ascii="Arial" w:hAnsi="Arial" w:cs="Arial"/>
        </w:rPr>
      </w:pPr>
      <w:r w:rsidRPr="003976CC">
        <w:rPr>
          <w:rFonts w:ascii="Arial" w:hAnsi="Arial" w:cs="Arial"/>
        </w:rPr>
        <w:t xml:space="preserve">McKinsey &amp; Company (2023) </w:t>
      </w:r>
      <w:r w:rsidRPr="003976CC">
        <w:rPr>
          <w:rFonts w:ascii="Arial" w:hAnsi="Arial" w:cs="Arial"/>
          <w:i/>
          <w:iCs/>
        </w:rPr>
        <w:t>The State of AI in 2023</w:t>
      </w:r>
      <w:r w:rsidRPr="003976CC">
        <w:rPr>
          <w:rFonts w:ascii="Arial" w:hAnsi="Arial" w:cs="Arial"/>
        </w:rPr>
        <w:t xml:space="preserve">. Available at: </w:t>
      </w:r>
      <w:hyperlink r:id="rId15" w:tgtFrame="_new" w:history="1">
        <w:r w:rsidRPr="003976CC">
          <w:rPr>
            <w:rStyle w:val="Hyperlink"/>
            <w:rFonts w:ascii="Arial" w:hAnsi="Arial" w:cs="Arial"/>
          </w:rPr>
          <w:t>https://www.mckinsey.com</w:t>
        </w:r>
      </w:hyperlink>
      <w:r w:rsidRPr="003976CC">
        <w:rPr>
          <w:rFonts w:ascii="Arial" w:hAnsi="Arial" w:cs="Arial"/>
        </w:rPr>
        <w:t xml:space="preserve"> (Accessed: 25 November 2025).</w:t>
      </w:r>
    </w:p>
    <w:p w14:paraId="3B1F4FD0" w14:textId="77777777" w:rsidR="003976CC" w:rsidRPr="003976CC" w:rsidRDefault="003976CC" w:rsidP="003976CC">
      <w:pPr>
        <w:jc w:val="both"/>
        <w:rPr>
          <w:rFonts w:ascii="Arial" w:hAnsi="Arial" w:cs="Arial"/>
        </w:rPr>
      </w:pPr>
      <w:r w:rsidRPr="003976CC">
        <w:rPr>
          <w:rFonts w:ascii="Arial" w:hAnsi="Arial" w:cs="Arial"/>
        </w:rPr>
        <w:t xml:space="preserve">McKinsey &amp; Company (2023) </w:t>
      </w:r>
      <w:r w:rsidRPr="003976CC">
        <w:rPr>
          <w:rFonts w:ascii="Arial" w:hAnsi="Arial" w:cs="Arial"/>
          <w:i/>
          <w:iCs/>
        </w:rPr>
        <w:t>AI in Supply Chain Management – Infographic</w:t>
      </w:r>
      <w:r w:rsidRPr="003976CC">
        <w:rPr>
          <w:rFonts w:ascii="Arial" w:hAnsi="Arial" w:cs="Arial"/>
        </w:rPr>
        <w:t xml:space="preserve">. Available at: </w:t>
      </w:r>
      <w:hyperlink r:id="rId16" w:tgtFrame="_new" w:history="1">
        <w:r w:rsidRPr="003976CC">
          <w:rPr>
            <w:rStyle w:val="Hyperlink"/>
            <w:rFonts w:ascii="Arial" w:hAnsi="Arial" w:cs="Arial"/>
          </w:rPr>
          <w:t>https://www.mckinsey.com</w:t>
        </w:r>
      </w:hyperlink>
      <w:r w:rsidRPr="003976CC">
        <w:rPr>
          <w:rFonts w:ascii="Arial" w:hAnsi="Arial" w:cs="Arial"/>
        </w:rPr>
        <w:t xml:space="preserve"> (Accessed: 25 November 2025).</w:t>
      </w:r>
    </w:p>
    <w:p w14:paraId="3B45A153" w14:textId="77777777" w:rsidR="003976CC" w:rsidRPr="003976CC" w:rsidRDefault="003976CC" w:rsidP="003976CC">
      <w:pPr>
        <w:jc w:val="both"/>
        <w:rPr>
          <w:rFonts w:ascii="Arial" w:hAnsi="Arial" w:cs="Arial"/>
        </w:rPr>
      </w:pPr>
      <w:r w:rsidRPr="003976CC">
        <w:rPr>
          <w:rFonts w:ascii="Arial" w:hAnsi="Arial" w:cs="Arial"/>
        </w:rPr>
        <w:t xml:space="preserve">OECD (2023) </w:t>
      </w:r>
      <w:r w:rsidRPr="003976CC">
        <w:rPr>
          <w:rFonts w:ascii="Arial" w:hAnsi="Arial" w:cs="Arial"/>
          <w:i/>
          <w:iCs/>
        </w:rPr>
        <w:t>Geopolitical risks and global trade: Implications for supply chain resilience</w:t>
      </w:r>
      <w:r w:rsidRPr="003976CC">
        <w:rPr>
          <w:rFonts w:ascii="Arial" w:hAnsi="Arial" w:cs="Arial"/>
        </w:rPr>
        <w:t xml:space="preserve">. Paris: OECD Publishing. Available at: </w:t>
      </w:r>
      <w:hyperlink r:id="rId17" w:tgtFrame="_new" w:history="1">
        <w:r w:rsidRPr="003976CC">
          <w:rPr>
            <w:rStyle w:val="Hyperlink"/>
            <w:rFonts w:ascii="Arial" w:hAnsi="Arial" w:cs="Arial"/>
          </w:rPr>
          <w:t>https://www.oecd.org</w:t>
        </w:r>
      </w:hyperlink>
      <w:r w:rsidRPr="003976CC">
        <w:rPr>
          <w:rFonts w:ascii="Arial" w:hAnsi="Arial" w:cs="Arial"/>
        </w:rPr>
        <w:t xml:space="preserve"> (Accessed: 25 November 2025).</w:t>
      </w:r>
    </w:p>
    <w:p w14:paraId="794AC0EB" w14:textId="77777777" w:rsidR="003976CC" w:rsidRPr="003976CC" w:rsidRDefault="003976CC" w:rsidP="003976CC">
      <w:pPr>
        <w:jc w:val="both"/>
        <w:rPr>
          <w:rFonts w:ascii="Arial" w:hAnsi="Arial" w:cs="Arial"/>
        </w:rPr>
      </w:pPr>
      <w:r w:rsidRPr="003976CC">
        <w:rPr>
          <w:rFonts w:ascii="Arial" w:hAnsi="Arial" w:cs="Arial"/>
        </w:rPr>
        <w:t xml:space="preserve">Unilever (2024) </w:t>
      </w:r>
      <w:r w:rsidRPr="003976CC">
        <w:rPr>
          <w:rFonts w:ascii="Arial" w:hAnsi="Arial" w:cs="Arial"/>
          <w:i/>
          <w:iCs/>
        </w:rPr>
        <w:t>Corporate Headquarters and Global Operations Map</w:t>
      </w:r>
      <w:r w:rsidRPr="003976CC">
        <w:rPr>
          <w:rFonts w:ascii="Arial" w:hAnsi="Arial" w:cs="Arial"/>
        </w:rPr>
        <w:t xml:space="preserve">. Available at: </w:t>
      </w:r>
      <w:hyperlink r:id="rId18" w:tgtFrame="_new" w:history="1">
        <w:r w:rsidRPr="003976CC">
          <w:rPr>
            <w:rStyle w:val="Hyperlink"/>
            <w:rFonts w:ascii="Arial" w:hAnsi="Arial" w:cs="Arial"/>
          </w:rPr>
          <w:t>https://www.unilever.com</w:t>
        </w:r>
      </w:hyperlink>
      <w:r w:rsidRPr="003976CC">
        <w:rPr>
          <w:rFonts w:ascii="Arial" w:hAnsi="Arial" w:cs="Arial"/>
        </w:rPr>
        <w:t xml:space="preserve"> (Accessed: 25 November 2025).</w:t>
      </w:r>
    </w:p>
    <w:p w14:paraId="43D7FA6C" w14:textId="77777777" w:rsidR="003976CC" w:rsidRPr="003976CC" w:rsidRDefault="003976CC" w:rsidP="003976CC">
      <w:pPr>
        <w:jc w:val="both"/>
        <w:rPr>
          <w:rFonts w:ascii="Arial" w:hAnsi="Arial" w:cs="Arial"/>
        </w:rPr>
      </w:pPr>
      <w:r w:rsidRPr="003976CC">
        <w:rPr>
          <w:rFonts w:ascii="Arial" w:hAnsi="Arial" w:cs="Arial"/>
        </w:rPr>
        <w:t xml:space="preserve">Unilever (2024) </w:t>
      </w:r>
      <w:r w:rsidRPr="003976CC">
        <w:rPr>
          <w:rFonts w:ascii="Arial" w:hAnsi="Arial" w:cs="Arial"/>
          <w:i/>
          <w:iCs/>
        </w:rPr>
        <w:t>Unilever Global Operations and Sustainability Overview</w:t>
      </w:r>
      <w:r w:rsidRPr="003976CC">
        <w:rPr>
          <w:rFonts w:ascii="Arial" w:hAnsi="Arial" w:cs="Arial"/>
        </w:rPr>
        <w:t xml:space="preserve">. Available at: </w:t>
      </w:r>
      <w:hyperlink r:id="rId19" w:tgtFrame="_new" w:history="1">
        <w:r w:rsidRPr="003976CC">
          <w:rPr>
            <w:rStyle w:val="Hyperlink"/>
            <w:rFonts w:ascii="Arial" w:hAnsi="Arial" w:cs="Arial"/>
          </w:rPr>
          <w:t>https://www.unilever.com</w:t>
        </w:r>
      </w:hyperlink>
      <w:r w:rsidRPr="003976CC">
        <w:rPr>
          <w:rFonts w:ascii="Arial" w:hAnsi="Arial" w:cs="Arial"/>
        </w:rPr>
        <w:t xml:space="preserve"> (Accessed: 25 November 2025).</w:t>
      </w:r>
    </w:p>
    <w:p w14:paraId="7602B697" w14:textId="77777777" w:rsidR="003976CC" w:rsidRPr="003976CC" w:rsidRDefault="003976CC" w:rsidP="003976CC">
      <w:pPr>
        <w:jc w:val="both"/>
        <w:rPr>
          <w:rFonts w:ascii="Arial" w:hAnsi="Arial" w:cs="Arial"/>
        </w:rPr>
      </w:pPr>
    </w:p>
    <w:sectPr w:rsidR="003976CC" w:rsidRPr="003976CC" w:rsidSect="0015622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69B9D" w14:textId="77777777" w:rsidR="000507C2" w:rsidRDefault="000507C2" w:rsidP="005C0885">
      <w:pPr>
        <w:spacing w:after="0" w:line="240" w:lineRule="auto"/>
      </w:pPr>
      <w:r>
        <w:separator/>
      </w:r>
    </w:p>
  </w:endnote>
  <w:endnote w:type="continuationSeparator" w:id="0">
    <w:p w14:paraId="64BD7375" w14:textId="77777777" w:rsidR="000507C2" w:rsidRDefault="000507C2" w:rsidP="005C0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5864676"/>
      <w:docPartObj>
        <w:docPartGallery w:val="Page Numbers (Bottom of Page)"/>
        <w:docPartUnique/>
      </w:docPartObj>
    </w:sdtPr>
    <w:sdtContent>
      <w:p w14:paraId="37A774AD" w14:textId="31D0D422" w:rsidR="005C0885" w:rsidRDefault="005C0885" w:rsidP="005C0885">
        <w:pPr>
          <w:pStyle w:val="Footer"/>
          <w:jc w:val="center"/>
        </w:pP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C96CC" w14:textId="77777777" w:rsidR="000507C2" w:rsidRDefault="000507C2" w:rsidP="005C0885">
      <w:pPr>
        <w:spacing w:after="0" w:line="240" w:lineRule="auto"/>
      </w:pPr>
      <w:r>
        <w:separator/>
      </w:r>
    </w:p>
  </w:footnote>
  <w:footnote w:type="continuationSeparator" w:id="0">
    <w:p w14:paraId="35BEE728" w14:textId="77777777" w:rsidR="000507C2" w:rsidRDefault="000507C2" w:rsidP="005C08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885"/>
    <w:rsid w:val="000507C2"/>
    <w:rsid w:val="00156227"/>
    <w:rsid w:val="003976CC"/>
    <w:rsid w:val="0040320E"/>
    <w:rsid w:val="004B26F6"/>
    <w:rsid w:val="004B6F25"/>
    <w:rsid w:val="005C0885"/>
    <w:rsid w:val="00627720"/>
    <w:rsid w:val="00AD1E22"/>
    <w:rsid w:val="00EC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992FE"/>
  <w15:chartTrackingRefBased/>
  <w15:docId w15:val="{C26845B3-349C-4155-9186-E9D7D9EF2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0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0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0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0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0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0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0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0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0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0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0885"/>
    <w:rPr>
      <w:rFonts w:eastAsiaTheme="majorEastAsia" w:cstheme="majorBidi"/>
      <w:color w:val="272727" w:themeColor="text1" w:themeTint="D8"/>
    </w:rPr>
  </w:style>
  <w:style w:type="paragraph" w:styleId="Title">
    <w:name w:val="Title"/>
    <w:basedOn w:val="Normal"/>
    <w:next w:val="Normal"/>
    <w:link w:val="TitleChar"/>
    <w:uiPriority w:val="10"/>
    <w:qFormat/>
    <w:rsid w:val="005C0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0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0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885"/>
    <w:pPr>
      <w:spacing w:before="160"/>
      <w:jc w:val="center"/>
    </w:pPr>
    <w:rPr>
      <w:i/>
      <w:iCs/>
      <w:color w:val="404040" w:themeColor="text1" w:themeTint="BF"/>
    </w:rPr>
  </w:style>
  <w:style w:type="character" w:customStyle="1" w:styleId="QuoteChar">
    <w:name w:val="Quote Char"/>
    <w:basedOn w:val="DefaultParagraphFont"/>
    <w:link w:val="Quote"/>
    <w:uiPriority w:val="29"/>
    <w:rsid w:val="005C0885"/>
    <w:rPr>
      <w:i/>
      <w:iCs/>
      <w:color w:val="404040" w:themeColor="text1" w:themeTint="BF"/>
    </w:rPr>
  </w:style>
  <w:style w:type="paragraph" w:styleId="ListParagraph">
    <w:name w:val="List Paragraph"/>
    <w:basedOn w:val="Normal"/>
    <w:uiPriority w:val="34"/>
    <w:qFormat/>
    <w:rsid w:val="005C0885"/>
    <w:pPr>
      <w:ind w:left="720"/>
      <w:contextualSpacing/>
    </w:pPr>
  </w:style>
  <w:style w:type="character" w:styleId="IntenseEmphasis">
    <w:name w:val="Intense Emphasis"/>
    <w:basedOn w:val="DefaultParagraphFont"/>
    <w:uiPriority w:val="21"/>
    <w:qFormat/>
    <w:rsid w:val="005C0885"/>
    <w:rPr>
      <w:i/>
      <w:iCs/>
      <w:color w:val="0F4761" w:themeColor="accent1" w:themeShade="BF"/>
    </w:rPr>
  </w:style>
  <w:style w:type="paragraph" w:styleId="IntenseQuote">
    <w:name w:val="Intense Quote"/>
    <w:basedOn w:val="Normal"/>
    <w:next w:val="Normal"/>
    <w:link w:val="IntenseQuoteChar"/>
    <w:uiPriority w:val="30"/>
    <w:qFormat/>
    <w:rsid w:val="005C0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0885"/>
    <w:rPr>
      <w:i/>
      <w:iCs/>
      <w:color w:val="0F4761" w:themeColor="accent1" w:themeShade="BF"/>
    </w:rPr>
  </w:style>
  <w:style w:type="character" w:styleId="IntenseReference">
    <w:name w:val="Intense Reference"/>
    <w:basedOn w:val="DefaultParagraphFont"/>
    <w:uiPriority w:val="32"/>
    <w:qFormat/>
    <w:rsid w:val="005C0885"/>
    <w:rPr>
      <w:b/>
      <w:bCs/>
      <w:smallCaps/>
      <w:color w:val="0F4761" w:themeColor="accent1" w:themeShade="BF"/>
      <w:spacing w:val="5"/>
    </w:rPr>
  </w:style>
  <w:style w:type="paragraph" w:styleId="TOCHeading">
    <w:name w:val="TOC Heading"/>
    <w:basedOn w:val="Heading1"/>
    <w:next w:val="Normal"/>
    <w:uiPriority w:val="39"/>
    <w:unhideWhenUsed/>
    <w:qFormat/>
    <w:rsid w:val="005C0885"/>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5C0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885"/>
  </w:style>
  <w:style w:type="paragraph" w:styleId="Footer">
    <w:name w:val="footer"/>
    <w:basedOn w:val="Normal"/>
    <w:link w:val="FooterChar"/>
    <w:uiPriority w:val="99"/>
    <w:unhideWhenUsed/>
    <w:rsid w:val="005C0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885"/>
  </w:style>
  <w:style w:type="paragraph" w:styleId="TOC1">
    <w:name w:val="toc 1"/>
    <w:basedOn w:val="Normal"/>
    <w:next w:val="Normal"/>
    <w:autoRedefine/>
    <w:uiPriority w:val="39"/>
    <w:unhideWhenUsed/>
    <w:rsid w:val="00156227"/>
    <w:pPr>
      <w:spacing w:after="100"/>
    </w:pPr>
  </w:style>
  <w:style w:type="character" w:styleId="Hyperlink">
    <w:name w:val="Hyperlink"/>
    <w:basedOn w:val="DefaultParagraphFont"/>
    <w:uiPriority w:val="99"/>
    <w:unhideWhenUsed/>
    <w:rsid w:val="00156227"/>
    <w:rPr>
      <w:color w:val="467886" w:themeColor="hyperlink"/>
      <w:u w:val="single"/>
    </w:rPr>
  </w:style>
  <w:style w:type="paragraph" w:styleId="NoSpacing">
    <w:name w:val="No Spacing"/>
    <w:link w:val="NoSpacingChar"/>
    <w:uiPriority w:val="1"/>
    <w:qFormat/>
    <w:rsid w:val="0015622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56227"/>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3976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europa.eu" TargetMode="External"/><Relationship Id="rId18" Type="http://schemas.openxmlformats.org/officeDocument/2006/relationships/hyperlink" Target="https://www.unilever.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mckinsey.com" TargetMode="External"/><Relationship Id="rId17" Type="http://schemas.openxmlformats.org/officeDocument/2006/relationships/hyperlink" Target="https://www.oecd.org" TargetMode="External"/><Relationship Id="rId2" Type="http://schemas.openxmlformats.org/officeDocument/2006/relationships/styles" Target="styles.xml"/><Relationship Id="rId16" Type="http://schemas.openxmlformats.org/officeDocument/2006/relationships/hyperlink" Target="https://www.mckinsey.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mckinsey.com"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unilever.com"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ec.europa.eu"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123B7348DC4A11892D0DAD06B54D7F"/>
        <w:category>
          <w:name w:val="General"/>
          <w:gallery w:val="placeholder"/>
        </w:category>
        <w:types>
          <w:type w:val="bbPlcHdr"/>
        </w:types>
        <w:behaviors>
          <w:behavior w:val="content"/>
        </w:behaviors>
        <w:guid w:val="{29AA2375-1F23-47CE-A7ED-9607B8FB23A0}"/>
      </w:docPartPr>
      <w:docPartBody>
        <w:p w:rsidR="00000000" w:rsidRDefault="00356867" w:rsidP="00356867">
          <w:pPr>
            <w:pStyle w:val="9E123B7348DC4A11892D0DAD06B54D7F"/>
          </w:pPr>
          <w:r>
            <w:rPr>
              <w:rFonts w:asciiTheme="majorHAnsi" w:eastAsiaTheme="majorEastAsia" w:hAnsiTheme="majorHAnsi" w:cstheme="majorBidi"/>
              <w:caps/>
              <w:color w:val="156082" w:themeColor="accent1"/>
              <w:sz w:val="80"/>
              <w:szCs w:val="80"/>
            </w:rPr>
            <w:t>[Document title]</w:t>
          </w:r>
        </w:p>
      </w:docPartBody>
    </w:docPart>
    <w:docPart>
      <w:docPartPr>
        <w:name w:val="F38D140DD1F14D8D89FB7D82D25F6A4E"/>
        <w:category>
          <w:name w:val="General"/>
          <w:gallery w:val="placeholder"/>
        </w:category>
        <w:types>
          <w:type w:val="bbPlcHdr"/>
        </w:types>
        <w:behaviors>
          <w:behavior w:val="content"/>
        </w:behaviors>
        <w:guid w:val="{D2AD85D1-18DA-4736-A695-25FE7B562C45}"/>
      </w:docPartPr>
      <w:docPartBody>
        <w:p w:rsidR="00000000" w:rsidRDefault="00356867" w:rsidP="00356867">
          <w:pPr>
            <w:pStyle w:val="F38D140DD1F14D8D89FB7D82D25F6A4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67"/>
    <w:rsid w:val="00356867"/>
    <w:rsid w:val="0040320E"/>
    <w:rsid w:val="00B41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23B7348DC4A11892D0DAD06B54D7F">
    <w:name w:val="9E123B7348DC4A11892D0DAD06B54D7F"/>
    <w:rsid w:val="00356867"/>
  </w:style>
  <w:style w:type="paragraph" w:customStyle="1" w:styleId="F38D140DD1F14D8D89FB7D82D25F6A4E">
    <w:name w:val="F38D140DD1F14D8D89FB7D82D25F6A4E"/>
    <w:rsid w:val="003568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VALYA BORISOVA 2430598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BA (Hons) Business Management/ Global Business Environment LCBB4016 / VALYA BORISOVA 2430598</dc:subject>
  <dc:creator>Admass9@outlook.com</dc:creator>
  <cp:keywords/>
  <dc:description/>
  <cp:lastModifiedBy>Admass9@outlook.com</cp:lastModifiedBy>
  <cp:revision>1</cp:revision>
  <dcterms:created xsi:type="dcterms:W3CDTF">2025-12-12T14:28:00Z</dcterms:created>
  <dcterms:modified xsi:type="dcterms:W3CDTF">2025-12-12T15:00:00Z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3e141fcd-11e4-48dd-b0b9-e25dcbda78a8</vt:lpwstr>
  </property>
</Properties>
</file>