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DDAC9B" w14:textId="4B9E9D0F" w:rsidR="00690EB9" w:rsidRPr="007C4244" w:rsidRDefault="008F1BF6" w:rsidP="001758F7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 xml:space="preserve">BSc Health and Social Care </w:t>
      </w:r>
    </w:p>
    <w:p w14:paraId="2DC30761" w14:textId="77777777" w:rsidR="00483F03" w:rsidRPr="007C4244" w:rsidRDefault="00690EB9" w:rsidP="00690EB9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>BMHP6029 – Psychopathological Classifications and Provisions</w:t>
      </w:r>
    </w:p>
    <w:p w14:paraId="745CA548" w14:textId="77777777" w:rsidR="0067247F" w:rsidRPr="007C4244" w:rsidRDefault="0067247F" w:rsidP="00690EB9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 xml:space="preserve">Name: </w:t>
      </w:r>
      <w:r w:rsidR="00483F03" w:rsidRPr="007C4244">
        <w:rPr>
          <w:rFonts w:ascii="Arial" w:hAnsi="Arial" w:cs="Arial"/>
          <w:b/>
          <w:bCs/>
          <w:sz w:val="28"/>
          <w:szCs w:val="28"/>
        </w:rPr>
        <w:t>Misba Mahmood</w:t>
      </w:r>
    </w:p>
    <w:p w14:paraId="6729FF78" w14:textId="77777777" w:rsidR="0067247F" w:rsidRPr="007C4244" w:rsidRDefault="0067247F" w:rsidP="00690EB9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>Student ID: 2413669</w:t>
      </w:r>
    </w:p>
    <w:p w14:paraId="0C2F8C30" w14:textId="77777777" w:rsidR="005D2439" w:rsidRPr="007C4244" w:rsidRDefault="0067247F" w:rsidP="00690EB9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 xml:space="preserve">Lecturer: Neale </w:t>
      </w:r>
      <w:r w:rsidR="005428D5" w:rsidRPr="007C4244">
        <w:rPr>
          <w:rFonts w:ascii="Arial" w:hAnsi="Arial" w:cs="Arial"/>
          <w:b/>
          <w:bCs/>
          <w:sz w:val="28"/>
          <w:szCs w:val="28"/>
        </w:rPr>
        <w:t>Haddon</w:t>
      </w:r>
    </w:p>
    <w:p w14:paraId="367B0EED" w14:textId="170B5548" w:rsidR="00483F03" w:rsidRPr="007C4244" w:rsidRDefault="006434AD" w:rsidP="00690EB9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>Assignment Title: Individual Presentation (</w:t>
      </w:r>
      <w:r w:rsidR="00FE7CAF" w:rsidRPr="007C4244">
        <w:rPr>
          <w:rFonts w:ascii="Arial" w:hAnsi="Arial" w:cs="Arial"/>
          <w:b/>
          <w:bCs/>
          <w:sz w:val="28"/>
          <w:szCs w:val="28"/>
        </w:rPr>
        <w:t>Academic Poster)</w:t>
      </w:r>
      <w:r w:rsidR="00483F03" w:rsidRPr="007C4244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47EE116F" w14:textId="42146F77" w:rsidR="00FE7CAF" w:rsidRPr="007C4244" w:rsidRDefault="00D47509" w:rsidP="00690EB9">
      <w:pPr>
        <w:rPr>
          <w:rFonts w:ascii="Arial" w:hAnsi="Arial" w:cs="Arial"/>
          <w:b/>
          <w:bCs/>
          <w:sz w:val="28"/>
          <w:szCs w:val="28"/>
        </w:rPr>
      </w:pPr>
      <w:r w:rsidRPr="007C4244">
        <w:rPr>
          <w:rFonts w:ascii="Arial" w:hAnsi="Arial" w:cs="Arial"/>
          <w:b/>
          <w:bCs/>
          <w:sz w:val="28"/>
          <w:szCs w:val="28"/>
        </w:rPr>
        <w:t>Submission Date: Monday 2</w:t>
      </w:r>
      <w:r w:rsidRPr="007C4244">
        <w:rPr>
          <w:rFonts w:ascii="Arial" w:hAnsi="Arial" w:cs="Arial"/>
          <w:b/>
          <w:bCs/>
          <w:sz w:val="28"/>
          <w:szCs w:val="28"/>
          <w:vertAlign w:val="superscript"/>
        </w:rPr>
        <w:t>nd</w:t>
      </w:r>
      <w:r w:rsidRPr="007C4244">
        <w:rPr>
          <w:rFonts w:ascii="Arial" w:hAnsi="Arial" w:cs="Arial"/>
          <w:b/>
          <w:bCs/>
          <w:sz w:val="28"/>
          <w:szCs w:val="28"/>
        </w:rPr>
        <w:t xml:space="preserve"> November 2026</w:t>
      </w:r>
    </w:p>
    <w:p w14:paraId="3A63C579" w14:textId="291DACF2" w:rsidR="00284517" w:rsidRPr="00483F03" w:rsidRDefault="00284517" w:rsidP="001758F7">
      <w:pPr>
        <w:rPr>
          <w:rFonts w:ascii="Arial" w:hAnsi="Arial" w:cs="Arial"/>
          <w:b/>
          <w:bCs/>
        </w:rPr>
      </w:pPr>
    </w:p>
    <w:p w14:paraId="09306E66" w14:textId="7DF0AE85" w:rsidR="00284517" w:rsidRDefault="00284517">
      <w:r>
        <w:br w:type="page"/>
      </w:r>
    </w:p>
    <w:p w14:paraId="76681732" w14:textId="3B166DEB" w:rsidR="00284517" w:rsidRPr="007C4244" w:rsidRDefault="00F673A5" w:rsidP="007C4244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5572D6C1" wp14:editId="458CB323">
                <wp:simplePos x="0" y="0"/>
                <wp:positionH relativeFrom="column">
                  <wp:posOffset>-448945</wp:posOffset>
                </wp:positionH>
                <wp:positionV relativeFrom="paragraph">
                  <wp:posOffset>262255</wp:posOffset>
                </wp:positionV>
                <wp:extent cx="4478655" cy="1404620"/>
                <wp:effectExtent l="0" t="0" r="17145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7865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AC7482" w14:textId="319C4992" w:rsidR="00F673A5" w:rsidRPr="00F673A5" w:rsidRDefault="00F673A5" w:rsidP="00F673A5">
                            <w:pPr>
                              <w:rPr>
                                <w:b/>
                                <w:bCs/>
                                <w:lang w:val="en-US"/>
                              </w:rPr>
                            </w:pPr>
                            <w:r w:rsidRPr="00F673A5">
                              <w:rPr>
                                <w:b/>
                                <w:bCs/>
                                <w:lang w:val="en-US"/>
                              </w:rPr>
                              <w:t>Topic: Obsessive-Compulsive Disorder (OCD)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5572D6C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35.35pt;margin-top:20.65pt;width:352.65pt;height:110.6pt;z-index:251660288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">
                <v:textbox style="mso-fit-shape-to-text:t">
                  <w:txbxContent>
                    <w:p w14:paraId="54AC7482" w14:textId="319C4992" w:rsidR="00F673A5" w:rsidRPr="00F673A5" w:rsidRDefault="00F673A5" w:rsidP="00F673A5">
                      <w:pPr>
                        <w:rPr>
                          <w:b/>
                          <w:bCs/>
                          <w:lang w:val="en-US"/>
                        </w:rPr>
                      </w:pPr>
                      <w:r w:rsidRPr="00F673A5">
                        <w:rPr>
                          <w:b/>
                          <w:bCs/>
                          <w:lang w:val="en-US"/>
                        </w:rPr>
                        <w:t>Topic: Obsessive-Compulsive Disorder (OCD)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151264D6" wp14:editId="58AF7478">
            <wp:simplePos x="0" y="0"/>
            <wp:positionH relativeFrom="margin">
              <wp:posOffset>-693420</wp:posOffset>
            </wp:positionH>
            <wp:positionV relativeFrom="margin">
              <wp:posOffset>1512147</wp:posOffset>
            </wp:positionV>
            <wp:extent cx="7067550" cy="5067300"/>
            <wp:effectExtent l="0" t="0" r="0" b="0"/>
            <wp:wrapSquare wrapText="bothSides"/>
            <wp:docPr id="1480916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0916347" name="Picture 1480916347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067550" cy="5067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926C9">
        <w:rPr>
          <w:b/>
          <w:bCs/>
        </w:rPr>
        <w:br w:type="page"/>
      </w:r>
      <w:r w:rsidR="00284517" w:rsidRPr="007C4244">
        <w:rPr>
          <w:rFonts w:ascii="Arial" w:hAnsi="Arial" w:cs="Arial"/>
          <w:b/>
          <w:bCs/>
          <w:sz w:val="22"/>
          <w:szCs w:val="22"/>
        </w:rPr>
        <w:lastRenderedPageBreak/>
        <w:t>Reference List</w:t>
      </w:r>
    </w:p>
    <w:p w14:paraId="124ED94B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>Abramowitz, J.S., Blakey, S.M., Reuman, L. and Buchholz, J.L. (2018) ‘New directions in the cognitive-</w:t>
      </w:r>
      <w:proofErr w:type="spellStart"/>
      <w:r w:rsidRPr="007C4244">
        <w:rPr>
          <w:rFonts w:ascii="Arial" w:hAnsi="Arial" w:cs="Arial"/>
          <w:sz w:val="22"/>
          <w:szCs w:val="22"/>
        </w:rPr>
        <w:t>behavioral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 treatment of OCD: theory, research, and practice’, </w:t>
      </w:r>
      <w:proofErr w:type="spellStart"/>
      <w:r w:rsidRPr="007C4244">
        <w:rPr>
          <w:rFonts w:ascii="Arial" w:hAnsi="Arial" w:cs="Arial"/>
          <w:i/>
          <w:iCs/>
          <w:sz w:val="22"/>
          <w:szCs w:val="22"/>
        </w:rPr>
        <w:t>Behavior</w:t>
      </w:r>
      <w:proofErr w:type="spellEnd"/>
      <w:r w:rsidRPr="007C4244">
        <w:rPr>
          <w:rFonts w:ascii="Arial" w:hAnsi="Arial" w:cs="Arial"/>
          <w:i/>
          <w:iCs/>
          <w:sz w:val="22"/>
          <w:szCs w:val="22"/>
        </w:rPr>
        <w:t xml:space="preserve"> Therapy</w:t>
      </w:r>
      <w:r w:rsidRPr="007C4244">
        <w:rPr>
          <w:rFonts w:ascii="Arial" w:hAnsi="Arial" w:cs="Arial"/>
          <w:sz w:val="22"/>
          <w:szCs w:val="22"/>
        </w:rPr>
        <w:t xml:space="preserve">, 49(3), pp. 311–322. Available at: </w:t>
      </w:r>
      <w:hyperlink r:id="rId5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https://doi.org/10.1016/j.beth.2017.09.002</w:t>
        </w:r>
      </w:hyperlink>
    </w:p>
    <w:p w14:paraId="75F2DD19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>Berrios, G.E. (1989) ‘</w:t>
      </w:r>
      <w:proofErr w:type="gramStart"/>
      <w:r w:rsidRPr="007C4244">
        <w:rPr>
          <w:rFonts w:ascii="Arial" w:hAnsi="Arial" w:cs="Arial"/>
          <w:sz w:val="22"/>
          <w:szCs w:val="22"/>
        </w:rPr>
        <w:t>Obsessive-compulsive disorder</w:t>
      </w:r>
      <w:proofErr w:type="gramEnd"/>
      <w:r w:rsidRPr="007C4244">
        <w:rPr>
          <w:rFonts w:ascii="Arial" w:hAnsi="Arial" w:cs="Arial"/>
          <w:sz w:val="22"/>
          <w:szCs w:val="22"/>
        </w:rPr>
        <w:t xml:space="preserve">: its conceptual history in France during the 19th century’, </w:t>
      </w:r>
      <w:r w:rsidRPr="007C4244">
        <w:rPr>
          <w:rFonts w:ascii="Arial" w:hAnsi="Arial" w:cs="Arial"/>
          <w:i/>
          <w:iCs/>
          <w:sz w:val="22"/>
          <w:szCs w:val="22"/>
        </w:rPr>
        <w:t>Comprehensive Psychiatry</w:t>
      </w:r>
      <w:r w:rsidRPr="007C4244">
        <w:rPr>
          <w:rFonts w:ascii="Arial" w:hAnsi="Arial" w:cs="Arial"/>
          <w:sz w:val="22"/>
          <w:szCs w:val="22"/>
        </w:rPr>
        <w:t xml:space="preserve">, 30(4), pp. 283–295. Available at: </w:t>
      </w:r>
      <w:hyperlink r:id="rId6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https://doi.org/10.1016/0010-440X(89)90052-7</w:t>
        </w:r>
      </w:hyperlink>
    </w:p>
    <w:p w14:paraId="0118F389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Clement, S., Schauman, O., Graham, T., Maggioni, F., Evans-Lacko, S., </w:t>
      </w:r>
      <w:proofErr w:type="spellStart"/>
      <w:r w:rsidRPr="007C4244">
        <w:rPr>
          <w:rFonts w:ascii="Arial" w:hAnsi="Arial" w:cs="Arial"/>
          <w:sz w:val="22"/>
          <w:szCs w:val="22"/>
        </w:rPr>
        <w:t>Bezborodovs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N., Morgan, C., </w:t>
      </w:r>
      <w:proofErr w:type="spellStart"/>
      <w:r w:rsidRPr="007C4244">
        <w:rPr>
          <w:rFonts w:ascii="Arial" w:hAnsi="Arial" w:cs="Arial"/>
          <w:sz w:val="22"/>
          <w:szCs w:val="22"/>
        </w:rPr>
        <w:t>Rüsch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N., Brown, J.S.L. and Thornicroft, G. (2015) ‘What is the impact of mental health-related stigma on help-seeking? A systematic review of quantitative and qualitative studies’, </w:t>
      </w:r>
      <w:r w:rsidRPr="007C4244">
        <w:rPr>
          <w:rFonts w:ascii="Arial" w:hAnsi="Arial" w:cs="Arial"/>
          <w:i/>
          <w:iCs/>
          <w:sz w:val="22"/>
          <w:szCs w:val="22"/>
        </w:rPr>
        <w:t>Psychological Medicine</w:t>
      </w:r>
      <w:r w:rsidRPr="007C4244">
        <w:rPr>
          <w:rFonts w:ascii="Arial" w:hAnsi="Arial" w:cs="Arial"/>
          <w:sz w:val="22"/>
          <w:szCs w:val="22"/>
        </w:rPr>
        <w:t xml:space="preserve">, 45(1), pp. 11–27. Available at: </w:t>
      </w:r>
      <w:hyperlink r:id="rId7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https://doi.org/10.1017/S0033291714000129</w:t>
        </w:r>
      </w:hyperlink>
    </w:p>
    <w:p w14:paraId="35436E2A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Fernández de la Cruz, L., Llorens, M., Jassi, A., Krebs, G., Vidal-Ribas, P., Radua, J., Hatch, S.L., Bhugra, D., Heyman, I., Clark, B. and </w:t>
      </w:r>
      <w:proofErr w:type="spellStart"/>
      <w:r w:rsidRPr="007C4244">
        <w:rPr>
          <w:rFonts w:ascii="Arial" w:hAnsi="Arial" w:cs="Arial"/>
          <w:sz w:val="22"/>
          <w:szCs w:val="22"/>
        </w:rPr>
        <w:t>Mataix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-Cols, D. (2015) ‘Ethnic inequalities in the use of secondary and tertiary mental health services among patients with obsessive-compulsive disorder’, </w:t>
      </w:r>
      <w:r w:rsidRPr="007C4244">
        <w:rPr>
          <w:rFonts w:ascii="Arial" w:hAnsi="Arial" w:cs="Arial"/>
          <w:i/>
          <w:iCs/>
          <w:sz w:val="22"/>
          <w:szCs w:val="22"/>
        </w:rPr>
        <w:t>The British Journal of Psychiatry</w:t>
      </w:r>
      <w:r w:rsidRPr="007C4244">
        <w:rPr>
          <w:rFonts w:ascii="Arial" w:hAnsi="Arial" w:cs="Arial"/>
          <w:sz w:val="22"/>
          <w:szCs w:val="22"/>
        </w:rPr>
        <w:t xml:space="preserve">, 207(6), pp. 530–535. Available at: </w:t>
      </w:r>
      <w:hyperlink r:id="rId8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https://doi.org/10.1192/bjp.bp.114.154062</w:t>
        </w:r>
      </w:hyperlink>
    </w:p>
    <w:p w14:paraId="76E61F37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Fineberg, N.A., Hollander, E., </w:t>
      </w:r>
      <w:proofErr w:type="spellStart"/>
      <w:r w:rsidRPr="007C4244">
        <w:rPr>
          <w:rFonts w:ascii="Arial" w:hAnsi="Arial" w:cs="Arial"/>
          <w:sz w:val="22"/>
          <w:szCs w:val="22"/>
        </w:rPr>
        <w:t>Pallanti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S., </w:t>
      </w:r>
      <w:proofErr w:type="spellStart"/>
      <w:r w:rsidRPr="007C4244">
        <w:rPr>
          <w:rFonts w:ascii="Arial" w:hAnsi="Arial" w:cs="Arial"/>
          <w:sz w:val="22"/>
          <w:szCs w:val="22"/>
        </w:rPr>
        <w:t>Walitza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S., Grünblatt, E., </w:t>
      </w:r>
      <w:proofErr w:type="spellStart"/>
      <w:r w:rsidRPr="007C4244">
        <w:rPr>
          <w:rFonts w:ascii="Arial" w:hAnsi="Arial" w:cs="Arial"/>
          <w:sz w:val="22"/>
          <w:szCs w:val="22"/>
        </w:rPr>
        <w:t>Dell’Osso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B.M., Albert, U., Geller, D.A., </w:t>
      </w:r>
      <w:proofErr w:type="spellStart"/>
      <w:r w:rsidRPr="007C4244">
        <w:rPr>
          <w:rFonts w:ascii="Arial" w:hAnsi="Arial" w:cs="Arial"/>
          <w:sz w:val="22"/>
          <w:szCs w:val="22"/>
        </w:rPr>
        <w:t>Brakoulias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V., Reddy, Y.C.J., </w:t>
      </w:r>
      <w:proofErr w:type="spellStart"/>
      <w:r w:rsidRPr="007C4244">
        <w:rPr>
          <w:rFonts w:ascii="Arial" w:hAnsi="Arial" w:cs="Arial"/>
          <w:sz w:val="22"/>
          <w:szCs w:val="22"/>
        </w:rPr>
        <w:t>Arumugham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S.S., </w:t>
      </w:r>
      <w:proofErr w:type="spellStart"/>
      <w:r w:rsidRPr="007C4244">
        <w:rPr>
          <w:rFonts w:ascii="Arial" w:hAnsi="Arial" w:cs="Arial"/>
          <w:sz w:val="22"/>
          <w:szCs w:val="22"/>
        </w:rPr>
        <w:t>Shavitt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R.G., Drummond, L., </w:t>
      </w:r>
      <w:proofErr w:type="spellStart"/>
      <w:r w:rsidRPr="007C4244">
        <w:rPr>
          <w:rFonts w:ascii="Arial" w:hAnsi="Arial" w:cs="Arial"/>
          <w:sz w:val="22"/>
          <w:szCs w:val="22"/>
        </w:rPr>
        <w:t>Grancini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B., De Carlo, V., Cinosi, E., Chamberlain, S.R., Ioannidis, K., Rodriguez, C.I., Garg, K., Castle, D., Van Ameringen, M., Stein, D.J., Carmi, L., Zohar, J. and </w:t>
      </w:r>
      <w:proofErr w:type="spellStart"/>
      <w:r w:rsidRPr="007C4244">
        <w:rPr>
          <w:rFonts w:ascii="Arial" w:hAnsi="Arial" w:cs="Arial"/>
          <w:sz w:val="22"/>
          <w:szCs w:val="22"/>
        </w:rPr>
        <w:t>Menchon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J.M. (2020) ‘Clinical advances in obsessive-compulsive disorder: a position statement by the International College of Obsessive-Compulsive Spectrum Disorders’, </w:t>
      </w:r>
      <w:r w:rsidRPr="007C4244">
        <w:rPr>
          <w:rFonts w:ascii="Arial" w:hAnsi="Arial" w:cs="Arial"/>
          <w:i/>
          <w:iCs/>
          <w:sz w:val="22"/>
          <w:szCs w:val="22"/>
        </w:rPr>
        <w:t>International Clinical Psychopharmacology</w:t>
      </w:r>
      <w:r w:rsidRPr="007C4244">
        <w:rPr>
          <w:rFonts w:ascii="Arial" w:hAnsi="Arial" w:cs="Arial"/>
          <w:sz w:val="22"/>
          <w:szCs w:val="22"/>
        </w:rPr>
        <w:t xml:space="preserve">, 35(4), pp. 173–193. Available at: </w:t>
      </w:r>
      <w:hyperlink r:id="rId9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https://doi.org/10.1097/YIC.0000000000000314</w:t>
        </w:r>
      </w:hyperlink>
    </w:p>
    <w:p w14:paraId="75488424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Kessler, R.C., Berglund, P., Demler, O., Jin, R., </w:t>
      </w:r>
      <w:proofErr w:type="spellStart"/>
      <w:r w:rsidRPr="007C4244">
        <w:rPr>
          <w:rFonts w:ascii="Arial" w:hAnsi="Arial" w:cs="Arial"/>
          <w:sz w:val="22"/>
          <w:szCs w:val="22"/>
        </w:rPr>
        <w:t>Merikangas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K.R. and Walters, E.E. (2005) ‘Lifetime prevalence and age-of-onset distributions of DSM-IV disorders in the National Comorbidity Survey Replication’, </w:t>
      </w:r>
      <w:r w:rsidRPr="007C4244">
        <w:rPr>
          <w:rFonts w:ascii="Arial" w:hAnsi="Arial" w:cs="Arial"/>
          <w:i/>
          <w:iCs/>
          <w:sz w:val="22"/>
          <w:szCs w:val="22"/>
        </w:rPr>
        <w:t>Archives of General Psychiatry</w:t>
      </w:r>
      <w:r w:rsidRPr="007C4244">
        <w:rPr>
          <w:rFonts w:ascii="Arial" w:hAnsi="Arial" w:cs="Arial"/>
          <w:sz w:val="22"/>
          <w:szCs w:val="22"/>
        </w:rPr>
        <w:t xml:space="preserve">, 62(6), pp. 593–602. Available at: </w:t>
      </w:r>
      <w:hyperlink r:id="rId10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https://doi.org/10.1001/archpsyc.62.6.593</w:t>
        </w:r>
      </w:hyperlink>
    </w:p>
    <w:p w14:paraId="7A0244BF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National Institute for Health and Care Excellence (NICE) (2005) </w:t>
      </w:r>
      <w:proofErr w:type="gramStart"/>
      <w:r w:rsidRPr="007C4244">
        <w:rPr>
          <w:rFonts w:ascii="Arial" w:hAnsi="Arial" w:cs="Arial"/>
          <w:i/>
          <w:iCs/>
          <w:sz w:val="22"/>
          <w:szCs w:val="22"/>
        </w:rPr>
        <w:t>Obsessive-compulsive disorder</w:t>
      </w:r>
      <w:proofErr w:type="gramEnd"/>
      <w:r w:rsidRPr="007C4244">
        <w:rPr>
          <w:rFonts w:ascii="Arial" w:hAnsi="Arial" w:cs="Arial"/>
          <w:i/>
          <w:iCs/>
          <w:sz w:val="22"/>
          <w:szCs w:val="22"/>
        </w:rPr>
        <w:t xml:space="preserve"> and body dysmorphic disorder: treatment</w:t>
      </w:r>
      <w:r w:rsidRPr="007C4244">
        <w:rPr>
          <w:rFonts w:ascii="Arial" w:hAnsi="Arial" w:cs="Arial"/>
          <w:sz w:val="22"/>
          <w:szCs w:val="22"/>
        </w:rPr>
        <w:t xml:space="preserve">. Clinical guideline CG31. Available at: </w:t>
      </w:r>
      <w:hyperlink r:id="rId11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https://www.nice.org.uk/guidance/cg31</w:t>
        </w:r>
      </w:hyperlink>
      <w:r w:rsidRPr="007C4244">
        <w:rPr>
          <w:rFonts w:ascii="Arial" w:hAnsi="Arial" w:cs="Arial"/>
          <w:sz w:val="22"/>
          <w:szCs w:val="22"/>
        </w:rPr>
        <w:t xml:space="preserve"> (Accessed: 20 October 2026).</w:t>
      </w:r>
    </w:p>
    <w:p w14:paraId="44145457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lastRenderedPageBreak/>
        <w:t xml:space="preserve">Rachman, S. (1976) ‘The modification of obsessions: a new formulation’, </w:t>
      </w:r>
      <w:r w:rsidRPr="007C4244">
        <w:rPr>
          <w:rFonts w:ascii="Arial" w:hAnsi="Arial" w:cs="Arial"/>
          <w:i/>
          <w:iCs/>
          <w:sz w:val="22"/>
          <w:szCs w:val="22"/>
        </w:rPr>
        <w:t>Behaviour Research and Therapy</w:t>
      </w:r>
      <w:r w:rsidRPr="007C4244">
        <w:rPr>
          <w:rFonts w:ascii="Arial" w:hAnsi="Arial" w:cs="Arial"/>
          <w:sz w:val="22"/>
          <w:szCs w:val="22"/>
        </w:rPr>
        <w:t xml:space="preserve">, 14(6), pp. 437–443. Available at: </w:t>
      </w:r>
      <w:hyperlink r:id="rId12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https://doi.org/10.1016/0005-7967(76)90090-5</w:t>
        </w:r>
      </w:hyperlink>
    </w:p>
    <w:p w14:paraId="5AF4584F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7C4244">
        <w:rPr>
          <w:rFonts w:ascii="Arial" w:hAnsi="Arial" w:cs="Arial"/>
          <w:sz w:val="22"/>
          <w:szCs w:val="22"/>
        </w:rPr>
        <w:t>Salkovskis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P.M. (1985) ‘Obsessional-compulsive problems: a cognitive-behavioural analysis’, </w:t>
      </w:r>
      <w:r w:rsidRPr="007C4244">
        <w:rPr>
          <w:rFonts w:ascii="Arial" w:hAnsi="Arial" w:cs="Arial"/>
          <w:i/>
          <w:iCs/>
          <w:sz w:val="22"/>
          <w:szCs w:val="22"/>
        </w:rPr>
        <w:t>Behaviour Research and Therapy</w:t>
      </w:r>
      <w:r w:rsidRPr="007C4244">
        <w:rPr>
          <w:rFonts w:ascii="Arial" w:hAnsi="Arial" w:cs="Arial"/>
          <w:sz w:val="22"/>
          <w:szCs w:val="22"/>
        </w:rPr>
        <w:t xml:space="preserve">, 23(5), pp. 571–583. Available at: </w:t>
      </w:r>
      <w:hyperlink r:id="rId13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https://doi.org/10.1016/0005-7967(85)90105-6</w:t>
        </w:r>
      </w:hyperlink>
    </w:p>
    <w:p w14:paraId="6AECAC35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Stein, D.J., Costa, D.L.C., Lochner, C., Miguel, E.C., Reddy, Y.C.J., </w:t>
      </w:r>
      <w:proofErr w:type="spellStart"/>
      <w:r w:rsidRPr="007C4244">
        <w:rPr>
          <w:rFonts w:ascii="Arial" w:hAnsi="Arial" w:cs="Arial"/>
          <w:sz w:val="22"/>
          <w:szCs w:val="22"/>
        </w:rPr>
        <w:t>Shavitt</w:t>
      </w:r>
      <w:proofErr w:type="spellEnd"/>
      <w:r w:rsidRPr="007C4244">
        <w:rPr>
          <w:rFonts w:ascii="Arial" w:hAnsi="Arial" w:cs="Arial"/>
          <w:sz w:val="22"/>
          <w:szCs w:val="22"/>
        </w:rPr>
        <w:t xml:space="preserve">, R.G., van den Heuvel, O.A. and Simpson, H.B. (2019) ‘Obsessive-compulsive disorder’, </w:t>
      </w:r>
      <w:r w:rsidRPr="007C4244">
        <w:rPr>
          <w:rFonts w:ascii="Arial" w:hAnsi="Arial" w:cs="Arial"/>
          <w:i/>
          <w:iCs/>
          <w:sz w:val="22"/>
          <w:szCs w:val="22"/>
        </w:rPr>
        <w:t>Nature Reviews Disease Primers</w:t>
      </w:r>
      <w:r w:rsidRPr="007C4244">
        <w:rPr>
          <w:rFonts w:ascii="Arial" w:hAnsi="Arial" w:cs="Arial"/>
          <w:sz w:val="22"/>
          <w:szCs w:val="22"/>
        </w:rPr>
        <w:t xml:space="preserve">, 5, article 52. Available at: </w:t>
      </w:r>
      <w:hyperlink r:id="rId14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https://doi.org/10.1038/s41572-019-0102-3</w:t>
        </w:r>
      </w:hyperlink>
    </w:p>
    <w:p w14:paraId="14976178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World Health Organization (WHO) (2024) </w:t>
      </w:r>
      <w:r w:rsidRPr="007C4244">
        <w:rPr>
          <w:rFonts w:ascii="Arial" w:hAnsi="Arial" w:cs="Arial"/>
          <w:i/>
          <w:iCs/>
          <w:sz w:val="22"/>
          <w:szCs w:val="22"/>
        </w:rPr>
        <w:t>Clinical descriptions and diagnostic requirements for ICD-11 mental, behavioural and neurodevelopmental disorders</w:t>
      </w:r>
      <w:r w:rsidRPr="007C4244">
        <w:rPr>
          <w:rFonts w:ascii="Arial" w:hAnsi="Arial" w:cs="Arial"/>
          <w:sz w:val="22"/>
          <w:szCs w:val="22"/>
        </w:rPr>
        <w:t xml:space="preserve">. Geneva: World Health Organization. Available at: </w:t>
      </w:r>
      <w:hyperlink r:id="rId15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https://www.who.int/publications/i/item/9789240077263</w:t>
        </w:r>
      </w:hyperlink>
      <w:r w:rsidRPr="007C4244">
        <w:rPr>
          <w:rFonts w:ascii="Arial" w:hAnsi="Arial" w:cs="Arial"/>
          <w:sz w:val="22"/>
          <w:szCs w:val="22"/>
        </w:rPr>
        <w:t xml:space="preserve"> (Accessed: 20 October 2026).</w:t>
      </w:r>
    </w:p>
    <w:p w14:paraId="0E8307F2" w14:textId="77777777" w:rsidR="00284517" w:rsidRPr="007C4244" w:rsidRDefault="00284517" w:rsidP="007C4244">
      <w:pPr>
        <w:spacing w:line="360" w:lineRule="auto"/>
        <w:rPr>
          <w:rFonts w:ascii="Arial" w:hAnsi="Arial" w:cs="Arial"/>
          <w:sz w:val="22"/>
          <w:szCs w:val="22"/>
        </w:rPr>
      </w:pPr>
      <w:r w:rsidRPr="007C4244">
        <w:rPr>
          <w:rFonts w:ascii="Arial" w:hAnsi="Arial" w:cs="Arial"/>
          <w:sz w:val="22"/>
          <w:szCs w:val="22"/>
        </w:rPr>
        <w:t xml:space="preserve">World Health Organization (WHO) (2026) </w:t>
      </w:r>
      <w:r w:rsidRPr="007C4244">
        <w:rPr>
          <w:rFonts w:ascii="Arial" w:hAnsi="Arial" w:cs="Arial"/>
          <w:i/>
          <w:iCs/>
          <w:sz w:val="22"/>
          <w:szCs w:val="22"/>
        </w:rPr>
        <w:t>ICD-11 for Mortality and Morbidity Statistics</w:t>
      </w:r>
      <w:r w:rsidRPr="007C4244">
        <w:rPr>
          <w:rFonts w:ascii="Arial" w:hAnsi="Arial" w:cs="Arial"/>
          <w:sz w:val="22"/>
          <w:szCs w:val="22"/>
        </w:rPr>
        <w:t xml:space="preserve">. Available at: </w:t>
      </w:r>
      <w:hyperlink r:id="rId16" w:history="1">
        <w:r w:rsidRPr="007C4244">
          <w:rPr>
            <w:rStyle w:val="Hyperlink"/>
            <w:rFonts w:ascii="Arial" w:hAnsi="Arial" w:cs="Arial"/>
            <w:sz w:val="22"/>
            <w:szCs w:val="22"/>
          </w:rPr>
          <w:t>https://icd.who.int/browse/2026-01/mms/en</w:t>
        </w:r>
      </w:hyperlink>
      <w:r w:rsidRPr="007C4244">
        <w:rPr>
          <w:rFonts w:ascii="Arial" w:hAnsi="Arial" w:cs="Arial"/>
          <w:sz w:val="22"/>
          <w:szCs w:val="22"/>
        </w:rPr>
        <w:t xml:space="preserve"> (Accessed: 20 October 2026).</w:t>
      </w:r>
    </w:p>
    <w:p w14:paraId="7583F09A" w14:textId="54B97F12" w:rsidR="00AC7812" w:rsidRPr="007C4244" w:rsidRDefault="00AC7812" w:rsidP="007C424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AC7812" w:rsidRPr="007C42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58F7"/>
    <w:rsid w:val="00071F67"/>
    <w:rsid w:val="00094F47"/>
    <w:rsid w:val="000D78DE"/>
    <w:rsid w:val="001758F7"/>
    <w:rsid w:val="00284517"/>
    <w:rsid w:val="00483F03"/>
    <w:rsid w:val="005428D5"/>
    <w:rsid w:val="005B5974"/>
    <w:rsid w:val="005D2439"/>
    <w:rsid w:val="00631FC7"/>
    <w:rsid w:val="006434AD"/>
    <w:rsid w:val="0067247F"/>
    <w:rsid w:val="00690EB9"/>
    <w:rsid w:val="007C4244"/>
    <w:rsid w:val="008F1BF6"/>
    <w:rsid w:val="009926C9"/>
    <w:rsid w:val="00A91DCF"/>
    <w:rsid w:val="00AC7812"/>
    <w:rsid w:val="00BF651A"/>
    <w:rsid w:val="00D42BA9"/>
    <w:rsid w:val="00D47509"/>
    <w:rsid w:val="00F673A5"/>
    <w:rsid w:val="00FE7C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AE522C"/>
  <w15:chartTrackingRefBased/>
  <w15:docId w15:val="{BF059DEC-B4AF-43AA-ADE4-6B20E536BB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58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58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58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58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58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58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58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58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58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58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58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58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58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58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58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58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58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58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58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58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58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58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58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58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58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58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58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58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58F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8451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451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92/bjp.bp.114.154062" TargetMode="External"/><Relationship Id="rId13" Type="http://schemas.openxmlformats.org/officeDocument/2006/relationships/hyperlink" Target="https://doi.org/10.1016/0005-7967(85)90105-6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017/S0033291714000129" TargetMode="External"/><Relationship Id="rId12" Type="http://schemas.openxmlformats.org/officeDocument/2006/relationships/hyperlink" Target="https://doi.org/10.1016/0005-7967(76)90090-5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icd.who.int/browse/2026-01/mms/en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0010-440X(89)90052-7" TargetMode="External"/><Relationship Id="rId11" Type="http://schemas.openxmlformats.org/officeDocument/2006/relationships/hyperlink" Target="https://www.nice.org.uk/guidance/cg31" TargetMode="External"/><Relationship Id="rId5" Type="http://schemas.openxmlformats.org/officeDocument/2006/relationships/hyperlink" Target="https://doi.org/10.1016/j.beth.2017.09.002" TargetMode="External"/><Relationship Id="rId15" Type="http://schemas.openxmlformats.org/officeDocument/2006/relationships/hyperlink" Target="https://www.who.int/publications/i/item/9789240077263" TargetMode="External"/><Relationship Id="rId10" Type="http://schemas.openxmlformats.org/officeDocument/2006/relationships/hyperlink" Target="https://doi.org/10.1001/archpsyc.62.6.593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doi.org/10.1097/YIC.0000000000000314" TargetMode="External"/><Relationship Id="rId14" Type="http://schemas.openxmlformats.org/officeDocument/2006/relationships/hyperlink" Target="https://doi.org/10.1038/s41572-019-0102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4</Pages>
  <Words>682</Words>
  <Characters>3891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Misba Mahmood (2413669)</dc:creator>
  <cp:keywords/>
  <dc:description/>
  <cp:lastModifiedBy>Misba Mahmood (2413669)</cp:lastModifiedBy>
  <cp:revision>16</cp:revision>
  <dcterms:created xsi:type="dcterms:W3CDTF">2026-10-17T13:10:00Z</dcterms:created>
  <dcterms:modified xsi:type="dcterms:W3CDTF">2026-10-22T16:44:00Z</dcterms:modified>
</cp:coreProperties>
</file>