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429FC4" w14:textId="4036F8FB" w:rsidR="00A04A28" w:rsidRPr="00904D9E" w:rsidRDefault="00A04A28" w:rsidP="00A04A28">
      <w:pPr>
        <w:pStyle w:val="Heading1"/>
        <w:jc w:val="center"/>
        <w:rPr>
          <w:b/>
          <w:bCs/>
          <w:color w:val="000000" w:themeColor="text1"/>
        </w:rPr>
      </w:pPr>
      <w:r w:rsidRPr="00904D9E">
        <w:rPr>
          <w:b/>
          <w:bCs/>
          <w:color w:val="000000" w:themeColor="text1"/>
        </w:rPr>
        <w:t>Holding the Government to Account</w:t>
      </w:r>
    </w:p>
    <w:p w14:paraId="380A2725" w14:textId="7E0378EA" w:rsidR="00A50A58" w:rsidRDefault="00C84817">
      <w:r>
        <w:t>The Executive Body of the UK, also referred to as “the government” is at the forefront of British politics and policymaking. This body consists of the Prime Minister, the cabinet, who are chosen by the prime minister directly from the selection of sitting members of parliament to operate</w:t>
      </w:r>
      <w:r w:rsidR="00346D94">
        <w:t xml:space="preserve"> public organisations and departments of state, such as the home office, foreign office, or the ministry of health. These organisations also include publicly owned bodies such as the NHS and the Civil Service. The term government can be used narrowly to refer to those at the head of policymaking in the UK such as the prime minister and their cabinet, or broadly to refer to institutions and organisations run by the state (Watts, 2007). The executive branch in the UK both is liable for the operation of state organisations as well as setting the general direction and political mood of the nation for the following parliamentary term, of four to five years. While the government is one of the most, if not the single most powerful institution in British politics, it</w:t>
      </w:r>
      <w:r w:rsidR="00F34880">
        <w:t xml:space="preserve"> is</w:t>
      </w:r>
      <w:r w:rsidR="00346D94">
        <w:t xml:space="preserve"> subject to scrutiny and rules as to its operation. Limits on power are brought to prevent </w:t>
      </w:r>
      <w:r w:rsidR="00F34880">
        <w:t>one of the three branches, being the executive, legislative and judiciary, from abusing their abilities and power to the detriment of the public and their rights and freedoms. Many have claimed that “Good Scrutiny makes for Good Government” (White, 2015)</w:t>
      </w:r>
      <w:r w:rsidR="005F60C5">
        <w:t>, however each of the methods of executive scrutiny experience their own drawbacks and pitfalls.</w:t>
      </w:r>
      <w:r w:rsidR="00F34880">
        <w:t xml:space="preserve"> </w:t>
      </w:r>
      <w:r w:rsidR="005F60C5">
        <w:t>T</w:t>
      </w:r>
      <w:r w:rsidR="00F34880">
        <w:t xml:space="preserve">his essay will discuss the methods of executive scrutiny in the UK, their roles, </w:t>
      </w:r>
      <w:r w:rsidR="005F60C5">
        <w:t>powers,</w:t>
      </w:r>
      <w:r w:rsidR="00F34880">
        <w:t xml:space="preserve"> and efficacy in limiting the power of and preventing the misuse of government. </w:t>
      </w:r>
    </w:p>
    <w:p w14:paraId="13A22E19" w14:textId="57F9FF9B" w:rsidR="00F34880" w:rsidRDefault="00F34880">
      <w:r>
        <w:t xml:space="preserve">The Legal structure of the UK is partially built on the works of </w:t>
      </w:r>
      <w:r w:rsidR="005F60C5">
        <w:t>Montesquieu, who proposed that the branches of state should be separated to prevent what he called “despotism”, a system in which a single non-divisible source of power would maintain full authority over lawmaking, its application and enforcement.</w:t>
      </w:r>
      <w:r w:rsidR="002C3B88">
        <w:t xml:space="preserve"> </w:t>
      </w:r>
      <w:r w:rsidR="005F60C5">
        <w:t xml:space="preserve">Separation of powers is done to prevent these single sources of </w:t>
      </w:r>
      <w:r w:rsidR="00644D91">
        <w:t xml:space="preserve">absolute </w:t>
      </w:r>
      <w:r w:rsidR="005F60C5">
        <w:t>power from abusing their abilities as state institutions to ensure outcomes that are fair and proportionate</w:t>
      </w:r>
      <w:r w:rsidR="00644D91">
        <w:t xml:space="preserve"> through separating these powers amongst several bodies and people</w:t>
      </w:r>
      <w:r w:rsidR="002C3B88">
        <w:t xml:space="preserve">. The modes of government based on single sources of power are uniquely susceptible to the corruption that was </w:t>
      </w:r>
      <w:r w:rsidR="005874F2">
        <w:t>alluded</w:t>
      </w:r>
      <w:r w:rsidR="002C3B88">
        <w:t xml:space="preserve"> to by Lord Acton due to their inherent flaws</w:t>
      </w:r>
      <w:r w:rsidR="005874F2">
        <w:t>. It is argued by James Madison in Federalist no.51 (</w:t>
      </w:r>
      <w:r w:rsidR="008C685B">
        <w:t xml:space="preserve">Hamilton, </w:t>
      </w:r>
      <w:proofErr w:type="gramStart"/>
      <w:r w:rsidR="008C685B">
        <w:t>Jay</w:t>
      </w:r>
      <w:proofErr w:type="gramEnd"/>
      <w:r w:rsidR="008C685B">
        <w:t xml:space="preserve"> and Maddison</w:t>
      </w:r>
      <w:r w:rsidR="005874F2">
        <w:t xml:space="preserve">, </w:t>
      </w:r>
      <w:r w:rsidR="008C685B">
        <w:t>2009</w:t>
      </w:r>
      <w:r w:rsidR="005874F2">
        <w:t xml:space="preserve">) that this is not just an issue of political structure, but also of human nature, stating that “if men were governed by angels, neither external nor internal controls </w:t>
      </w:r>
      <w:r w:rsidR="00644D91">
        <w:t>on government would be necessary”. He continues, in agreement with the principles set out by Montesquieu, that as people are flawed, a political system should always be drafted with consideration as to how power should be separated to prevent tyranny. Madison’s statements are further supported by Lord Acton in his correspondence with Bishop Creighton, stating that “Power tends to corrupt, absolute power tends to corrupt absolutely”</w:t>
      </w:r>
      <w:r w:rsidR="005F60C5">
        <w:t xml:space="preserve">. </w:t>
      </w:r>
      <w:r w:rsidR="00644D91">
        <w:t xml:space="preserve">In the UK, a partial system of separation of powers is present, with no single body being dominant over the others </w:t>
      </w:r>
      <w:r w:rsidR="00280FFA">
        <w:t xml:space="preserve">in all regards, however each does possess some influence and control on the operations of the other branches through specific means of oversight and scrutiny. While the executive, legislative and judicial bodies do have the ability to act independently of one another, they </w:t>
      </w:r>
      <w:r w:rsidR="008B2B89">
        <w:t xml:space="preserve">considered to be </w:t>
      </w:r>
      <w:r w:rsidR="00280FFA">
        <w:t>in “partnership” where it is seen as appropriate to do so (Lyer, 2018)</w:t>
      </w:r>
      <w:r w:rsidR="008B2B89">
        <w:t>. This allows them to exercise their respective roles and duties properly and effectively, while also providing checks and balances to the powers of the other branches</w:t>
      </w:r>
      <w:r w:rsidR="000712AA">
        <w:t>.</w:t>
      </w:r>
    </w:p>
    <w:p w14:paraId="54A2CCE6" w14:textId="77777777" w:rsidR="00C60752" w:rsidRDefault="000712AA">
      <w:r>
        <w:t xml:space="preserve">The Legislative branch has several methods in which it can act as a check and balance to the powers of the government. One such method is prime minister’s questions, a staple of the </w:t>
      </w:r>
      <w:r>
        <w:lastRenderedPageBreak/>
        <w:t>British political system. Prime minister’s questions, or PMQs allows members of the legislative branch to question the prime minister and his cabinet on matters of public policy or lawmaking that have been introduced or proposed, as well as allowing them to propose new solutions or issues that may affect their constituents.</w:t>
      </w:r>
      <w:r w:rsidR="00114B19">
        <w:t xml:space="preserve"> While each member is entitled to ask a single question to the prime minister as long as time permits,</w:t>
      </w:r>
      <w:r>
        <w:t xml:space="preserve"> PMQs is particularly impactful for the opposition party </w:t>
      </w:r>
      <w:r w:rsidR="00114B19">
        <w:t xml:space="preserve">who are given six questions per session of PMQs, allowing them to hold the government to account for their actions and proposals, or their failures or avoidance in acting on certain issues with the expectation of full and reasoned answers (Bevan and John, 2016). It also allows </w:t>
      </w:r>
      <w:r w:rsidR="002C721A">
        <w:t>the opposition to table issues which may be uncomfortable for the government, or that do not suite the current political agenda, causing them to be overlooked</w:t>
      </w:r>
      <w:r w:rsidR="008C71AC">
        <w:t xml:space="preserve"> (Bevan and John, 2016). This ensures that regardless of current leadership, issues that affect British people are addressed in some manner. PMQs also increases public engagement in politics, allowing the public a direct route to have their concerns addressed regularly through the use of their representatives, as well as allowing the public to hear from and better understand the views of the government and gain political </w:t>
      </w:r>
      <w:proofErr w:type="gramStart"/>
      <w:r w:rsidR="008C71AC">
        <w:t>knowledge  (</w:t>
      </w:r>
      <w:proofErr w:type="gramEnd"/>
      <w:r w:rsidR="008C71AC">
        <w:t xml:space="preserve">Salmond, 2014). While PMQs does allow for members of the House of Commons to scrutinise the government, it is plagued by issues, such as the outdated convention by which it is bound, disallowing speech such as direct accusations of dishonesty as being “unparliamentary speech” regardless of its validity or truth. </w:t>
      </w:r>
      <w:r w:rsidR="006E7A04">
        <w:t xml:space="preserve">It has also been referred to as enabling “punch and </w:t>
      </w:r>
      <w:proofErr w:type="spellStart"/>
      <w:r w:rsidR="006E7A04">
        <w:t>judy</w:t>
      </w:r>
      <w:proofErr w:type="spellEnd"/>
      <w:r w:rsidR="006E7A04">
        <w:t xml:space="preserve"> politics”, in which bias and artisanship can cause questioning to be adversarial in nature (Bull and Wells, 2011). The most glaring issue that affects prime minister’s questions however is the ability of the government to avoid any substantive change to their policy, as PMQ provides no formal </w:t>
      </w:r>
      <w:r w:rsidR="00C60752">
        <w:t xml:space="preserve">requirements for the government to change or amend its policy, instead relying solely on influencing public opinion, which may be ineffective, especially in the parliamentary sessions that follow a general election. </w:t>
      </w:r>
    </w:p>
    <w:p w14:paraId="475D4134" w14:textId="7FC7505B" w:rsidR="006E7A04" w:rsidRDefault="00C60752">
      <w:r>
        <w:t>Parliamentary debate is another method by which the legislative branch may scrutinise the government. When new bills</w:t>
      </w:r>
      <w:r w:rsidR="006E7A04">
        <w:t xml:space="preserve"> </w:t>
      </w:r>
      <w:r>
        <w:t xml:space="preserve">are proposed in the House of Commons and House of Lords, they are voted upon by members of parliament. If a unanimous decision cannot be reached, the speaker will pass the bill to a division, allowing debate to take place. Parliamentary debates are governed by the standing orders of the Houses of Parliament, as well as the rules of the speaker and convention. Debates allow members of any party or background equal standing and respect as any other member, providing a variety of viewpoints. </w:t>
      </w:r>
      <w:r w:rsidR="00852D30">
        <w:t xml:space="preserve">Debates can also be brought by a motion for an emergency debate, which will be heard only on a Monday, Tuesday, or Thursday. These debates are specifically for issues that need urgent remedies and are in the interest of the public (UK Parliament, 2023). This ensures that issues that affect the public are addressed by the government in some way, however due to the limitations of an emergency debate, they may be considered a weak alternative to a debate brought by a division. Debates can also be adjourned through a vote, also known as a “dilatory motion” (UK parliament, 2023). This can cause debates to be unresolved or allow them to fall by the wayside of other issues, making them ineffective forms of scrutiny in these cases. Finally, members of the house may use speech coined “dilatory tactics” to artificially extend or delay a debate (Goet, 2021), once again making it an ineffective form of scrutiny due to its inconvenience. </w:t>
      </w:r>
    </w:p>
    <w:p w14:paraId="7C4E8224" w14:textId="2CC700B4" w:rsidR="00627E4C" w:rsidRPr="00DE72B6" w:rsidRDefault="00E0022F" w:rsidP="00627E4C">
      <w:r>
        <w:t xml:space="preserve">Parliament can, </w:t>
      </w:r>
      <w:proofErr w:type="gramStart"/>
      <w:r>
        <w:t>in an attempt to</w:t>
      </w:r>
      <w:proofErr w:type="gramEnd"/>
      <w:r>
        <w:t xml:space="preserve"> scrutinise the government, form select committees.</w:t>
      </w:r>
      <w:r w:rsidR="00627E4C">
        <w:t xml:space="preserve"> Select Committees are cross party committees, which contain MPs representing the parties of the house proportionally. Since 2010, the chair of a committee is voted upon by the house in whole. They play one of the most direct and influential roles in public facing scrutiny of the government (Geddes, 2019). Select Committees do however have few powers, being limited only to sending for a person, papers, or records relevant to their inquiry. While this is the case, MPs are required </w:t>
      </w:r>
      <w:r w:rsidR="00627E4C">
        <w:lastRenderedPageBreak/>
        <w:t xml:space="preserve">by both guidance and convention to surrender any of these pieces of information that would not be excluded by the Freedom of Information Act (Cabinet Office, 2014).  </w:t>
      </w:r>
      <w:r w:rsidR="00627E4C" w:rsidRPr="00627E4C">
        <w:rPr>
          <w:color w:val="000000" w:themeColor="text1"/>
        </w:rPr>
        <w:t>It has been argued that although</w:t>
      </w:r>
      <w:r w:rsidR="00627E4C">
        <w:rPr>
          <w:color w:val="000000" w:themeColor="text1"/>
        </w:rPr>
        <w:t xml:space="preserve"> </w:t>
      </w:r>
      <w:r w:rsidR="00627E4C" w:rsidRPr="00627E4C">
        <w:rPr>
          <w:color w:val="000000" w:themeColor="text1"/>
        </w:rPr>
        <w:t>select committees do have few formal powers, their informal, persuasive influence is strong. This is due to their public facing nature, and the wealth of information that is publicised during their inquiries, which would regularly not be available to the public, which allows for the swaying of public opinion based on the substantive contents of government documents. On the other hand, the nature of their persuasive power means that the government is free to ignore the findings of an inquiry, and make no implementations, although this may reflect on them poorly</w:t>
      </w:r>
      <w:r w:rsidR="00627E4C">
        <w:rPr>
          <w:color w:val="000000" w:themeColor="text1"/>
        </w:rPr>
        <w:t xml:space="preserve"> (Geddes, 2019)</w:t>
      </w:r>
      <w:r w:rsidR="00627E4C" w:rsidRPr="00627E4C">
        <w:rPr>
          <w:color w:val="000000" w:themeColor="text1"/>
        </w:rPr>
        <w:t>.</w:t>
      </w:r>
      <w:r w:rsidR="00627E4C">
        <w:rPr>
          <w:color w:val="000000" w:themeColor="text1"/>
        </w:rPr>
        <w:t xml:space="preserve"> Due to their composition and powers, select committees face a unique set of problems, namely that of representation. Smaller parties can often be overshadowed in a committee due to the requirement that they be reflective of the composition of the house. </w:t>
      </w:r>
      <w:r w:rsidR="00DE72B6">
        <w:rPr>
          <w:color w:val="000000" w:themeColor="text1"/>
        </w:rPr>
        <w:t xml:space="preserve">This can lead to homogeny of thought on a committee, as well as pro-government bias in cases where the government holds a significant majority in the house </w:t>
      </w:r>
      <w:r w:rsidR="00DE72B6">
        <w:t>(Bates, Goodwin, and McKay, 2017).</w:t>
      </w:r>
      <w:r w:rsidR="00174DAB">
        <w:t xml:space="preserve"> Select committees are also plagued by large numbers and low attendance, causing an inability to fulfil their duties effectively. </w:t>
      </w:r>
    </w:p>
    <w:p w14:paraId="612E6312" w14:textId="6ECB7F2A" w:rsidR="000B3F63" w:rsidRPr="000B3F63" w:rsidRDefault="00174DAB" w:rsidP="000B3F63">
      <w:pPr>
        <w:rPr>
          <w:lang w:val="en-US"/>
        </w:rPr>
      </w:pPr>
      <w:r>
        <w:rPr>
          <w:color w:val="000000" w:themeColor="text1"/>
        </w:rPr>
        <w:t xml:space="preserve">Finally, the judiciary also plays some role in scrutinising the government. Namely, this is done through a process called “judicial review”. </w:t>
      </w:r>
      <w:r>
        <w:t xml:space="preserve">Judicial review is a special type of court case that can only be brought against a public, government body. In these cases, the supreme court will evaluate the legality of a decision or act undertaken by the government or its institutions (Courts and Tribunals Judiciary, 2024). This is done to ensure that the actions of the government are not unlawful, and do not contravene any existing law, or step outside of their powers, causing the act to be ultra-vires. </w:t>
      </w:r>
      <w:r>
        <w:rPr>
          <w:color w:val="000000" w:themeColor="text1"/>
        </w:rPr>
        <w:t xml:space="preserve"> </w:t>
      </w:r>
      <w:r>
        <w:t>Very little statute exists around the boundaries of what is possible in judicial review, however the supreme court is heavily bound by statutes such as the Human Rights Act 1998, European Convention on Human Rights, as well as conventions such as parliamentary sovereignty. Conventions such as these limit judicial review in their scope, such as preventing judicial review on acts and bills passed directly by parliament, only allowing them to be enacted on matters of government policy and secondary legislation</w:t>
      </w:r>
      <w:r w:rsidR="000B3F63">
        <w:t xml:space="preserve"> (Rose-Ackerman, 2021). </w:t>
      </w:r>
      <w:r w:rsidR="000B3F63">
        <w:rPr>
          <w:lang w:val="en-US"/>
        </w:rPr>
        <w:t>While judicial review is limited in its scope, it does provide an important safeguard in preventing systems of accountability from themselves being abused as is suggested by Drewry (2005).</w:t>
      </w:r>
    </w:p>
    <w:p w14:paraId="5DB165C4" w14:textId="2FC200F4" w:rsidR="000B3F63" w:rsidRDefault="000B3F63" w:rsidP="000B3F63">
      <w:r>
        <w:t xml:space="preserve">In conclusion, both the judiciary and legislative branches play a fundamental role in government scrutiny, however, their processes for scrutinising government decisions are generally weak, requiring a public backlash to be generated to be effective due to their inherent lack of powers. It is true that good scrutiny makes for good government, as when these methods of scrutiny are successful, they can be devastating to governments, disincentivising them from making policies that are extremely unpopular or unfair in nature, however, the methods of scrutiny employed in the UK are somewhat weak and cannot themselves be described as “good scrutiny” largely due to their lack of formal powers and reliance on outside forces such as the media or public landscape.  </w:t>
      </w:r>
    </w:p>
    <w:p w14:paraId="7EC7A45F" w14:textId="77777777" w:rsidR="00A04A28" w:rsidRDefault="00A04A28" w:rsidP="000B3F63"/>
    <w:p w14:paraId="4B4FBCA3" w14:textId="77777777" w:rsidR="00A04A28" w:rsidRDefault="00A04A28" w:rsidP="000B3F63"/>
    <w:p w14:paraId="46C34CA4" w14:textId="77777777" w:rsidR="00A04A28" w:rsidRDefault="00A04A28" w:rsidP="000B3F63"/>
    <w:p w14:paraId="1D2D4E31" w14:textId="77777777" w:rsidR="00A04A28" w:rsidRDefault="00A04A28" w:rsidP="000B3F63"/>
    <w:p w14:paraId="39729DFA" w14:textId="77777777" w:rsidR="00A24C1E" w:rsidRDefault="00A24C1E" w:rsidP="000B3F63"/>
    <w:p w14:paraId="5CAC8607" w14:textId="77777777" w:rsidR="00A04A28" w:rsidRPr="00BC391B" w:rsidRDefault="00A04A28" w:rsidP="00A04A28">
      <w:pPr>
        <w:rPr>
          <w:b/>
          <w:bCs/>
          <w:i/>
          <w:iCs/>
          <w:u w:val="single"/>
        </w:rPr>
      </w:pPr>
      <w:r w:rsidRPr="00BC391B">
        <w:rPr>
          <w:b/>
          <w:bCs/>
          <w:i/>
          <w:iCs/>
          <w:u w:val="single"/>
        </w:rPr>
        <w:lastRenderedPageBreak/>
        <w:t>References</w:t>
      </w:r>
    </w:p>
    <w:p w14:paraId="619EB041" w14:textId="77777777" w:rsidR="00A04A28" w:rsidRPr="00AD5DEF" w:rsidRDefault="00A04A28" w:rsidP="00A04A28">
      <w:pPr>
        <w:rPr>
          <w:rFonts w:ascii="Source Sans Pro" w:hAnsi="Source Sans Pro"/>
          <w:color w:val="006FB7"/>
          <w:sz w:val="26"/>
          <w:szCs w:val="26"/>
          <w:u w:val="single"/>
          <w:bdr w:val="none" w:sz="0" w:space="0" w:color="auto" w:frame="1"/>
          <w:shd w:val="clear" w:color="auto" w:fill="FFFFFF"/>
        </w:rPr>
      </w:pPr>
      <w:r>
        <w:t xml:space="preserve">Bates, S, Goodwin, M, McKay, S. (2017) ‘Do UK MPs engage more with Select Committees since the Wright Reforms? An Interrupted Time Series Analysis, 1979-2016’ Parliamentary Affairs, Vol. 70(4). Doi: </w:t>
      </w:r>
      <w:hyperlink r:id="rId4" w:history="1">
        <w:r w:rsidRPr="004F6E22">
          <w:rPr>
            <w:rStyle w:val="Hyperlink"/>
            <w:rFonts w:asciiTheme="majorHAnsi" w:hAnsiTheme="majorHAnsi"/>
            <w:color w:val="000000" w:themeColor="text1"/>
            <w:bdr w:val="none" w:sz="0" w:space="0" w:color="auto" w:frame="1"/>
            <w:shd w:val="clear" w:color="auto" w:fill="FFFFFF"/>
          </w:rPr>
          <w:t>https://doi.org/10.1093/pa/gsx007</w:t>
        </w:r>
      </w:hyperlink>
    </w:p>
    <w:p w14:paraId="1FDC952B" w14:textId="77777777" w:rsidR="00A04A28" w:rsidRDefault="00A04A28" w:rsidP="00A04A28">
      <w:pPr>
        <w:rPr>
          <w:lang w:val="en-US"/>
        </w:rPr>
      </w:pPr>
      <w:r>
        <w:rPr>
          <w:lang w:val="en-US"/>
        </w:rPr>
        <w:t xml:space="preserve">Bevan, S and John, P. (2016) ‘Policy Representation by Party Leaders and Followers: What Drives UK Prime Minister’s Questions?’, </w:t>
      </w:r>
      <w:r w:rsidRPr="00440A77">
        <w:rPr>
          <w:i/>
          <w:iCs/>
          <w:lang w:val="en-US"/>
        </w:rPr>
        <w:t>Government and Opposition</w:t>
      </w:r>
      <w:r>
        <w:rPr>
          <w:lang w:val="en-US"/>
        </w:rPr>
        <w:t>, Vol.51, No.1, pp. 59-83. Doi: 10.1017/gov.2015.16</w:t>
      </w:r>
    </w:p>
    <w:p w14:paraId="6C534725" w14:textId="77777777" w:rsidR="00A04A28" w:rsidRDefault="00A04A28" w:rsidP="00A04A28">
      <w:pPr>
        <w:rPr>
          <w:lang w:val="en-US"/>
        </w:rPr>
      </w:pPr>
      <w:r>
        <w:rPr>
          <w:lang w:val="en-US"/>
        </w:rPr>
        <w:t xml:space="preserve">Bull, P and Wells, P. (2011) ‘Adversarial discourse in Prime Minister’s Questions’ Journal of Language and social Psychology, vol. 31(1). Doi: </w:t>
      </w:r>
      <w:hyperlink r:id="rId5" w:history="1">
        <w:r w:rsidRPr="001B1212">
          <w:rPr>
            <w:rStyle w:val="Hyperlink"/>
            <w:lang w:val="en-US"/>
          </w:rPr>
          <w:t>https://doi-org.ezproxy.uwtsd.ac.uk/10</w:t>
        </w:r>
      </w:hyperlink>
    </w:p>
    <w:p w14:paraId="51DD3CF1" w14:textId="77777777" w:rsidR="00A04A28" w:rsidRDefault="00A04A28" w:rsidP="00A04A28">
      <w:r>
        <w:t xml:space="preserve">Cabinet Office (2014). </w:t>
      </w:r>
      <w:r w:rsidRPr="00DE6E71">
        <w:rPr>
          <w:i/>
          <w:iCs/>
        </w:rPr>
        <w:t xml:space="preserve">Giving Evidence to Select </w:t>
      </w:r>
      <w:proofErr w:type="gramStart"/>
      <w:r w:rsidRPr="00DE6E71">
        <w:rPr>
          <w:i/>
          <w:iCs/>
        </w:rPr>
        <w:t>Committees;</w:t>
      </w:r>
      <w:proofErr w:type="gramEnd"/>
      <w:r w:rsidRPr="00DE6E71">
        <w:rPr>
          <w:i/>
          <w:iCs/>
        </w:rPr>
        <w:t xml:space="preserve"> Guidance for civil servants</w:t>
      </w:r>
      <w:r>
        <w:t xml:space="preserve">. Available at: </w:t>
      </w:r>
      <w:hyperlink r:id="rId6" w:history="1">
        <w:r w:rsidRPr="00C1332E">
          <w:rPr>
            <w:rStyle w:val="Hyperlink"/>
          </w:rPr>
          <w:t>https://assets.publishing.service.gov.uk/media/5a7ea981ed915d74e6225ad7/Osmotherly_Rules_October_2014.pdf</w:t>
        </w:r>
      </w:hyperlink>
      <w:r>
        <w:t xml:space="preserve"> (accessed 01/03/24)</w:t>
      </w:r>
    </w:p>
    <w:p w14:paraId="2F77D5F9" w14:textId="77777777" w:rsidR="00A04A28" w:rsidRPr="004A50A3" w:rsidRDefault="00A04A28" w:rsidP="00A04A28">
      <w:pPr>
        <w:rPr>
          <w:i/>
          <w:iCs/>
        </w:rPr>
      </w:pPr>
      <w:r>
        <w:t xml:space="preserve">Courts and Tribunals Judiciary (2024). </w:t>
      </w:r>
      <w:r w:rsidRPr="003F4321">
        <w:rPr>
          <w:i/>
          <w:iCs/>
        </w:rPr>
        <w:t>Judicial Review</w:t>
      </w:r>
      <w:r>
        <w:rPr>
          <w:i/>
          <w:iCs/>
        </w:rPr>
        <w:t xml:space="preserve">. Available at: </w:t>
      </w:r>
      <w:hyperlink r:id="rId7" w:history="1">
        <w:r w:rsidRPr="00E503E4">
          <w:rPr>
            <w:rStyle w:val="Hyperlink"/>
            <w:i/>
            <w:iCs/>
          </w:rPr>
          <w:t>https://www.judiciary.uk/how-the-law-works/judicial-review/</w:t>
        </w:r>
      </w:hyperlink>
      <w:r>
        <w:rPr>
          <w:i/>
          <w:iCs/>
        </w:rPr>
        <w:t xml:space="preserve"> (accessed: 06/03/24)</w:t>
      </w:r>
    </w:p>
    <w:p w14:paraId="235884EE" w14:textId="77777777" w:rsidR="00A04A28" w:rsidRDefault="00A04A28" w:rsidP="00A04A28">
      <w:pPr>
        <w:rPr>
          <w:rStyle w:val="Hyperlink"/>
        </w:rPr>
      </w:pPr>
      <w:r>
        <w:rPr>
          <w:lang w:val="en-US"/>
        </w:rPr>
        <w:t xml:space="preserve">Drewry, G. (2005) ‘The Complementarity of Audit and Judicial Review: the ‘homes for votes’ Scandal in the UK’ </w:t>
      </w:r>
      <w:r w:rsidRPr="00120F80">
        <w:rPr>
          <w:i/>
          <w:iCs/>
          <w:lang w:val="en-US"/>
        </w:rPr>
        <w:t>International Review of Administrative Sciences</w:t>
      </w:r>
      <w:r>
        <w:rPr>
          <w:lang w:val="en-US"/>
        </w:rPr>
        <w:t xml:space="preserve">, vol.71(3). DOI: </w:t>
      </w:r>
      <w:hyperlink r:id="rId8" w:history="1">
        <w:r>
          <w:rPr>
            <w:rStyle w:val="Hyperlink"/>
          </w:rPr>
          <w:t>https://doi-org.ezproxy.uwtsd.ac.uk/10.1177/0020852305056808</w:t>
        </w:r>
      </w:hyperlink>
    </w:p>
    <w:p w14:paraId="15F05F47" w14:textId="77777777" w:rsidR="00A04A28" w:rsidRDefault="00A04A28" w:rsidP="00A04A28">
      <w:r>
        <w:t xml:space="preserve">Geddes, M. (2019) ‘The webs of belief around ‘evidence’ in legislatures: The case of select committees in the UK House of Commons’ </w:t>
      </w:r>
      <w:r w:rsidRPr="00210E1B">
        <w:rPr>
          <w:i/>
          <w:iCs/>
        </w:rPr>
        <w:t>Public Administration</w:t>
      </w:r>
      <w:r>
        <w:t>. Doi: 10.1111/padm.12687</w:t>
      </w:r>
    </w:p>
    <w:p w14:paraId="4183DED7" w14:textId="77777777" w:rsidR="00A04A28" w:rsidRDefault="00A04A28" w:rsidP="00A04A28">
      <w:proofErr w:type="spellStart"/>
      <w:r>
        <w:t>Goet</w:t>
      </w:r>
      <w:proofErr w:type="spellEnd"/>
      <w:r>
        <w:t>, N.D. (2021) ‘The Politics of Procedural Choice: Regulating Legislative Debate in the UK House of Commons, 1811-2015’, British Journal of Political Science, Vol.51(2). Doi: 10.1017/S00071234190001888</w:t>
      </w:r>
    </w:p>
    <w:p w14:paraId="7B08B2D9" w14:textId="77777777" w:rsidR="00A04A28" w:rsidRDefault="00A04A28" w:rsidP="00A04A28">
      <w:pPr>
        <w:rPr>
          <w:rStyle w:val="Hyperlink"/>
          <w:color w:val="000000" w:themeColor="text1"/>
          <w:u w:val="none"/>
        </w:rPr>
      </w:pPr>
      <w:r w:rsidRPr="007E3CEF">
        <w:rPr>
          <w:rStyle w:val="Hyperlink"/>
          <w:color w:val="000000" w:themeColor="text1"/>
          <w:u w:val="none"/>
        </w:rPr>
        <w:t>Hamilton, A, Jay, J, Maddison, J</w:t>
      </w:r>
      <w:r>
        <w:rPr>
          <w:rStyle w:val="Hyperlink"/>
          <w:color w:val="000000" w:themeColor="text1"/>
          <w:u w:val="none"/>
        </w:rPr>
        <w:t xml:space="preserve">. (2009) </w:t>
      </w:r>
      <w:r w:rsidRPr="007729FA">
        <w:rPr>
          <w:rStyle w:val="Hyperlink"/>
          <w:i/>
          <w:iCs/>
          <w:color w:val="000000" w:themeColor="text1"/>
          <w:u w:val="none"/>
        </w:rPr>
        <w:t>The Federalist Papers</w:t>
      </w:r>
      <w:r>
        <w:rPr>
          <w:rStyle w:val="Hyperlink"/>
          <w:color w:val="000000" w:themeColor="text1"/>
          <w:u w:val="none"/>
        </w:rPr>
        <w:t>. New Haven and London: Yale University Publishing</w:t>
      </w:r>
    </w:p>
    <w:p w14:paraId="17C21962" w14:textId="77777777" w:rsidR="00A04A28" w:rsidRDefault="00A04A28" w:rsidP="00A04A28">
      <w:r>
        <w:t xml:space="preserve">Iyer, Venkat. (2018) ‘Journal of International and Comparative Law’, Separation of Powers: The UK Experience, 5(2), pp. 507 – 527. Available at: </w:t>
      </w:r>
      <w:hyperlink r:id="rId9" w:history="1">
        <w:r w:rsidRPr="003356CC">
          <w:rPr>
            <w:rStyle w:val="Hyperlink"/>
          </w:rPr>
          <w:t>https://www.proquest.com/docview/2215488197/abstract/5776CC5EB864195PQ/1?accountid=130472&amp;sourcetype=Scholarly%20Journals</w:t>
        </w:r>
      </w:hyperlink>
      <w:r>
        <w:t xml:space="preserve"> (accessed 27/2/24)</w:t>
      </w:r>
    </w:p>
    <w:p w14:paraId="0C548378" w14:textId="77777777" w:rsidR="00A04A28" w:rsidRDefault="00A04A28" w:rsidP="00A04A28">
      <w:r>
        <w:t xml:space="preserve">Osborne, T. (2023) ‘The European Legacy: Toward New Paradigms’, </w:t>
      </w:r>
      <w:r w:rsidRPr="00E4562E">
        <w:rPr>
          <w:i/>
          <w:iCs/>
        </w:rPr>
        <w:t>Moderation as Government: Montesquieu and the Divisibility of Power</w:t>
      </w:r>
      <w:r>
        <w:t xml:space="preserve">, 28(3-4), pp. 313-329. Doi: </w:t>
      </w:r>
      <w:hyperlink r:id="rId10" w:history="1">
        <w:r w:rsidRPr="001B1212">
          <w:rPr>
            <w:rStyle w:val="Hyperlink"/>
          </w:rPr>
          <w:t>https://doi-org.ezproxy.uwtsd.ac.uk/10.1080/10848770.2023.2172780</w:t>
        </w:r>
      </w:hyperlink>
    </w:p>
    <w:p w14:paraId="21445548" w14:textId="77777777" w:rsidR="00A04A28" w:rsidRDefault="00A04A28" w:rsidP="00A04A28">
      <w:r>
        <w:t xml:space="preserve">Rose-Ackerman, S. (2021) </w:t>
      </w:r>
      <w:r w:rsidRPr="00604C2B">
        <w:rPr>
          <w:i/>
          <w:iCs/>
        </w:rPr>
        <w:t xml:space="preserve">Democracy and Executive Power: Policymaking Accountability in the US, the UK, </w:t>
      </w:r>
      <w:proofErr w:type="gramStart"/>
      <w:r w:rsidRPr="00604C2B">
        <w:rPr>
          <w:i/>
          <w:iCs/>
        </w:rPr>
        <w:t>Germany</w:t>
      </w:r>
      <w:proofErr w:type="gramEnd"/>
      <w:r w:rsidRPr="00604C2B">
        <w:rPr>
          <w:i/>
          <w:iCs/>
        </w:rPr>
        <w:t xml:space="preserve"> and France</w:t>
      </w:r>
      <w:r>
        <w:rPr>
          <w:i/>
          <w:iCs/>
        </w:rPr>
        <w:t xml:space="preserve">. </w:t>
      </w:r>
      <w:r w:rsidRPr="00BE0C28">
        <w:t>Yale University Press</w:t>
      </w:r>
      <w:r>
        <w:t xml:space="preserve">. DOI: </w:t>
      </w:r>
      <w:hyperlink r:id="rId11" w:history="1">
        <w:r w:rsidRPr="001B1212">
          <w:rPr>
            <w:rStyle w:val="Hyperlink"/>
          </w:rPr>
          <w:t>https://doi-org.ezproxy.uwtsd.ac.uk/10.2307/j.ctv1z9n1kq.11</w:t>
        </w:r>
      </w:hyperlink>
    </w:p>
    <w:p w14:paraId="558877F5" w14:textId="77777777" w:rsidR="00A04A28" w:rsidRDefault="00A04A28" w:rsidP="00A04A28">
      <w:pPr>
        <w:rPr>
          <w:rStyle w:val="Hyperlink"/>
        </w:rPr>
      </w:pPr>
      <w:r>
        <w:t xml:space="preserve">Salmond, R. (2014) ‘Parliamentary Question Time: How Legislative Accountability Mechanisms Affect Mass Political Engagement’ </w:t>
      </w:r>
      <w:r w:rsidRPr="00C67C22">
        <w:rPr>
          <w:i/>
          <w:iCs/>
        </w:rPr>
        <w:t>The Journal of Legislative Studies</w:t>
      </w:r>
      <w:r>
        <w:t xml:space="preserve">, Vol. 20(3). Doi: </w:t>
      </w:r>
      <w:hyperlink r:id="rId12" w:history="1">
        <w:r w:rsidRPr="00C1332E">
          <w:rPr>
            <w:rStyle w:val="Hyperlink"/>
          </w:rPr>
          <w:t>https://doi-org.ezproxy.uwtsd.ac.uk/10.1080/13572334.2014.895121</w:t>
        </w:r>
      </w:hyperlink>
    </w:p>
    <w:p w14:paraId="6F6ED2CF" w14:textId="77777777" w:rsidR="00A04A28" w:rsidRDefault="00A04A28" w:rsidP="00A04A28">
      <w:r>
        <w:lastRenderedPageBreak/>
        <w:t xml:space="preserve">The Public Administration Select Committee (2009) </w:t>
      </w:r>
      <w:r w:rsidRPr="00A66BD8">
        <w:rPr>
          <w:i/>
          <w:iCs/>
        </w:rPr>
        <w:t>Good Government</w:t>
      </w:r>
      <w:r>
        <w:rPr>
          <w:i/>
          <w:iCs/>
        </w:rPr>
        <w:t>.:</w:t>
      </w:r>
      <w:r w:rsidRPr="00972776">
        <w:t xml:space="preserve"> Available at</w:t>
      </w:r>
      <w:r>
        <w:t xml:space="preserve">: </w:t>
      </w:r>
      <w:hyperlink r:id="rId13" w:history="1">
        <w:r w:rsidRPr="007E363A">
          <w:rPr>
            <w:rStyle w:val="Hyperlink"/>
          </w:rPr>
          <w:t>https://publications.parliament.uk/pa/cm200809/cmselect/cmpubadm/97/97i.pdf</w:t>
        </w:r>
      </w:hyperlink>
      <w:r>
        <w:t xml:space="preserve"> (Accessed 3/3/2024)</w:t>
      </w:r>
    </w:p>
    <w:p w14:paraId="099A431E" w14:textId="77777777" w:rsidR="00A04A28" w:rsidRDefault="00A04A28" w:rsidP="00A04A28">
      <w:pPr>
        <w:spacing w:before="240"/>
      </w:pPr>
      <w:r>
        <w:t xml:space="preserve">UK Parliament. (2023) Standing Orders of the House of Commons (Public Business). Available at: </w:t>
      </w:r>
      <w:hyperlink r:id="rId14" w:anchor="_idTextAnchor122" w:history="1">
        <w:r w:rsidRPr="0068647F">
          <w:rPr>
            <w:rStyle w:val="Hyperlink"/>
          </w:rPr>
          <w:t>https://publications.parliament.uk/pa/cm5803/cmstords/so-1932-23102023/so-orders.html#_idTextAnchor122</w:t>
        </w:r>
      </w:hyperlink>
      <w:r>
        <w:t xml:space="preserve"> (accessed 03/03/24)</w:t>
      </w:r>
    </w:p>
    <w:p w14:paraId="7E0D895F" w14:textId="77777777" w:rsidR="00A04A28" w:rsidRDefault="00A04A28" w:rsidP="00A04A28">
      <w:r>
        <w:t xml:space="preserve">Watts, D (2007). </w:t>
      </w:r>
      <w:r w:rsidRPr="004B3D5D">
        <w:rPr>
          <w:i/>
          <w:iCs/>
        </w:rPr>
        <w:t>A Glossary of UK Government and Politics. P.105</w:t>
      </w:r>
      <w:r>
        <w:t>. Edinburgh; Edinburgh University Press</w:t>
      </w:r>
    </w:p>
    <w:p w14:paraId="7A48FA05" w14:textId="45296053" w:rsidR="00A04A28" w:rsidRDefault="00A04A28" w:rsidP="000B3F63"/>
    <w:p w14:paraId="2EF3772B" w14:textId="0DD3687C" w:rsidR="00904D9E" w:rsidRDefault="00904D9E" w:rsidP="000B3F63">
      <w:r>
        <w:t>Gabrial Harris</w:t>
      </w:r>
    </w:p>
    <w:p w14:paraId="20AAD996" w14:textId="02080409" w:rsidR="00904D9E" w:rsidRDefault="00904D9E" w:rsidP="000B3F63">
      <w:r>
        <w:t>2305593</w:t>
      </w:r>
    </w:p>
    <w:p w14:paraId="0AA6BB9C" w14:textId="28484F32" w:rsidR="00174DAB" w:rsidRDefault="00174DAB" w:rsidP="000B3F63"/>
    <w:p w14:paraId="32BE16F2" w14:textId="3978010D" w:rsidR="00852D30" w:rsidRPr="00627E4C" w:rsidRDefault="00174DAB">
      <w:pPr>
        <w:rPr>
          <w:color w:val="000000" w:themeColor="text1"/>
        </w:rPr>
      </w:pPr>
      <w:r>
        <w:rPr>
          <w:color w:val="000000" w:themeColor="text1"/>
        </w:rPr>
        <w:t xml:space="preserve"> </w:t>
      </w:r>
    </w:p>
    <w:p w14:paraId="7BB166F5" w14:textId="10BBB9F2" w:rsidR="00852D30" w:rsidRPr="00627E4C" w:rsidRDefault="00852D30">
      <w:pPr>
        <w:rPr>
          <w:color w:val="000000" w:themeColor="text1"/>
        </w:rPr>
      </w:pPr>
    </w:p>
    <w:p w14:paraId="274D5B99" w14:textId="77777777" w:rsidR="006E7A04" w:rsidRPr="00627E4C" w:rsidRDefault="006E7A04">
      <w:pPr>
        <w:rPr>
          <w:color w:val="000000" w:themeColor="text1"/>
        </w:rPr>
      </w:pPr>
    </w:p>
    <w:p w14:paraId="204D448B" w14:textId="6972D207" w:rsidR="006E7A04" w:rsidRDefault="006E7A04"/>
    <w:sectPr w:rsidR="006E7A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84817"/>
    <w:rsid w:val="0006463B"/>
    <w:rsid w:val="000712AA"/>
    <w:rsid w:val="000B3F63"/>
    <w:rsid w:val="00114B19"/>
    <w:rsid w:val="00174DAB"/>
    <w:rsid w:val="00175BEC"/>
    <w:rsid w:val="00280FFA"/>
    <w:rsid w:val="002C3B88"/>
    <w:rsid w:val="002C721A"/>
    <w:rsid w:val="00346D94"/>
    <w:rsid w:val="003627AF"/>
    <w:rsid w:val="005874F2"/>
    <w:rsid w:val="005F60C5"/>
    <w:rsid w:val="00627E4C"/>
    <w:rsid w:val="00644D91"/>
    <w:rsid w:val="006D4435"/>
    <w:rsid w:val="006E7A04"/>
    <w:rsid w:val="00852D30"/>
    <w:rsid w:val="008B2B89"/>
    <w:rsid w:val="008C685B"/>
    <w:rsid w:val="008C71AC"/>
    <w:rsid w:val="00904D9E"/>
    <w:rsid w:val="00A04A28"/>
    <w:rsid w:val="00A24C1E"/>
    <w:rsid w:val="00A50A58"/>
    <w:rsid w:val="00C273A9"/>
    <w:rsid w:val="00C60752"/>
    <w:rsid w:val="00C84817"/>
    <w:rsid w:val="00C85290"/>
    <w:rsid w:val="00CF2555"/>
    <w:rsid w:val="00DE72B6"/>
    <w:rsid w:val="00E0022F"/>
    <w:rsid w:val="00E533AC"/>
    <w:rsid w:val="00F34880"/>
    <w:rsid w:val="00FD0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85F4D"/>
  <w15:chartTrackingRefBased/>
  <w15:docId w15:val="{2391542A-CC40-4D91-8FC0-EDE2E6452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48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48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48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48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48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48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48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48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48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8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48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48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48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48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48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48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48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4817"/>
    <w:rPr>
      <w:rFonts w:eastAsiaTheme="majorEastAsia" w:cstheme="majorBidi"/>
      <w:color w:val="272727" w:themeColor="text1" w:themeTint="D8"/>
    </w:rPr>
  </w:style>
  <w:style w:type="paragraph" w:styleId="Title">
    <w:name w:val="Title"/>
    <w:basedOn w:val="Normal"/>
    <w:next w:val="Normal"/>
    <w:link w:val="TitleChar"/>
    <w:uiPriority w:val="10"/>
    <w:qFormat/>
    <w:rsid w:val="00C848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48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48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48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4817"/>
    <w:pPr>
      <w:spacing w:before="160"/>
      <w:jc w:val="center"/>
    </w:pPr>
    <w:rPr>
      <w:i/>
      <w:iCs/>
      <w:color w:val="404040" w:themeColor="text1" w:themeTint="BF"/>
    </w:rPr>
  </w:style>
  <w:style w:type="character" w:customStyle="1" w:styleId="QuoteChar">
    <w:name w:val="Quote Char"/>
    <w:basedOn w:val="DefaultParagraphFont"/>
    <w:link w:val="Quote"/>
    <w:uiPriority w:val="29"/>
    <w:rsid w:val="00C84817"/>
    <w:rPr>
      <w:i/>
      <w:iCs/>
      <w:color w:val="404040" w:themeColor="text1" w:themeTint="BF"/>
    </w:rPr>
  </w:style>
  <w:style w:type="paragraph" w:styleId="ListParagraph">
    <w:name w:val="List Paragraph"/>
    <w:basedOn w:val="Normal"/>
    <w:uiPriority w:val="34"/>
    <w:qFormat/>
    <w:rsid w:val="00C84817"/>
    <w:pPr>
      <w:ind w:left="720"/>
      <w:contextualSpacing/>
    </w:pPr>
  </w:style>
  <w:style w:type="character" w:styleId="IntenseEmphasis">
    <w:name w:val="Intense Emphasis"/>
    <w:basedOn w:val="DefaultParagraphFont"/>
    <w:uiPriority w:val="21"/>
    <w:qFormat/>
    <w:rsid w:val="00C84817"/>
    <w:rPr>
      <w:i/>
      <w:iCs/>
      <w:color w:val="0F4761" w:themeColor="accent1" w:themeShade="BF"/>
    </w:rPr>
  </w:style>
  <w:style w:type="paragraph" w:styleId="IntenseQuote">
    <w:name w:val="Intense Quote"/>
    <w:basedOn w:val="Normal"/>
    <w:next w:val="Normal"/>
    <w:link w:val="IntenseQuoteChar"/>
    <w:uiPriority w:val="30"/>
    <w:qFormat/>
    <w:rsid w:val="00C848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4817"/>
    <w:rPr>
      <w:i/>
      <w:iCs/>
      <w:color w:val="0F4761" w:themeColor="accent1" w:themeShade="BF"/>
    </w:rPr>
  </w:style>
  <w:style w:type="character" w:styleId="IntenseReference">
    <w:name w:val="Intense Reference"/>
    <w:basedOn w:val="DefaultParagraphFont"/>
    <w:uiPriority w:val="32"/>
    <w:qFormat/>
    <w:rsid w:val="00C84817"/>
    <w:rPr>
      <w:b/>
      <w:bCs/>
      <w:smallCaps/>
      <w:color w:val="0F4761" w:themeColor="accent1" w:themeShade="BF"/>
      <w:spacing w:val="5"/>
    </w:rPr>
  </w:style>
  <w:style w:type="character" w:styleId="Hyperlink">
    <w:name w:val="Hyperlink"/>
    <w:basedOn w:val="DefaultParagraphFont"/>
    <w:uiPriority w:val="99"/>
    <w:unhideWhenUsed/>
    <w:rsid w:val="00A04A2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177/0020852305056808" TargetMode="External"/><Relationship Id="rId13" Type="http://schemas.openxmlformats.org/officeDocument/2006/relationships/hyperlink" Target="https://publications.parliament.uk/pa/cm200809/cmselect/cmpubadm/97/97i.pdf" TargetMode="External"/><Relationship Id="rId3" Type="http://schemas.openxmlformats.org/officeDocument/2006/relationships/webSettings" Target="webSettings.xml"/><Relationship Id="rId7" Type="http://schemas.openxmlformats.org/officeDocument/2006/relationships/hyperlink" Target="https://www.judiciary.uk/how-the-law-works/judicial-review/" TargetMode="External"/><Relationship Id="rId12" Type="http://schemas.openxmlformats.org/officeDocument/2006/relationships/hyperlink" Target="https://doi-org.ezproxy.uwtsd.ac.uk/10.1080/13572334.2014.895121"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ssets.publishing.service.gov.uk/media/5a7ea981ed915d74e6225ad7/Osmotherly_Rules_October_2014.pdf" TargetMode="External"/><Relationship Id="rId11" Type="http://schemas.openxmlformats.org/officeDocument/2006/relationships/hyperlink" Target="https://doi-org.ezproxy.uwtsd.ac.uk/10.2307/j.ctv1z9n1kq.11" TargetMode="External"/><Relationship Id="rId5" Type="http://schemas.openxmlformats.org/officeDocument/2006/relationships/hyperlink" Target="https://doi-org.ezproxy.uwtsd.ac.uk/10" TargetMode="External"/><Relationship Id="rId15" Type="http://schemas.openxmlformats.org/officeDocument/2006/relationships/fontTable" Target="fontTable.xml"/><Relationship Id="rId10" Type="http://schemas.openxmlformats.org/officeDocument/2006/relationships/hyperlink" Target="https://doi-org.ezproxy.uwtsd.ac.uk/10.1080/10848770.2023.2172780" TargetMode="External"/><Relationship Id="rId4" Type="http://schemas.openxmlformats.org/officeDocument/2006/relationships/hyperlink" Target="https://doi.org/10.1093/pa/gsx007" TargetMode="External"/><Relationship Id="rId9" Type="http://schemas.openxmlformats.org/officeDocument/2006/relationships/hyperlink" Target="https://www.proquest.com/docview/2215488197/abstract/5776CC5EB864195PQ/1?accountid=130472&amp;sourcetype=Scholarly%20Journals" TargetMode="External"/><Relationship Id="rId14" Type="http://schemas.openxmlformats.org/officeDocument/2006/relationships/hyperlink" Target="https://publications.parliament.uk/pa/cm5803/cmstords/so-1932-23102023/so-ord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2382</Words>
  <Characters>13583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2</cp:revision>
  <dcterms:created xsi:type="dcterms:W3CDTF">2024-03-15T23:15:00Z</dcterms:created>
  <dcterms:modified xsi:type="dcterms:W3CDTF">2024-03-15T23:15:00Z</dcterms:modified>
</cp:coreProperties>
</file>