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A4E7B9" w14:textId="1B9F8198" w:rsidR="002B071C" w:rsidRPr="002B071C" w:rsidRDefault="002B071C" w:rsidP="002B071C">
      <w:pPr>
        <w:spacing w:after="100"/>
        <w:rPr>
          <w:rFonts w:ascii="Arial" w:hAnsi="Arial" w:cs="Arial"/>
          <w:b/>
          <w:bCs/>
          <w:sz w:val="28"/>
          <w:szCs w:val="28"/>
        </w:rPr>
      </w:pPr>
      <w:r w:rsidRPr="002B071C">
        <w:rPr>
          <w:rFonts w:ascii="Arial" w:hAnsi="Arial" w:cs="Arial"/>
          <w:b/>
          <w:bCs/>
          <w:sz w:val="28"/>
          <w:szCs w:val="28"/>
        </w:rPr>
        <w:t>International Business Communications</w:t>
      </w:r>
      <w:r w:rsidRPr="002B071C">
        <w:rPr>
          <w:rFonts w:ascii="Arial" w:hAnsi="Arial" w:cs="Arial"/>
          <w:b/>
          <w:bCs/>
          <w:sz w:val="28"/>
          <w:szCs w:val="28"/>
        </w:rPr>
        <w:t xml:space="preserve"> </w:t>
      </w:r>
      <w:r w:rsidRPr="002B071C">
        <w:rPr>
          <w:rFonts w:ascii="Arial" w:hAnsi="Arial" w:cs="Arial"/>
          <w:b/>
          <w:bCs/>
          <w:sz w:val="28"/>
          <w:szCs w:val="28"/>
        </w:rPr>
        <w:t>LCBB6023</w:t>
      </w:r>
    </w:p>
    <w:p w14:paraId="2C3DB720" w14:textId="4DD401F0" w:rsidR="002B071C" w:rsidRPr="002B071C" w:rsidRDefault="002B071C">
      <w:pPr>
        <w:spacing w:after="100"/>
        <w:rPr>
          <w:rFonts w:ascii="Arial" w:hAnsi="Arial" w:cs="Arial"/>
          <w:b/>
          <w:bCs/>
          <w:sz w:val="28"/>
          <w:szCs w:val="28"/>
        </w:rPr>
      </w:pPr>
      <w:r w:rsidRPr="002B071C">
        <w:rPr>
          <w:rFonts w:ascii="Arial" w:hAnsi="Arial" w:cs="Arial"/>
          <w:b/>
          <w:bCs/>
          <w:sz w:val="28"/>
          <w:szCs w:val="28"/>
        </w:rPr>
        <w:t xml:space="preserve">Component </w:t>
      </w:r>
      <w:r w:rsidRPr="002B071C">
        <w:rPr>
          <w:rFonts w:ascii="Arial" w:hAnsi="Arial" w:cs="Arial"/>
          <w:b/>
          <w:bCs/>
          <w:sz w:val="28"/>
          <w:szCs w:val="28"/>
        </w:rPr>
        <w:t>2 Esay</w:t>
      </w:r>
    </w:p>
    <w:p w14:paraId="7DC70D33" w14:textId="77777777" w:rsidR="002B071C" w:rsidRPr="002B071C" w:rsidRDefault="002B071C" w:rsidP="002B071C">
      <w:pPr>
        <w:spacing w:after="100"/>
        <w:rPr>
          <w:rFonts w:ascii="Arial" w:hAnsi="Arial" w:cs="Arial"/>
          <w:b/>
          <w:bCs/>
          <w:sz w:val="28"/>
          <w:szCs w:val="28"/>
        </w:rPr>
      </w:pPr>
      <w:r w:rsidRPr="002B071C">
        <w:rPr>
          <w:rFonts w:ascii="Arial" w:hAnsi="Arial" w:cs="Arial"/>
          <w:b/>
          <w:bCs/>
          <w:sz w:val="28"/>
          <w:szCs w:val="28"/>
        </w:rPr>
        <w:t>Lecturer: Dr Abdi Rahman</w:t>
      </w:r>
    </w:p>
    <w:p w14:paraId="18E85DCF" w14:textId="520CE31E" w:rsidR="002B071C" w:rsidRPr="002B071C" w:rsidRDefault="002B071C" w:rsidP="002B071C">
      <w:pPr>
        <w:spacing w:after="100"/>
        <w:rPr>
          <w:rFonts w:ascii="Arial" w:hAnsi="Arial" w:cs="Arial"/>
          <w:b/>
          <w:bCs/>
          <w:sz w:val="28"/>
          <w:szCs w:val="28"/>
        </w:rPr>
      </w:pPr>
      <w:r w:rsidRPr="002B071C">
        <w:rPr>
          <w:rFonts w:ascii="Arial" w:hAnsi="Arial" w:cs="Arial"/>
          <w:b/>
          <w:bCs/>
          <w:sz w:val="28"/>
          <w:szCs w:val="28"/>
          <w:lang w:val="fr-FR"/>
        </w:rPr>
        <w:t>Student: Daniela Muntean</w:t>
      </w:r>
      <w:r w:rsidRPr="002B071C">
        <w:rPr>
          <w:rFonts w:ascii="Arial" w:hAnsi="Arial" w:cs="Arial"/>
          <w:b/>
          <w:bCs/>
          <w:sz w:val="28"/>
          <w:szCs w:val="28"/>
          <w:lang w:val="fr-FR"/>
        </w:rPr>
        <w:t xml:space="preserve"> </w:t>
      </w:r>
      <w:r w:rsidRPr="002B071C">
        <w:rPr>
          <w:rFonts w:ascii="Arial" w:hAnsi="Arial" w:cs="Arial"/>
          <w:b/>
          <w:bCs/>
          <w:sz w:val="28"/>
          <w:szCs w:val="28"/>
          <w:lang w:val="fr-FR"/>
        </w:rPr>
        <w:t>2240458</w:t>
      </w:r>
    </w:p>
    <w:p w14:paraId="6F9CB6EF" w14:textId="77777777" w:rsidR="002B071C" w:rsidRPr="002B071C" w:rsidRDefault="002B071C">
      <w:pPr>
        <w:spacing w:after="100"/>
        <w:rPr>
          <w:rFonts w:ascii="Arial" w:hAnsi="Arial" w:cs="Arial"/>
          <w:b/>
          <w:bCs/>
          <w:sz w:val="28"/>
          <w:szCs w:val="28"/>
        </w:rPr>
      </w:pPr>
    </w:p>
    <w:p w14:paraId="065E44D5" w14:textId="400573F1" w:rsidR="00BB3F76" w:rsidRPr="002B071C" w:rsidRDefault="00000000">
      <w:pPr>
        <w:spacing w:after="100"/>
        <w:rPr>
          <w:rFonts w:ascii="Arial" w:hAnsi="Arial" w:cs="Arial"/>
          <w:sz w:val="28"/>
          <w:szCs w:val="28"/>
        </w:rPr>
      </w:pPr>
      <w:r w:rsidRPr="002B071C">
        <w:rPr>
          <w:rFonts w:ascii="Arial" w:hAnsi="Arial" w:cs="Arial"/>
          <w:b/>
          <w:bCs/>
          <w:sz w:val="28"/>
          <w:szCs w:val="28"/>
        </w:rPr>
        <w:t>Managing Cultural Differences and Communication Styles in Global Projects</w:t>
      </w:r>
    </w:p>
    <w:p w14:paraId="69836476" w14:textId="77777777" w:rsidR="00BB3F76" w:rsidRPr="002B071C" w:rsidRDefault="00000000">
      <w:pPr>
        <w:spacing w:after="400"/>
        <w:rPr>
          <w:rFonts w:ascii="Arial" w:hAnsi="Arial" w:cs="Arial"/>
          <w:sz w:val="24"/>
          <w:szCs w:val="24"/>
        </w:rPr>
      </w:pPr>
      <w:r w:rsidRPr="002B071C">
        <w:rPr>
          <w:rFonts w:ascii="Arial" w:hAnsi="Arial" w:cs="Arial"/>
          <w:i/>
          <w:iCs/>
          <w:color w:val="444444"/>
          <w:sz w:val="24"/>
          <w:szCs w:val="24"/>
        </w:rPr>
        <w:t>A UK–Japan Cooperation Case Study within the AstraZeneca–Daiichi Sankyo Partnership</w:t>
      </w:r>
    </w:p>
    <w:p w14:paraId="70B1EED6" w14:textId="77777777" w:rsidR="00BB3F76" w:rsidRPr="002B071C" w:rsidRDefault="00000000">
      <w:pPr>
        <w:spacing w:after="200"/>
        <w:rPr>
          <w:rFonts w:ascii="Arial" w:hAnsi="Arial" w:cs="Arial"/>
        </w:rPr>
      </w:pPr>
      <w:r w:rsidRPr="002B071C">
        <w:rPr>
          <w:rFonts w:ascii="Arial" w:hAnsi="Arial" w:cs="Arial"/>
          <w:b/>
          <w:bCs/>
          <w:sz w:val="24"/>
          <w:szCs w:val="24"/>
        </w:rPr>
        <w:t>Table of Contents</w:t>
      </w:r>
    </w:p>
    <w:p w14:paraId="75247E20" w14:textId="77777777" w:rsidR="00BB3F76" w:rsidRPr="002B071C" w:rsidRDefault="00000000">
      <w:pPr>
        <w:tabs>
          <w:tab w:val="right" w:leader="dot" w:pos="9026"/>
        </w:tabs>
        <w:spacing w:after="100"/>
        <w:rPr>
          <w:rFonts w:ascii="Arial" w:hAnsi="Arial" w:cs="Arial"/>
          <w:sz w:val="24"/>
          <w:szCs w:val="24"/>
        </w:rPr>
      </w:pPr>
      <w:r w:rsidRPr="002B071C">
        <w:rPr>
          <w:rFonts w:ascii="Arial" w:hAnsi="Arial" w:cs="Arial"/>
          <w:sz w:val="24"/>
          <w:szCs w:val="24"/>
        </w:rPr>
        <w:t>1. Introduction and Market Context</w:t>
      </w:r>
      <w:r w:rsidRPr="002B071C">
        <w:rPr>
          <w:rFonts w:ascii="Arial" w:hAnsi="Arial" w:cs="Arial"/>
          <w:sz w:val="24"/>
          <w:szCs w:val="24"/>
        </w:rPr>
        <w:tab/>
        <w:t>2</w:t>
      </w:r>
    </w:p>
    <w:p w14:paraId="14079188"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1.1 Company Overview: AstraZeneca and Daiichi Sankyo</w:t>
      </w:r>
      <w:r w:rsidRPr="002B071C">
        <w:rPr>
          <w:rFonts w:ascii="Arial" w:hAnsi="Arial" w:cs="Arial"/>
          <w:sz w:val="24"/>
          <w:szCs w:val="24"/>
        </w:rPr>
        <w:tab/>
        <w:t>2</w:t>
      </w:r>
    </w:p>
    <w:p w14:paraId="0166C449"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1.2 The Importance of Cultural Context in Pharmaceutical Mergers and Partnerships</w:t>
      </w:r>
      <w:r w:rsidRPr="002B071C">
        <w:rPr>
          <w:rFonts w:ascii="Arial" w:hAnsi="Arial" w:cs="Arial"/>
          <w:sz w:val="24"/>
          <w:szCs w:val="24"/>
        </w:rPr>
        <w:tab/>
        <w:t>2</w:t>
      </w:r>
    </w:p>
    <w:p w14:paraId="5E84C8A2" w14:textId="77777777" w:rsidR="00BB3F76" w:rsidRPr="002B071C" w:rsidRDefault="00000000">
      <w:pPr>
        <w:tabs>
          <w:tab w:val="right" w:leader="dot" w:pos="9026"/>
        </w:tabs>
        <w:spacing w:after="100"/>
        <w:rPr>
          <w:rFonts w:ascii="Arial" w:hAnsi="Arial" w:cs="Arial"/>
          <w:sz w:val="24"/>
          <w:szCs w:val="24"/>
        </w:rPr>
      </w:pPr>
      <w:r w:rsidRPr="002B071C">
        <w:rPr>
          <w:rFonts w:ascii="Arial" w:hAnsi="Arial" w:cs="Arial"/>
          <w:sz w:val="24"/>
          <w:szCs w:val="24"/>
        </w:rPr>
        <w:t>2. Theoretical Evaluation of Cultural Differences</w:t>
      </w:r>
      <w:r w:rsidRPr="002B071C">
        <w:rPr>
          <w:rFonts w:ascii="Arial" w:hAnsi="Arial" w:cs="Arial"/>
          <w:sz w:val="24"/>
          <w:szCs w:val="24"/>
        </w:rPr>
        <w:tab/>
        <w:t>2</w:t>
      </w:r>
    </w:p>
    <w:p w14:paraId="2711DDD3"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2.1 Geert Hofstede's Cultural Dimensions Theory</w:t>
      </w:r>
      <w:r w:rsidRPr="002B071C">
        <w:rPr>
          <w:rFonts w:ascii="Arial" w:hAnsi="Arial" w:cs="Arial"/>
          <w:sz w:val="24"/>
          <w:szCs w:val="24"/>
        </w:rPr>
        <w:tab/>
        <w:t>2</w:t>
      </w:r>
    </w:p>
    <w:p w14:paraId="7377A6F7"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2.2 The “Culture Map” Model (Erin Meyer) and Context Theory (Edward T. Hall)</w:t>
      </w:r>
      <w:r w:rsidRPr="002B071C">
        <w:rPr>
          <w:rFonts w:ascii="Arial" w:hAnsi="Arial" w:cs="Arial"/>
          <w:sz w:val="24"/>
          <w:szCs w:val="24"/>
        </w:rPr>
        <w:tab/>
        <w:t>3</w:t>
      </w:r>
    </w:p>
    <w:p w14:paraId="504D3E3A"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2.3 Trompenaars Model and GLOBE Research</w:t>
      </w:r>
      <w:r w:rsidRPr="002B071C">
        <w:rPr>
          <w:rFonts w:ascii="Arial" w:hAnsi="Arial" w:cs="Arial"/>
          <w:sz w:val="24"/>
          <w:szCs w:val="24"/>
        </w:rPr>
        <w:tab/>
        <w:t>3</w:t>
      </w:r>
    </w:p>
    <w:p w14:paraId="3E591182" w14:textId="77777777" w:rsidR="00BB3F76" w:rsidRPr="002B071C" w:rsidRDefault="00000000">
      <w:pPr>
        <w:tabs>
          <w:tab w:val="right" w:leader="dot" w:pos="9026"/>
        </w:tabs>
        <w:spacing w:after="100"/>
        <w:rPr>
          <w:rFonts w:ascii="Arial" w:hAnsi="Arial" w:cs="Arial"/>
          <w:sz w:val="24"/>
          <w:szCs w:val="24"/>
        </w:rPr>
      </w:pPr>
      <w:r w:rsidRPr="002B071C">
        <w:rPr>
          <w:rFonts w:ascii="Arial" w:hAnsi="Arial" w:cs="Arial"/>
          <w:sz w:val="24"/>
          <w:szCs w:val="24"/>
        </w:rPr>
        <w:t>3. Analysis of Communication Styles and Sources of Misunderstanding</w:t>
      </w:r>
      <w:r w:rsidRPr="002B071C">
        <w:rPr>
          <w:rFonts w:ascii="Arial" w:hAnsi="Arial" w:cs="Arial"/>
          <w:sz w:val="24"/>
          <w:szCs w:val="24"/>
        </w:rPr>
        <w:tab/>
        <w:t>3</w:t>
      </w:r>
    </w:p>
    <w:p w14:paraId="7A018B47"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3.1 Direct vs. Indirect Communication and the Concept of “Nemawashi”</w:t>
      </w:r>
      <w:r w:rsidRPr="002B071C">
        <w:rPr>
          <w:rFonts w:ascii="Arial" w:hAnsi="Arial" w:cs="Arial"/>
          <w:sz w:val="24"/>
          <w:szCs w:val="24"/>
        </w:rPr>
        <w:tab/>
        <w:t>3</w:t>
      </w:r>
    </w:p>
    <w:p w14:paraId="284927F1"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3.2 Confronting Disagreement and Feedback Management</w:t>
      </w:r>
      <w:r w:rsidRPr="002B071C">
        <w:rPr>
          <w:rFonts w:ascii="Arial" w:hAnsi="Arial" w:cs="Arial"/>
          <w:sz w:val="24"/>
          <w:szCs w:val="24"/>
        </w:rPr>
        <w:tab/>
        <w:t>4</w:t>
      </w:r>
    </w:p>
    <w:p w14:paraId="198E19DA"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3.3 Hierarchical Structures and Decision-Making Process (Ringisho)</w:t>
      </w:r>
      <w:r w:rsidRPr="002B071C">
        <w:rPr>
          <w:rFonts w:ascii="Arial" w:hAnsi="Arial" w:cs="Arial"/>
          <w:sz w:val="24"/>
          <w:szCs w:val="24"/>
        </w:rPr>
        <w:tab/>
        <w:t>4</w:t>
      </w:r>
    </w:p>
    <w:p w14:paraId="7B8276BD" w14:textId="77777777" w:rsidR="00BB3F76" w:rsidRPr="002B071C" w:rsidRDefault="00000000">
      <w:pPr>
        <w:tabs>
          <w:tab w:val="right" w:leader="dot" w:pos="9026"/>
        </w:tabs>
        <w:spacing w:after="100"/>
        <w:rPr>
          <w:rFonts w:ascii="Arial" w:hAnsi="Arial" w:cs="Arial"/>
          <w:sz w:val="24"/>
          <w:szCs w:val="24"/>
        </w:rPr>
      </w:pPr>
      <w:r w:rsidRPr="002B071C">
        <w:rPr>
          <w:rFonts w:ascii="Arial" w:hAnsi="Arial" w:cs="Arial"/>
          <w:sz w:val="24"/>
          <w:szCs w:val="24"/>
        </w:rPr>
        <w:t>4. Project Management and Integration of Mixed Teams</w:t>
      </w:r>
      <w:r w:rsidRPr="002B071C">
        <w:rPr>
          <w:rFonts w:ascii="Arial" w:hAnsi="Arial" w:cs="Arial"/>
          <w:sz w:val="24"/>
          <w:szCs w:val="24"/>
        </w:rPr>
        <w:tab/>
        <w:t>4</w:t>
      </w:r>
    </w:p>
    <w:p w14:paraId="571239DA"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4.1 Application of PMBOK and Kerzner Principles in Multicultural Environments</w:t>
      </w:r>
      <w:r w:rsidRPr="002B071C">
        <w:rPr>
          <w:rFonts w:ascii="Arial" w:hAnsi="Arial" w:cs="Arial"/>
          <w:sz w:val="24"/>
          <w:szCs w:val="24"/>
        </w:rPr>
        <w:tab/>
        <w:t>4</w:t>
      </w:r>
    </w:p>
    <w:p w14:paraId="71425083" w14:textId="77777777" w:rsidR="00BB3F76" w:rsidRPr="002B071C" w:rsidRDefault="00000000">
      <w:pPr>
        <w:tabs>
          <w:tab w:val="right" w:leader="dot" w:pos="9026"/>
        </w:tabs>
        <w:spacing w:after="100"/>
        <w:ind w:left="300"/>
        <w:rPr>
          <w:rFonts w:ascii="Arial" w:hAnsi="Arial" w:cs="Arial"/>
          <w:sz w:val="24"/>
          <w:szCs w:val="24"/>
        </w:rPr>
      </w:pPr>
      <w:r w:rsidRPr="002B071C">
        <w:rPr>
          <w:rFonts w:ascii="Arial" w:hAnsi="Arial" w:cs="Arial"/>
          <w:sz w:val="24"/>
          <w:szCs w:val="24"/>
        </w:rPr>
        <w:t>4.2 Critique of Rigid Cultural Models and Managerial Flexibility</w:t>
      </w:r>
      <w:r w:rsidRPr="002B071C">
        <w:rPr>
          <w:rFonts w:ascii="Arial" w:hAnsi="Arial" w:cs="Arial"/>
          <w:sz w:val="24"/>
          <w:szCs w:val="24"/>
        </w:rPr>
        <w:tab/>
        <w:t>4</w:t>
      </w:r>
    </w:p>
    <w:p w14:paraId="18179625" w14:textId="77777777" w:rsidR="00BB3F76" w:rsidRPr="002B071C" w:rsidRDefault="00000000">
      <w:pPr>
        <w:tabs>
          <w:tab w:val="right" w:leader="dot" w:pos="9026"/>
        </w:tabs>
        <w:spacing w:after="100"/>
        <w:rPr>
          <w:rFonts w:ascii="Arial" w:hAnsi="Arial" w:cs="Arial"/>
          <w:sz w:val="24"/>
          <w:szCs w:val="24"/>
        </w:rPr>
      </w:pPr>
      <w:r w:rsidRPr="002B071C">
        <w:rPr>
          <w:rFonts w:ascii="Arial" w:hAnsi="Arial" w:cs="Arial"/>
          <w:sz w:val="24"/>
          <w:szCs w:val="24"/>
        </w:rPr>
        <w:t>5. Conclusions and Strategic Recommendations</w:t>
      </w:r>
      <w:r w:rsidRPr="002B071C">
        <w:rPr>
          <w:rFonts w:ascii="Arial" w:hAnsi="Arial" w:cs="Arial"/>
          <w:sz w:val="24"/>
          <w:szCs w:val="24"/>
        </w:rPr>
        <w:tab/>
        <w:t>5</w:t>
      </w:r>
    </w:p>
    <w:p w14:paraId="5BE7DA4A" w14:textId="519A44BC" w:rsidR="00BB3F76" w:rsidRPr="002B071C" w:rsidRDefault="00000000">
      <w:pPr>
        <w:tabs>
          <w:tab w:val="right" w:leader="dot" w:pos="9026"/>
        </w:tabs>
        <w:spacing w:after="100"/>
        <w:rPr>
          <w:rFonts w:ascii="Arial" w:hAnsi="Arial" w:cs="Arial"/>
          <w:sz w:val="24"/>
          <w:szCs w:val="24"/>
        </w:rPr>
      </w:pPr>
      <w:r w:rsidRPr="002B071C">
        <w:rPr>
          <w:rFonts w:ascii="Arial" w:hAnsi="Arial" w:cs="Arial"/>
          <w:sz w:val="24"/>
          <w:szCs w:val="24"/>
        </w:rPr>
        <w:t>6. References</w:t>
      </w:r>
      <w:r w:rsidRPr="002B071C">
        <w:rPr>
          <w:rFonts w:ascii="Arial" w:hAnsi="Arial" w:cs="Arial"/>
          <w:sz w:val="24"/>
          <w:szCs w:val="24"/>
        </w:rPr>
        <w:tab/>
      </w:r>
      <w:r w:rsidR="006629B0">
        <w:rPr>
          <w:rFonts w:ascii="Arial" w:hAnsi="Arial" w:cs="Arial"/>
          <w:sz w:val="24"/>
          <w:szCs w:val="24"/>
        </w:rPr>
        <w:t>7</w:t>
      </w:r>
    </w:p>
    <w:p w14:paraId="68AE2258" w14:textId="77777777" w:rsidR="00BB3F76" w:rsidRPr="002B071C" w:rsidRDefault="00000000">
      <w:pPr>
        <w:rPr>
          <w:rFonts w:ascii="Arial" w:hAnsi="Arial" w:cs="Arial"/>
          <w:sz w:val="24"/>
          <w:szCs w:val="24"/>
        </w:rPr>
      </w:pPr>
      <w:r w:rsidRPr="002B071C">
        <w:rPr>
          <w:rFonts w:ascii="Arial" w:hAnsi="Arial" w:cs="Arial"/>
          <w:sz w:val="24"/>
          <w:szCs w:val="24"/>
        </w:rPr>
        <w:br w:type="page"/>
      </w:r>
    </w:p>
    <w:p w14:paraId="7B688586" w14:textId="77777777" w:rsidR="00BB3F76" w:rsidRPr="006629B0" w:rsidRDefault="00000000">
      <w:pPr>
        <w:pStyle w:val="Heading1"/>
        <w:spacing w:before="240" w:after="120"/>
        <w:rPr>
          <w:rFonts w:ascii="Arial" w:hAnsi="Arial" w:cs="Arial"/>
          <w:b/>
          <w:bCs/>
          <w:color w:val="auto"/>
          <w:sz w:val="24"/>
          <w:szCs w:val="24"/>
        </w:rPr>
      </w:pPr>
      <w:r w:rsidRPr="006629B0">
        <w:rPr>
          <w:rFonts w:ascii="Arial" w:hAnsi="Arial" w:cs="Arial"/>
          <w:b/>
          <w:bCs/>
          <w:color w:val="auto"/>
          <w:sz w:val="24"/>
          <w:szCs w:val="24"/>
        </w:rPr>
        <w:lastRenderedPageBreak/>
        <w:t>1. Introduction and Market Context</w:t>
      </w:r>
    </w:p>
    <w:p w14:paraId="73D753AC"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1.1 Company Overview: AstraZeneca and Daiichi Sankyo</w:t>
      </w:r>
    </w:p>
    <w:p w14:paraId="26B1E034"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Globalisation in the pharmaceutical and biotechnology sector pushes organisations to work across borders in order to shorten research and development (R&amp;D) timelines. AstraZeneca PLC, the Anglo-Swedish multinational headquartered in Cambridge, United Kingdom, is one of the leading players in oncological innovation </w:t>
      </w:r>
      <w:r w:rsidRPr="002B071C">
        <w:rPr>
          <w:rFonts w:ascii="Arial" w:hAnsi="Arial" w:cs="Arial"/>
          <w:i/>
          <w:iCs/>
          <w:sz w:val="24"/>
          <w:szCs w:val="24"/>
        </w:rPr>
        <w:t>(AstraZeneca, 2019, p. 2)</w:t>
      </w:r>
      <w:r w:rsidRPr="002B071C">
        <w:rPr>
          <w:rFonts w:ascii="Arial" w:hAnsi="Arial" w:cs="Arial"/>
          <w:sz w:val="24"/>
          <w:szCs w:val="24"/>
        </w:rPr>
        <w:t xml:space="preserve">. In March 2019, the company entered a collaboration with the Japanese pharmaceutical group Daiichi Sankyo Co., Limited, agreeing to pay an upfront sum of $1.35 billion for rights to trastuzumab deruxtecan, with the overall deal structured to reach up to $6.9 billion once regulatory and sales milestones are met </w:t>
      </w:r>
      <w:r w:rsidRPr="002B071C">
        <w:rPr>
          <w:rFonts w:ascii="Arial" w:hAnsi="Arial" w:cs="Arial"/>
          <w:i/>
          <w:iCs/>
          <w:sz w:val="24"/>
          <w:szCs w:val="24"/>
        </w:rPr>
        <w:t>(Reuters, 2019, p. 1)</w:t>
      </w:r>
      <w:r w:rsidRPr="002B071C">
        <w:rPr>
          <w:rFonts w:ascii="Arial" w:hAnsi="Arial" w:cs="Arial"/>
          <w:sz w:val="24"/>
          <w:szCs w:val="24"/>
        </w:rPr>
        <w:t xml:space="preserve">. The purpose of the alliance was to jointly develop and commercialise a new generation of antibody-drug conjugates (ADCs) for cancer treatment </w:t>
      </w:r>
      <w:r w:rsidRPr="002B071C">
        <w:rPr>
          <w:rFonts w:ascii="Arial" w:hAnsi="Arial" w:cs="Arial"/>
          <w:i/>
          <w:iCs/>
          <w:sz w:val="24"/>
          <w:szCs w:val="24"/>
        </w:rPr>
        <w:t>(Daiichi Sankyo, 2019, p. 4)</w:t>
      </w:r>
      <w:r w:rsidRPr="002B071C">
        <w:rPr>
          <w:rFonts w:ascii="Arial" w:hAnsi="Arial" w:cs="Arial"/>
          <w:sz w:val="24"/>
          <w:szCs w:val="24"/>
        </w:rPr>
        <w:t>.</w:t>
      </w:r>
    </w:p>
    <w:p w14:paraId="10F2E1F7"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From the position of Country Director at AstraZeneca, one of the more delicate parts of running this joint venture is keeping a bicultural team of British and Japanese researchers and managers working smoothly together. The scientific merit of a drug candidate matters, of course, but so does the quality of communication between the two teams responsible for bringing it to market.</w:t>
      </w:r>
    </w:p>
    <w:p w14:paraId="50D3879D"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1.2 The Importance of Cultural Context in Pharmaceutical Mergers and Partnerships</w:t>
      </w:r>
    </w:p>
    <w:p w14:paraId="5E06656E"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Japan's pharmaceutical market operates under a strict regulatory framework that prizes long-term safety and institutional relationships built on deep mutual trust. Japanese management, in comparison with the Anglo-Saxon approach of fast results and short-term shareholder value, tends to prioritise societal stability, corporate reputation, and collective consensus </w:t>
      </w:r>
      <w:r w:rsidRPr="002B071C">
        <w:rPr>
          <w:rFonts w:ascii="Arial" w:hAnsi="Arial" w:cs="Arial"/>
          <w:i/>
          <w:iCs/>
          <w:sz w:val="24"/>
          <w:szCs w:val="24"/>
        </w:rPr>
        <w:t>(Hofstede et al., 2010, p. 142)</w:t>
      </w:r>
      <w:r w:rsidRPr="002B071C">
        <w:rPr>
          <w:rFonts w:ascii="Arial" w:hAnsi="Arial" w:cs="Arial"/>
          <w:sz w:val="24"/>
          <w:szCs w:val="24"/>
        </w:rPr>
        <w:t>. In biotechnology, where a single investment decision can carry hundreds of millions of dollars in risk, mismatched expectations about timing or risk tolerance can create real bottlenecks in a project. Cultural integration, then, is not about erasing differences between the two sides — it is about mapping them carefully enough that they stop causing avoidable conflict.</w:t>
      </w:r>
    </w:p>
    <w:p w14:paraId="366E0D2B" w14:textId="77777777" w:rsidR="00BB3F76" w:rsidRPr="006629B0" w:rsidRDefault="00000000">
      <w:pPr>
        <w:pStyle w:val="Heading1"/>
        <w:spacing w:before="240" w:after="120"/>
        <w:rPr>
          <w:rFonts w:ascii="Arial" w:hAnsi="Arial" w:cs="Arial"/>
          <w:b/>
          <w:bCs/>
          <w:color w:val="auto"/>
          <w:sz w:val="24"/>
          <w:szCs w:val="24"/>
        </w:rPr>
      </w:pPr>
      <w:r w:rsidRPr="006629B0">
        <w:rPr>
          <w:rFonts w:ascii="Arial" w:hAnsi="Arial" w:cs="Arial"/>
          <w:b/>
          <w:bCs/>
          <w:color w:val="auto"/>
          <w:sz w:val="24"/>
          <w:szCs w:val="24"/>
        </w:rPr>
        <w:t>2. Theoretical Evaluation of Cultural Differences</w:t>
      </w:r>
    </w:p>
    <w:p w14:paraId="36FC0D27"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Understanding how UK and Japanese team members interact requires drawing on established frameworks that describe the broader social structures shaping individual behaviour inside organisations.</w:t>
      </w:r>
    </w:p>
    <w:p w14:paraId="7E916589"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2.1 Geert Hofstede's Cultural Dimensions Theory</w:t>
      </w:r>
    </w:p>
    <w:p w14:paraId="2AF126D7"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Hofstede's comparative data shows the UK and Japan sitting at almost opposite ends of several key dimensions </w:t>
      </w:r>
      <w:r w:rsidRPr="002B071C">
        <w:rPr>
          <w:rFonts w:ascii="Arial" w:hAnsi="Arial" w:cs="Arial"/>
          <w:i/>
          <w:iCs/>
          <w:sz w:val="24"/>
          <w:szCs w:val="24"/>
        </w:rPr>
        <w:t>(Hofstede et al., 2010, p. 95)</w:t>
      </w:r>
      <w:r w:rsidRPr="002B071C">
        <w:rPr>
          <w:rFonts w:ascii="Arial" w:hAnsi="Arial" w:cs="Arial"/>
          <w:sz w:val="24"/>
          <w:szCs w:val="24"/>
        </w:rPr>
        <w:t xml:space="preserve">. The UK scores low on Power Distance (35) and high on Individualism (89), while Japan sits at a medium-high 54 on Power Distance and leans more collectivist at 46, reflecting a stronger emphasis on group loyalty </w:t>
      </w:r>
      <w:r w:rsidRPr="002B071C">
        <w:rPr>
          <w:rFonts w:ascii="Arial" w:hAnsi="Arial" w:cs="Arial"/>
          <w:i/>
          <w:iCs/>
          <w:sz w:val="24"/>
          <w:szCs w:val="24"/>
        </w:rPr>
        <w:t>(Hofstede et al., 2010, p. 120)</w:t>
      </w:r>
      <w:r w:rsidRPr="002B071C">
        <w:rPr>
          <w:rFonts w:ascii="Arial" w:hAnsi="Arial" w:cs="Arial"/>
          <w:sz w:val="24"/>
          <w:szCs w:val="24"/>
        </w:rPr>
        <w:t>.</w:t>
      </w:r>
    </w:p>
    <w:p w14:paraId="006BD981"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lastRenderedPageBreak/>
        <w:t xml:space="preserve">This helps explain why Daiichi Sankyo's staff insist on unusually meticulous protocols during the early stages of clinical trials: Japan's Uncertainty Avoidance score of 92, against just 35 for the UK, points to a much lower tolerance for ambiguity </w:t>
      </w:r>
      <w:r w:rsidRPr="002B071C">
        <w:rPr>
          <w:rFonts w:ascii="Arial" w:hAnsi="Arial" w:cs="Arial"/>
          <w:i/>
          <w:iCs/>
          <w:sz w:val="24"/>
          <w:szCs w:val="24"/>
        </w:rPr>
        <w:t>(Hofstede et al., 2010, p. 198)</w:t>
      </w:r>
      <w:r w:rsidRPr="002B071C">
        <w:rPr>
          <w:rFonts w:ascii="Arial" w:hAnsi="Arial" w:cs="Arial"/>
          <w:sz w:val="24"/>
          <w:szCs w:val="24"/>
        </w:rPr>
        <w:t xml:space="preserve">. British managers, unfamiliar with this need, sometimes read the same protocols as bureaucratic or unnecessary. The UK's high individualism score also shows up in meetings, where AstraZeneca managers are more inclined to take individual credit or voice personal opinions — a habit that sits awkwardly against the more group-oriented decision style on the Japanese side </w:t>
      </w:r>
      <w:r w:rsidRPr="002B071C">
        <w:rPr>
          <w:rFonts w:ascii="Arial" w:hAnsi="Arial" w:cs="Arial"/>
          <w:i/>
          <w:iCs/>
          <w:sz w:val="24"/>
          <w:szCs w:val="24"/>
        </w:rPr>
        <w:t>(Hofstede et al., 2010, p. 120)</w:t>
      </w:r>
      <w:r w:rsidRPr="002B071C">
        <w:rPr>
          <w:rFonts w:ascii="Arial" w:hAnsi="Arial" w:cs="Arial"/>
          <w:sz w:val="24"/>
          <w:szCs w:val="24"/>
        </w:rPr>
        <w:t>.</w:t>
      </w:r>
    </w:p>
    <w:p w14:paraId="4483E3B5"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2.2 The “Culture Map” Model (Erin Meyer) and Context Theory (Edward T. Hall)</w:t>
      </w:r>
    </w:p>
    <w:p w14:paraId="12C3794A"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The distinction between high- and low-context communication, first developed by Hall and Hall (1990, p. 6), is central to understanding why direct messages land so differently across the two teams. The UK operates as a low-context culture, where the verbal message itself is expected to carry the full, precise meaning </w:t>
      </w:r>
      <w:r w:rsidRPr="002B071C">
        <w:rPr>
          <w:rFonts w:ascii="Arial" w:hAnsi="Arial" w:cs="Arial"/>
          <w:i/>
          <w:iCs/>
          <w:sz w:val="24"/>
          <w:szCs w:val="24"/>
        </w:rPr>
        <w:t>(Meyer, 2014, p. 34)</w:t>
      </w:r>
      <w:r w:rsidRPr="002B071C">
        <w:rPr>
          <w:rFonts w:ascii="Arial" w:hAnsi="Arial" w:cs="Arial"/>
          <w:sz w:val="24"/>
          <w:szCs w:val="24"/>
        </w:rPr>
        <w:t xml:space="preserve">. Japan sits at the opposite end: much of the meaning in a Tokyo meeting is carried by hierarchy, tone, gesture, and what goes unsaid — a skill often described locally as </w:t>
      </w:r>
      <w:r w:rsidRPr="002B071C">
        <w:rPr>
          <w:rFonts w:ascii="Arial" w:hAnsi="Arial" w:cs="Arial"/>
          <w:i/>
          <w:iCs/>
          <w:sz w:val="24"/>
          <w:szCs w:val="24"/>
        </w:rPr>
        <w:t>kuuki wo yomu</w:t>
      </w:r>
      <w:r w:rsidRPr="002B071C">
        <w:rPr>
          <w:rFonts w:ascii="Arial" w:hAnsi="Arial" w:cs="Arial"/>
          <w:sz w:val="24"/>
          <w:szCs w:val="24"/>
        </w:rPr>
        <w:t xml:space="preserve">, or “reading the air” </w:t>
      </w:r>
      <w:r w:rsidRPr="002B071C">
        <w:rPr>
          <w:rFonts w:ascii="Arial" w:hAnsi="Arial" w:cs="Arial"/>
          <w:i/>
          <w:iCs/>
          <w:sz w:val="24"/>
          <w:szCs w:val="24"/>
        </w:rPr>
        <w:t>(Meyer, 2014, p. 39)</w:t>
      </w:r>
      <w:r w:rsidRPr="002B071C">
        <w:rPr>
          <w:rFonts w:ascii="Arial" w:hAnsi="Arial" w:cs="Arial"/>
          <w:sz w:val="24"/>
          <w:szCs w:val="24"/>
        </w:rPr>
        <w:t>.</w:t>
      </w:r>
    </w:p>
    <w:p w14:paraId="7010C55A"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Meyer (2014, p. 62) extends this idea by plotting behaviours along specific axes, showing that the British — while they see themselves as diplomatic communicators — are still considerably more direct than their Japanese counterparts. When a British manager at AstraZeneca describes a clinical study design as “interesting but with a few small challenges” on a video call, the intended meaning is usually that the plan needs a significant rework. The Daiichi Sankyo team, however, may take the phrase at face value as polite approval, and the gap between what was meant and what was heard can cause real problems once implementation starts </w:t>
      </w:r>
      <w:r w:rsidRPr="002B071C">
        <w:rPr>
          <w:rFonts w:ascii="Arial" w:hAnsi="Arial" w:cs="Arial"/>
          <w:i/>
          <w:iCs/>
          <w:sz w:val="24"/>
          <w:szCs w:val="24"/>
        </w:rPr>
        <w:t>(Hall and Hall, 1990, p. 18)</w:t>
      </w:r>
      <w:r w:rsidRPr="002B071C">
        <w:rPr>
          <w:rFonts w:ascii="Arial" w:hAnsi="Arial" w:cs="Arial"/>
          <w:sz w:val="24"/>
          <w:szCs w:val="24"/>
        </w:rPr>
        <w:t>.</w:t>
      </w:r>
    </w:p>
    <w:p w14:paraId="4E6FF3BF"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2.3 Trompenaars Model and GLOBE Research</w:t>
      </w:r>
    </w:p>
    <w:p w14:paraId="37E6CF83"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Trompenaars and Hampden-Turner's (2020, p. 45) Universalism–Particularism axis adds a further layer to the picture. The UK leans universalist, treating formal contracts and procedural rules as things that apply equally to everyone. Japan leans particularist, placing greater weight on long-term relationships and the specific circumstances of a given partnership </w:t>
      </w:r>
      <w:r w:rsidRPr="002B071C">
        <w:rPr>
          <w:rFonts w:ascii="Arial" w:hAnsi="Arial" w:cs="Arial"/>
          <w:i/>
          <w:iCs/>
          <w:sz w:val="24"/>
          <w:szCs w:val="24"/>
        </w:rPr>
        <w:t>(Trompenaars and Hampden-Turner, 2020, p. 52)</w:t>
      </w:r>
      <w:r w:rsidRPr="002B071C">
        <w:rPr>
          <w:rFonts w:ascii="Arial" w:hAnsi="Arial" w:cs="Arial"/>
          <w:sz w:val="24"/>
          <w:szCs w:val="24"/>
        </w:rPr>
        <w:t>. Without the informal relationship-building that underpins trust between AstraZeneca and Daiichi Sankyo leadership, the written contract risks becoming little more than a formality.</w:t>
      </w:r>
    </w:p>
    <w:p w14:paraId="2CB3A85C"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The GLOBE study </w:t>
      </w:r>
      <w:r w:rsidRPr="002B071C">
        <w:rPr>
          <w:rFonts w:ascii="Arial" w:hAnsi="Arial" w:cs="Arial"/>
          <w:i/>
          <w:iCs/>
          <w:sz w:val="24"/>
          <w:szCs w:val="24"/>
        </w:rPr>
        <w:t>(House et al., 2004, p. 220)</w:t>
      </w:r>
      <w:r w:rsidRPr="002B071C">
        <w:rPr>
          <w:rFonts w:ascii="Arial" w:hAnsi="Arial" w:cs="Arial"/>
          <w:sz w:val="24"/>
          <w:szCs w:val="24"/>
        </w:rPr>
        <w:t xml:space="preserve"> reinforces this through its Institutional Collectivism dimension. Japan scores highly here, meaning that the outcome of a biotechnology research effort — success or failure — is treated as a shared, collective result. The UK's more individualistic, performance-driven orientation instead rewards internal competition, which can come across to Japanese partners as disruptive to group cohesion </w:t>
      </w:r>
      <w:r w:rsidRPr="002B071C">
        <w:rPr>
          <w:rFonts w:ascii="Arial" w:hAnsi="Arial" w:cs="Arial"/>
          <w:i/>
          <w:iCs/>
          <w:sz w:val="24"/>
          <w:szCs w:val="24"/>
        </w:rPr>
        <w:t>(House et al., 2004, p. 245)</w:t>
      </w:r>
      <w:r w:rsidRPr="002B071C">
        <w:rPr>
          <w:rFonts w:ascii="Arial" w:hAnsi="Arial" w:cs="Arial"/>
          <w:sz w:val="24"/>
          <w:szCs w:val="24"/>
        </w:rPr>
        <w:t>.</w:t>
      </w:r>
    </w:p>
    <w:p w14:paraId="034EAE1D" w14:textId="77777777" w:rsidR="00BB3F76" w:rsidRPr="006629B0" w:rsidRDefault="00000000">
      <w:pPr>
        <w:pStyle w:val="Heading1"/>
        <w:spacing w:before="240" w:after="120"/>
        <w:rPr>
          <w:rFonts w:ascii="Arial" w:hAnsi="Arial" w:cs="Arial"/>
          <w:b/>
          <w:bCs/>
          <w:color w:val="auto"/>
          <w:sz w:val="24"/>
          <w:szCs w:val="24"/>
        </w:rPr>
      </w:pPr>
      <w:r w:rsidRPr="006629B0">
        <w:rPr>
          <w:rFonts w:ascii="Arial" w:hAnsi="Arial" w:cs="Arial"/>
          <w:b/>
          <w:bCs/>
          <w:color w:val="auto"/>
          <w:sz w:val="24"/>
          <w:szCs w:val="24"/>
        </w:rPr>
        <w:t>3. Analysis of Communication Styles and Sources of Misunderstanding</w:t>
      </w:r>
    </w:p>
    <w:p w14:paraId="7C7A3618"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lastRenderedPageBreak/>
        <w:t>These broader cultural frameworks translate into very concrete, everyday friction points in how the AstraZeneca–Daiichi Sankyo project is actually run.</w:t>
      </w:r>
    </w:p>
    <w:p w14:paraId="777A3353"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3.1 Direct vs. Indirect Communication and the Concept of “Nemawashi”</w:t>
      </w:r>
    </w:p>
    <w:p w14:paraId="260FEA9E"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The two sides approach feedback in meetings quite differently, and this alone accounts for a good share of the friction. British team members judge a meeting successful when direct questions get a clear yes-or-no answer </w:t>
      </w:r>
      <w:r w:rsidRPr="002B071C">
        <w:rPr>
          <w:rFonts w:ascii="Arial" w:hAnsi="Arial" w:cs="Arial"/>
          <w:i/>
          <w:iCs/>
          <w:sz w:val="24"/>
          <w:szCs w:val="24"/>
        </w:rPr>
        <w:t>(Meyer, 2014, p. 71)</w:t>
      </w:r>
      <w:r w:rsidRPr="002B071C">
        <w:rPr>
          <w:rFonts w:ascii="Arial" w:hAnsi="Arial" w:cs="Arial"/>
          <w:sz w:val="24"/>
          <w:szCs w:val="24"/>
        </w:rPr>
        <w:t xml:space="preserve">. In Japanese business culture, however, </w:t>
      </w:r>
      <w:r w:rsidRPr="002B071C">
        <w:rPr>
          <w:rFonts w:ascii="Arial" w:hAnsi="Arial" w:cs="Arial"/>
          <w:i/>
          <w:iCs/>
          <w:sz w:val="24"/>
          <w:szCs w:val="24"/>
        </w:rPr>
        <w:t>hai</w:t>
      </w:r>
      <w:r w:rsidRPr="002B071C">
        <w:rPr>
          <w:rFonts w:ascii="Arial" w:hAnsi="Arial" w:cs="Arial"/>
          <w:sz w:val="24"/>
          <w:szCs w:val="24"/>
        </w:rPr>
        <w:t xml:space="preserve"> (“yes”) frequently signals only “I have heard and understood you,” not necessarily agreement </w:t>
      </w:r>
      <w:r w:rsidRPr="002B071C">
        <w:rPr>
          <w:rFonts w:ascii="Arial" w:hAnsi="Arial" w:cs="Arial"/>
          <w:i/>
          <w:iCs/>
          <w:sz w:val="24"/>
          <w:szCs w:val="24"/>
        </w:rPr>
        <w:t>(Hall and Hall, 1990, p. 42)</w:t>
      </w:r>
      <w:r w:rsidRPr="002B071C">
        <w:rPr>
          <w:rFonts w:ascii="Arial" w:hAnsi="Arial" w:cs="Arial"/>
          <w:sz w:val="24"/>
          <w:szCs w:val="24"/>
        </w:rPr>
        <w:t>. British managers can walk out of a meeting believing the Daiichi Sankyo team has signed off on an R&amp;D budget change, only to discover weeks later that nothing has moved because internal consensus was never actually reached.</w:t>
      </w:r>
    </w:p>
    <w:p w14:paraId="4BA885CA"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Japanese teams also rely on </w:t>
      </w:r>
      <w:r w:rsidRPr="002B071C">
        <w:rPr>
          <w:rFonts w:ascii="Arial" w:hAnsi="Arial" w:cs="Arial"/>
          <w:i/>
          <w:iCs/>
          <w:sz w:val="24"/>
          <w:szCs w:val="24"/>
        </w:rPr>
        <w:t>nemawashi</w:t>
      </w:r>
      <w:r w:rsidRPr="002B071C">
        <w:rPr>
          <w:rFonts w:ascii="Arial" w:hAnsi="Arial" w:cs="Arial"/>
          <w:sz w:val="24"/>
          <w:szCs w:val="24"/>
        </w:rPr>
        <w:t xml:space="preserve">, the informal groundwork of discussing and negotiating ideas individually, behind the scenes, before anything reaches a formal meeting </w:t>
      </w:r>
      <w:r w:rsidRPr="002B071C">
        <w:rPr>
          <w:rFonts w:ascii="Arial" w:hAnsi="Arial" w:cs="Arial"/>
          <w:i/>
          <w:iCs/>
          <w:sz w:val="24"/>
          <w:szCs w:val="24"/>
        </w:rPr>
        <w:t>(Trompenaars and Hampden-Turner, 2020, p. 118)</w:t>
      </w:r>
      <w:r w:rsidRPr="002B071C">
        <w:rPr>
          <w:rFonts w:ascii="Arial" w:hAnsi="Arial" w:cs="Arial"/>
          <w:sz w:val="24"/>
          <w:szCs w:val="24"/>
        </w:rPr>
        <w:t xml:space="preserve">. When a UK manager skips this step and introduces a completely new idea in a large meeting, the usual result is silence or polite smiles — a sign of real discomfort, since presenting an unvetted idea risks putting a colleague in an awkward position in front of the group </w:t>
      </w:r>
      <w:r w:rsidRPr="002B071C">
        <w:rPr>
          <w:rFonts w:ascii="Arial" w:hAnsi="Arial" w:cs="Arial"/>
          <w:i/>
          <w:iCs/>
          <w:sz w:val="24"/>
          <w:szCs w:val="24"/>
        </w:rPr>
        <w:t>(Meyer, 2014, p. 83)</w:t>
      </w:r>
      <w:r w:rsidRPr="002B071C">
        <w:rPr>
          <w:rFonts w:ascii="Arial" w:hAnsi="Arial" w:cs="Arial"/>
          <w:sz w:val="24"/>
          <w:szCs w:val="24"/>
        </w:rPr>
        <w:t>.</w:t>
      </w:r>
    </w:p>
    <w:p w14:paraId="1B2180C9"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3.2 Confronting Disagreement and Feedback Management</w:t>
      </w:r>
    </w:p>
    <w:p w14:paraId="6F564FCC"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Meyer's culture-mapping work shows that British culture keeps a certain distance between the idea and the person, which makes fairly sharp intellectual disagreement possible, so long as it is wrapped in polite, indirect language </w:t>
      </w:r>
      <w:r w:rsidRPr="002B071C">
        <w:rPr>
          <w:rFonts w:ascii="Arial" w:hAnsi="Arial" w:cs="Arial"/>
          <w:i/>
          <w:iCs/>
          <w:sz w:val="24"/>
          <w:szCs w:val="24"/>
        </w:rPr>
        <w:t>(Meyer, 2014, p. 124)</w:t>
      </w:r>
      <w:r w:rsidRPr="002B071C">
        <w:rPr>
          <w:rFonts w:ascii="Arial" w:hAnsi="Arial" w:cs="Arial"/>
          <w:sz w:val="24"/>
          <w:szCs w:val="24"/>
        </w:rPr>
        <w:t xml:space="preserve">. Open disagreement in Japan, by contrast, is closer to a direct challenge to group harmony, or </w:t>
      </w:r>
      <w:r w:rsidRPr="002B071C">
        <w:rPr>
          <w:rFonts w:ascii="Arial" w:hAnsi="Arial" w:cs="Arial"/>
          <w:i/>
          <w:iCs/>
          <w:sz w:val="24"/>
          <w:szCs w:val="24"/>
        </w:rPr>
        <w:t>wa</w:t>
      </w:r>
      <w:r w:rsidRPr="002B071C">
        <w:rPr>
          <w:rFonts w:ascii="Arial" w:hAnsi="Arial" w:cs="Arial"/>
          <w:sz w:val="24"/>
          <w:szCs w:val="24"/>
        </w:rPr>
        <w:t xml:space="preserve">. Telling a Japanese colleague in an open meeting that their clinical data analysis is wrong can land as a public insult, regardless of how technically correct the point may be </w:t>
      </w:r>
      <w:r w:rsidRPr="002B071C">
        <w:rPr>
          <w:rFonts w:ascii="Arial" w:hAnsi="Arial" w:cs="Arial"/>
          <w:i/>
          <w:iCs/>
          <w:sz w:val="24"/>
          <w:szCs w:val="24"/>
        </w:rPr>
        <w:t>(Hofstede et al., 2010, p. 131)</w:t>
      </w:r>
      <w:r w:rsidRPr="002B071C">
        <w:rPr>
          <w:rFonts w:ascii="Arial" w:hAnsi="Arial" w:cs="Arial"/>
          <w:sz w:val="24"/>
          <w:szCs w:val="24"/>
        </w:rPr>
        <w:t>.</w:t>
      </w:r>
    </w:p>
    <w:p w14:paraId="5D402876"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A more effective approach for an AstraZeneca specialist who spots an error in a Japanese partner's documentation is not to send a group email copying senior management, but to raise the issue privately and informally, giving the Japanese team room to correct it internally without a public loss of standing </w:t>
      </w:r>
      <w:r w:rsidRPr="002B071C">
        <w:rPr>
          <w:rFonts w:ascii="Arial" w:hAnsi="Arial" w:cs="Arial"/>
          <w:i/>
          <w:iCs/>
          <w:sz w:val="24"/>
          <w:szCs w:val="24"/>
        </w:rPr>
        <w:t>(Meyer, 2014, p. 130)</w:t>
      </w:r>
      <w:r w:rsidRPr="002B071C">
        <w:rPr>
          <w:rFonts w:ascii="Arial" w:hAnsi="Arial" w:cs="Arial"/>
          <w:sz w:val="24"/>
          <w:szCs w:val="24"/>
        </w:rPr>
        <w:t>.</w:t>
      </w:r>
    </w:p>
    <w:p w14:paraId="015D31AE"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3.3 Hierarchical Structures and Decision-Making Process (Ringisho)</w:t>
      </w:r>
    </w:p>
    <w:p w14:paraId="6F478885"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UK project management tends toward a flatter, competence-based style of leadership, where the project manager holds significant autonomy in day-to-day decisions </w:t>
      </w:r>
      <w:r w:rsidRPr="002B071C">
        <w:rPr>
          <w:rFonts w:ascii="Arial" w:hAnsi="Arial" w:cs="Arial"/>
          <w:i/>
          <w:iCs/>
          <w:sz w:val="24"/>
          <w:szCs w:val="24"/>
        </w:rPr>
        <w:t>(Project Management Institute, 2021, p. 48)</w:t>
      </w:r>
      <w:r w:rsidRPr="002B071C">
        <w:rPr>
          <w:rFonts w:ascii="Arial" w:hAnsi="Arial" w:cs="Arial"/>
          <w:sz w:val="24"/>
          <w:szCs w:val="24"/>
        </w:rPr>
        <w:t xml:space="preserve">. Japanese firms instead rely on the </w:t>
      </w:r>
      <w:r w:rsidRPr="002B071C">
        <w:rPr>
          <w:rFonts w:ascii="Arial" w:hAnsi="Arial" w:cs="Arial"/>
          <w:i/>
          <w:iCs/>
          <w:sz w:val="24"/>
          <w:szCs w:val="24"/>
        </w:rPr>
        <w:t>ringisho</w:t>
      </w:r>
      <w:r w:rsidRPr="002B071C">
        <w:rPr>
          <w:rFonts w:ascii="Arial" w:hAnsi="Arial" w:cs="Arial"/>
          <w:sz w:val="24"/>
          <w:szCs w:val="24"/>
        </w:rPr>
        <w:t xml:space="preserve"> system </w:t>
      </w:r>
      <w:r w:rsidRPr="002B071C">
        <w:rPr>
          <w:rFonts w:ascii="Arial" w:hAnsi="Arial" w:cs="Arial"/>
          <w:i/>
          <w:iCs/>
          <w:sz w:val="24"/>
          <w:szCs w:val="24"/>
        </w:rPr>
        <w:t>(House et al., 2004, p. 312)</w:t>
      </w:r>
      <w:r w:rsidRPr="002B071C">
        <w:rPr>
          <w:rFonts w:ascii="Arial" w:hAnsi="Arial" w:cs="Arial"/>
          <w:sz w:val="24"/>
          <w:szCs w:val="24"/>
        </w:rPr>
        <w:t>: a bottom-up process in which a proposal document circulates horizontally and vertically through every relevant department at Daiichi Sankyo, collecting approval stamps (</w:t>
      </w:r>
      <w:r w:rsidRPr="002B071C">
        <w:rPr>
          <w:rFonts w:ascii="Arial" w:hAnsi="Arial" w:cs="Arial"/>
          <w:i/>
          <w:iCs/>
          <w:sz w:val="24"/>
          <w:szCs w:val="24"/>
        </w:rPr>
        <w:t>hanko</w:t>
      </w:r>
      <w:r w:rsidRPr="002B071C">
        <w:rPr>
          <w:rFonts w:ascii="Arial" w:hAnsi="Arial" w:cs="Arial"/>
          <w:sz w:val="24"/>
          <w:szCs w:val="24"/>
        </w:rPr>
        <w:t xml:space="preserve">) from dozens of middle managers before it ever reaches senior executives </w:t>
      </w:r>
      <w:r w:rsidRPr="002B071C">
        <w:rPr>
          <w:rFonts w:ascii="Arial" w:hAnsi="Arial" w:cs="Arial"/>
          <w:i/>
          <w:iCs/>
          <w:sz w:val="24"/>
          <w:szCs w:val="24"/>
        </w:rPr>
        <w:t>(Trompenaars and Hampden-Turner, 2020, p. 164)</w:t>
      </w:r>
      <w:r w:rsidRPr="002B071C">
        <w:rPr>
          <w:rFonts w:ascii="Arial" w:hAnsi="Arial" w:cs="Arial"/>
          <w:sz w:val="24"/>
          <w:szCs w:val="24"/>
        </w:rPr>
        <w:t>.</w:t>
      </w:r>
    </w:p>
    <w:p w14:paraId="264D4BE2"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lastRenderedPageBreak/>
        <w:t xml:space="preserve">This process is slow to get started but produces an unusually high level of internal alignment, which then allows for very fast execution once a decision is finally made. UK managers, used to director-level decisions being made quickly, often mistake this early slowness for a lack of agility or outright indecision on the part of their Japanese colleagues </w:t>
      </w:r>
      <w:r w:rsidRPr="002B071C">
        <w:rPr>
          <w:rFonts w:ascii="Arial" w:hAnsi="Arial" w:cs="Arial"/>
          <w:i/>
          <w:iCs/>
          <w:sz w:val="24"/>
          <w:szCs w:val="24"/>
        </w:rPr>
        <w:t>(Kerzner, 2017, p. 389)</w:t>
      </w:r>
      <w:r w:rsidRPr="002B071C">
        <w:rPr>
          <w:rFonts w:ascii="Arial" w:hAnsi="Arial" w:cs="Arial"/>
          <w:sz w:val="24"/>
          <w:szCs w:val="24"/>
        </w:rPr>
        <w:t>.</w:t>
      </w:r>
    </w:p>
    <w:p w14:paraId="7E64DBF7" w14:textId="77777777" w:rsidR="00BB3F76" w:rsidRPr="006629B0" w:rsidRDefault="00000000">
      <w:pPr>
        <w:pStyle w:val="Heading1"/>
        <w:spacing w:before="240" w:after="120"/>
        <w:rPr>
          <w:rFonts w:ascii="Arial" w:hAnsi="Arial" w:cs="Arial"/>
          <w:b/>
          <w:bCs/>
          <w:color w:val="auto"/>
          <w:sz w:val="24"/>
          <w:szCs w:val="24"/>
        </w:rPr>
      </w:pPr>
      <w:r w:rsidRPr="006629B0">
        <w:rPr>
          <w:rFonts w:ascii="Arial" w:hAnsi="Arial" w:cs="Arial"/>
          <w:b/>
          <w:bCs/>
          <w:color w:val="auto"/>
          <w:sz w:val="24"/>
          <w:szCs w:val="24"/>
        </w:rPr>
        <w:t>4. Project Management and Integration of Mixed Teams</w:t>
      </w:r>
    </w:p>
    <w:p w14:paraId="7E577BC7"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4.1 Application of PMBOK and Kerzner Principles in Multicultural Environments</w:t>
      </w:r>
    </w:p>
    <w:p w14:paraId="7D34749B"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Modern project management guidance emphasises tailoring processes around value delivery and stakeholder needs </w:t>
      </w:r>
      <w:r w:rsidRPr="002B071C">
        <w:rPr>
          <w:rFonts w:ascii="Arial" w:hAnsi="Arial" w:cs="Arial"/>
          <w:i/>
          <w:iCs/>
          <w:sz w:val="24"/>
          <w:szCs w:val="24"/>
        </w:rPr>
        <w:t>(Project Management Institute, 2021, p. 12)</w:t>
      </w:r>
      <w:r w:rsidRPr="002B071C">
        <w:rPr>
          <w:rFonts w:ascii="Arial" w:hAnsi="Arial" w:cs="Arial"/>
          <w:sz w:val="24"/>
          <w:szCs w:val="24"/>
        </w:rPr>
        <w:t>, and Kerzner (2017, p. 412) treats organisational culture as a core subsystem of systems management rather than a side issue. At the start of the Anglo-Japanese collaboration, the Country Director's task is to build a genuinely blended Cultural Project Charter — one that borrows the best of both approaches rather than imposing a purely British reporting structure on the whole project.</w:t>
      </w:r>
    </w:p>
    <w:p w14:paraId="606A4D20"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Because Japan's low tolerance for uncertainty runs deep </w:t>
      </w:r>
      <w:r w:rsidRPr="002B071C">
        <w:rPr>
          <w:rFonts w:ascii="Arial" w:hAnsi="Arial" w:cs="Arial"/>
          <w:i/>
          <w:iCs/>
          <w:sz w:val="24"/>
          <w:szCs w:val="24"/>
        </w:rPr>
        <w:t>(Project Management Institute, 2021, p. 74)</w:t>
      </w:r>
      <w:r w:rsidRPr="002B071C">
        <w:rPr>
          <w:rFonts w:ascii="Arial" w:hAnsi="Arial" w:cs="Arial"/>
          <w:sz w:val="24"/>
          <w:szCs w:val="24"/>
        </w:rPr>
        <w:t xml:space="preserve">, the Work Breakdown Structure (WBS) needs to be built at a noticeably finer level of detail than would be typical for a UK-only project. At the same time, dedicated time slots for </w:t>
      </w:r>
      <w:r w:rsidRPr="002B071C">
        <w:rPr>
          <w:rFonts w:ascii="Arial" w:hAnsi="Arial" w:cs="Arial"/>
          <w:i/>
          <w:iCs/>
          <w:sz w:val="24"/>
          <w:szCs w:val="24"/>
        </w:rPr>
        <w:t>nemawashi</w:t>
      </w:r>
      <w:r w:rsidRPr="002B071C">
        <w:rPr>
          <w:rFonts w:ascii="Arial" w:hAnsi="Arial" w:cs="Arial"/>
          <w:sz w:val="24"/>
          <w:szCs w:val="24"/>
        </w:rPr>
        <w:t xml:space="preserve">-style informal review should be built directly into the Gantt chart ahead of major decision milestones, rather than treated as an unplanned delay </w:t>
      </w:r>
      <w:r w:rsidRPr="002B071C">
        <w:rPr>
          <w:rFonts w:ascii="Arial" w:hAnsi="Arial" w:cs="Arial"/>
          <w:i/>
          <w:iCs/>
          <w:sz w:val="24"/>
          <w:szCs w:val="24"/>
        </w:rPr>
        <w:t>(Kerzner, 2017, p. 430)</w:t>
      </w:r>
      <w:r w:rsidRPr="002B071C">
        <w:rPr>
          <w:rFonts w:ascii="Arial" w:hAnsi="Arial" w:cs="Arial"/>
          <w:sz w:val="24"/>
          <w:szCs w:val="24"/>
        </w:rPr>
        <w:t>.</w:t>
      </w:r>
    </w:p>
    <w:p w14:paraId="691DB757" w14:textId="77777777" w:rsidR="00BB3F76" w:rsidRPr="006629B0" w:rsidRDefault="00000000">
      <w:pPr>
        <w:pStyle w:val="Heading2"/>
        <w:spacing w:before="240" w:after="120"/>
        <w:rPr>
          <w:rFonts w:ascii="Arial" w:hAnsi="Arial" w:cs="Arial"/>
          <w:b/>
          <w:bCs/>
          <w:color w:val="auto"/>
          <w:sz w:val="24"/>
          <w:szCs w:val="24"/>
        </w:rPr>
      </w:pPr>
      <w:r w:rsidRPr="006629B0">
        <w:rPr>
          <w:rFonts w:ascii="Arial" w:hAnsi="Arial" w:cs="Arial"/>
          <w:b/>
          <w:bCs/>
          <w:color w:val="auto"/>
          <w:sz w:val="24"/>
          <w:szCs w:val="24"/>
        </w:rPr>
        <w:t>4.2 Critique of Rigid Cultural Models and Managerial Flexibility</w:t>
      </w:r>
    </w:p>
    <w:p w14:paraId="340F61F8"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None of this should tip over into cultural essentialism. McSweeney (2002, p. 94), in a widely cited critique of Hofstede's framework, points out that reducing a national culture to a fixed set of numerical scores overlooks the internal variety that exists within any organisation — political dynamics, generational shifts, and individual differences among them. Younger staff in Daiichi Sankyo's Tokyo research divisions, particularly those with international research experience, often communicate in a noticeably more direct and digitally native style than colleagues in more traditional administrative roles </w:t>
      </w:r>
      <w:r w:rsidRPr="002B071C">
        <w:rPr>
          <w:rFonts w:ascii="Arial" w:hAnsi="Arial" w:cs="Arial"/>
          <w:i/>
          <w:iCs/>
          <w:sz w:val="24"/>
          <w:szCs w:val="24"/>
        </w:rPr>
        <w:t>(McSweeney, 2002, p. 102)</w:t>
      </w:r>
      <w:r w:rsidRPr="002B071C">
        <w:rPr>
          <w:rFonts w:ascii="Arial" w:hAnsi="Arial" w:cs="Arial"/>
          <w:sz w:val="24"/>
          <w:szCs w:val="24"/>
        </w:rPr>
        <w:t>.</w:t>
      </w:r>
    </w:p>
    <w:p w14:paraId="4D2E2702"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Frameworks like Hofstede's or Meyer's are best treated as flexible starting points for an intercultural leader, not as fixed rules. What actually matters is building an ongoing, active cultural awareness — checking in regularly on how the team is responding and adjusting communication accordingly as the project develops </w:t>
      </w:r>
      <w:r w:rsidRPr="002B071C">
        <w:rPr>
          <w:rFonts w:ascii="Arial" w:hAnsi="Arial" w:cs="Arial"/>
          <w:i/>
          <w:iCs/>
          <w:sz w:val="24"/>
          <w:szCs w:val="24"/>
        </w:rPr>
        <w:t>(Meyer, 2014, p. 210)</w:t>
      </w:r>
      <w:r w:rsidRPr="002B071C">
        <w:rPr>
          <w:rFonts w:ascii="Arial" w:hAnsi="Arial" w:cs="Arial"/>
          <w:sz w:val="24"/>
          <w:szCs w:val="24"/>
        </w:rPr>
        <w:t>.</w:t>
      </w:r>
    </w:p>
    <w:p w14:paraId="7E9B4F3D" w14:textId="77777777" w:rsidR="00BB3F76" w:rsidRPr="006629B0" w:rsidRDefault="00000000">
      <w:pPr>
        <w:pStyle w:val="Heading1"/>
        <w:spacing w:before="240" w:after="120"/>
        <w:rPr>
          <w:rFonts w:ascii="Arial" w:hAnsi="Arial" w:cs="Arial"/>
          <w:b/>
          <w:bCs/>
          <w:color w:val="auto"/>
          <w:sz w:val="24"/>
          <w:szCs w:val="24"/>
        </w:rPr>
      </w:pPr>
      <w:r w:rsidRPr="006629B0">
        <w:rPr>
          <w:rFonts w:ascii="Arial" w:hAnsi="Arial" w:cs="Arial"/>
          <w:b/>
          <w:bCs/>
          <w:color w:val="auto"/>
          <w:sz w:val="24"/>
          <w:szCs w:val="24"/>
        </w:rPr>
        <w:t>5. Conclusions and Strategic Recommendations</w:t>
      </w:r>
    </w:p>
    <w:p w14:paraId="273BDD5C"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 xml:space="preserve">The AstraZeneca–Daiichi Sankyo partnership illustrates how directly the management of cross-cultural communication can shape commercial outcomes in biotechnology. The central gap — a low-context, individualistic, ambiguity-tolerant British team set against a high-context, collectivist, hierarchical, and risk-averse Japanese team — is not something </w:t>
      </w:r>
      <w:r w:rsidRPr="002B071C">
        <w:rPr>
          <w:rFonts w:ascii="Arial" w:hAnsi="Arial" w:cs="Arial"/>
          <w:sz w:val="24"/>
          <w:szCs w:val="24"/>
        </w:rPr>
        <w:lastRenderedPageBreak/>
        <w:t>to eliminate, but something an adaptive leadership approach can bridge. From the position of Country Director, three immediate steps would support a smoother collaboration:</w:t>
      </w:r>
    </w:p>
    <w:p w14:paraId="3EA7D230" w14:textId="77777777" w:rsidR="00BB3F76" w:rsidRPr="002B071C" w:rsidRDefault="00000000">
      <w:pPr>
        <w:spacing w:after="120"/>
        <w:jc w:val="both"/>
        <w:rPr>
          <w:rFonts w:ascii="Arial" w:hAnsi="Arial" w:cs="Arial"/>
          <w:sz w:val="24"/>
          <w:szCs w:val="24"/>
        </w:rPr>
      </w:pPr>
      <w:r w:rsidRPr="002B071C">
        <w:rPr>
          <w:rFonts w:ascii="Arial" w:hAnsi="Arial" w:cs="Arial"/>
          <w:sz w:val="24"/>
          <w:szCs w:val="24"/>
        </w:rPr>
        <w:t>1. Build a hybrid communication protocol. Schedule informal conversations ahead of official meetings, giving the Japanese team room to complete nemawashi and reach internal consensus without being rushed.</w:t>
      </w:r>
    </w:p>
    <w:p w14:paraId="47374504" w14:textId="77777777" w:rsidR="00BB3F76" w:rsidRPr="002B071C" w:rsidRDefault="00000000">
      <w:pPr>
        <w:spacing w:after="120"/>
        <w:jc w:val="both"/>
        <w:rPr>
          <w:rFonts w:ascii="Arial" w:hAnsi="Arial" w:cs="Arial"/>
          <w:sz w:val="24"/>
          <w:szCs w:val="24"/>
        </w:rPr>
      </w:pPr>
      <w:r w:rsidRPr="002B071C">
        <w:rPr>
          <w:rFonts w:ascii="Arial" w:hAnsi="Arial" w:cs="Arial"/>
          <w:sz w:val="24"/>
          <w:szCs w:val="24"/>
        </w:rPr>
        <w:t>2. Rethink how feedback is handled. Rule out public corrections or group-wide reprimand emails; use one-on-one feedback sessions instead, to protect both group harmony (wa) and individual standing.</w:t>
      </w:r>
    </w:p>
    <w:p w14:paraId="2E5F9288" w14:textId="77777777" w:rsidR="00BB3F76" w:rsidRPr="002B071C" w:rsidRDefault="00000000">
      <w:pPr>
        <w:spacing w:after="160"/>
        <w:jc w:val="both"/>
        <w:rPr>
          <w:rFonts w:ascii="Arial" w:hAnsi="Arial" w:cs="Arial"/>
          <w:sz w:val="24"/>
          <w:szCs w:val="24"/>
        </w:rPr>
      </w:pPr>
      <w:r w:rsidRPr="002B071C">
        <w:rPr>
          <w:rFonts w:ascii="Arial" w:hAnsi="Arial" w:cs="Arial"/>
          <w:sz w:val="24"/>
          <w:szCs w:val="24"/>
        </w:rPr>
        <w:t>3. Plan in more granular detail, following PMBOK principles. Expand the initial technical documentation and spell out risks clearly, meeting the Japanese side's structural need for certainty while still leaving room for the operational flexibility the UK side is used to.</w:t>
      </w:r>
    </w:p>
    <w:p w14:paraId="23852A59" w14:textId="77777777" w:rsidR="00BB3F76" w:rsidRPr="002B071C" w:rsidRDefault="00000000">
      <w:pPr>
        <w:spacing w:after="160" w:line="300" w:lineRule="auto"/>
        <w:jc w:val="both"/>
        <w:rPr>
          <w:rFonts w:ascii="Arial" w:hAnsi="Arial" w:cs="Arial"/>
          <w:sz w:val="24"/>
          <w:szCs w:val="24"/>
        </w:rPr>
      </w:pPr>
      <w:r w:rsidRPr="002B071C">
        <w:rPr>
          <w:rFonts w:ascii="Arial" w:hAnsi="Arial" w:cs="Arial"/>
          <w:sz w:val="24"/>
          <w:szCs w:val="24"/>
        </w:rPr>
        <w:t>Ultimately, cultural synergy is not a matter of one side giving way to the other. It comes from mapping the differences carefully and building an organisational bridge that turns cultural diversity into a genuine competitive advantage.</w:t>
      </w:r>
    </w:p>
    <w:p w14:paraId="46B661FD" w14:textId="77777777" w:rsidR="00BB3F76" w:rsidRPr="002B071C" w:rsidRDefault="00000000">
      <w:pPr>
        <w:rPr>
          <w:rFonts w:ascii="Arial" w:hAnsi="Arial" w:cs="Arial"/>
          <w:sz w:val="24"/>
          <w:szCs w:val="24"/>
        </w:rPr>
      </w:pPr>
      <w:r w:rsidRPr="002B071C">
        <w:rPr>
          <w:rFonts w:ascii="Arial" w:hAnsi="Arial" w:cs="Arial"/>
          <w:sz w:val="24"/>
          <w:szCs w:val="24"/>
        </w:rPr>
        <w:br w:type="page"/>
      </w:r>
    </w:p>
    <w:p w14:paraId="5DD9EF97" w14:textId="77777777" w:rsidR="00BB3F76" w:rsidRPr="006629B0" w:rsidRDefault="00000000">
      <w:pPr>
        <w:pStyle w:val="Heading1"/>
        <w:spacing w:before="240" w:after="120"/>
        <w:rPr>
          <w:rFonts w:ascii="Arial" w:hAnsi="Arial" w:cs="Arial"/>
          <w:b/>
          <w:bCs/>
          <w:color w:val="auto"/>
          <w:sz w:val="24"/>
          <w:szCs w:val="24"/>
        </w:rPr>
      </w:pPr>
      <w:r w:rsidRPr="006629B0">
        <w:rPr>
          <w:rFonts w:ascii="Arial" w:hAnsi="Arial" w:cs="Arial"/>
          <w:b/>
          <w:bCs/>
          <w:color w:val="auto"/>
          <w:sz w:val="24"/>
          <w:szCs w:val="24"/>
        </w:rPr>
        <w:lastRenderedPageBreak/>
        <w:t>6. References</w:t>
      </w:r>
    </w:p>
    <w:p w14:paraId="319D7EBD"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AstraZeneca</w:t>
      </w:r>
      <w:r w:rsidRPr="008479CD">
        <w:rPr>
          <w:rFonts w:ascii="Arial" w:hAnsi="Arial" w:cs="Arial"/>
          <w:sz w:val="24"/>
          <w:szCs w:val="24"/>
        </w:rPr>
        <w:t xml:space="preserve"> (2019) </w:t>
      </w:r>
      <w:r w:rsidRPr="008479CD">
        <w:rPr>
          <w:rFonts w:ascii="Arial" w:hAnsi="Arial" w:cs="Arial"/>
          <w:i/>
          <w:iCs/>
          <w:sz w:val="24"/>
          <w:szCs w:val="24"/>
        </w:rPr>
        <w:t>AstraZeneca and Daiichi Sankyo enter collaboration for novel HER2-targeting antibody-drug conjugate</w:t>
      </w:r>
      <w:r w:rsidRPr="008479CD">
        <w:rPr>
          <w:rFonts w:ascii="Arial" w:hAnsi="Arial" w:cs="Arial"/>
          <w:sz w:val="24"/>
          <w:szCs w:val="24"/>
        </w:rPr>
        <w:t>. Cambridge: AstraZeneca Press Release, pp. 1–5.</w:t>
      </w:r>
    </w:p>
    <w:p w14:paraId="0213F846"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Daiichi Sankyo</w:t>
      </w:r>
      <w:r w:rsidRPr="008479CD">
        <w:rPr>
          <w:rFonts w:ascii="Arial" w:hAnsi="Arial" w:cs="Arial"/>
          <w:sz w:val="24"/>
          <w:szCs w:val="24"/>
        </w:rPr>
        <w:t xml:space="preserve"> (2019) </w:t>
      </w:r>
      <w:r w:rsidRPr="008479CD">
        <w:rPr>
          <w:rFonts w:ascii="Arial" w:hAnsi="Arial" w:cs="Arial"/>
          <w:i/>
          <w:iCs/>
          <w:sz w:val="24"/>
          <w:szCs w:val="24"/>
        </w:rPr>
        <w:t>Daiichi Sankyo and AstraZeneca Announce Global Development and Commercialization Collaboration</w:t>
      </w:r>
      <w:r w:rsidRPr="008479CD">
        <w:rPr>
          <w:rFonts w:ascii="Arial" w:hAnsi="Arial" w:cs="Arial"/>
          <w:sz w:val="24"/>
          <w:szCs w:val="24"/>
        </w:rPr>
        <w:t>. Tokyo: Daiichi Sankyo Corporate Communications, pp. 1–7.</w:t>
      </w:r>
    </w:p>
    <w:p w14:paraId="53284037"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Hall, E.T. și Hall, M.R.</w:t>
      </w:r>
      <w:r w:rsidRPr="008479CD">
        <w:rPr>
          <w:rFonts w:ascii="Arial" w:hAnsi="Arial" w:cs="Arial"/>
          <w:sz w:val="24"/>
          <w:szCs w:val="24"/>
        </w:rPr>
        <w:t xml:space="preserve"> (1990) </w:t>
      </w:r>
      <w:r w:rsidRPr="008479CD">
        <w:rPr>
          <w:rFonts w:ascii="Arial" w:hAnsi="Arial" w:cs="Arial"/>
          <w:i/>
          <w:iCs/>
          <w:sz w:val="24"/>
          <w:szCs w:val="24"/>
        </w:rPr>
        <w:t>Understanding Cultural Differences: Germans, French and Americans</w:t>
      </w:r>
      <w:r w:rsidRPr="008479CD">
        <w:rPr>
          <w:rFonts w:ascii="Arial" w:hAnsi="Arial" w:cs="Arial"/>
          <w:sz w:val="24"/>
          <w:szCs w:val="24"/>
        </w:rPr>
        <w:t>. Yarmouth, ME: Intercultural Press, pp. 3–55.</w:t>
      </w:r>
    </w:p>
    <w:p w14:paraId="4A344CF5"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Hofstede, G., Hofstede, G.J. și Minkov, M.</w:t>
      </w:r>
      <w:r w:rsidRPr="008479CD">
        <w:rPr>
          <w:rFonts w:ascii="Arial" w:hAnsi="Arial" w:cs="Arial"/>
          <w:sz w:val="24"/>
          <w:szCs w:val="24"/>
        </w:rPr>
        <w:t xml:space="preserve"> (2010) </w:t>
      </w:r>
      <w:r w:rsidRPr="008479CD">
        <w:rPr>
          <w:rFonts w:ascii="Arial" w:hAnsi="Arial" w:cs="Arial"/>
          <w:i/>
          <w:iCs/>
          <w:sz w:val="24"/>
          <w:szCs w:val="24"/>
        </w:rPr>
        <w:t>Cultures and Organizations: Software of the Mind</w:t>
      </w:r>
      <w:r w:rsidRPr="008479CD">
        <w:rPr>
          <w:rFonts w:ascii="Arial" w:hAnsi="Arial" w:cs="Arial"/>
          <w:sz w:val="24"/>
          <w:szCs w:val="24"/>
        </w:rPr>
        <w:t>. 3rd edn. New York: McGraw-Hill, pp. 88–215.</w:t>
      </w:r>
    </w:p>
    <w:p w14:paraId="53792EB7"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House, R.J., Hanges, P.J., Javidan, M., Dorfman, P.W. și Gupta, V.</w:t>
      </w:r>
      <w:r w:rsidRPr="008479CD">
        <w:rPr>
          <w:rFonts w:ascii="Arial" w:hAnsi="Arial" w:cs="Arial"/>
          <w:sz w:val="24"/>
          <w:szCs w:val="24"/>
        </w:rPr>
        <w:t xml:space="preserve"> (eds) (2004) </w:t>
      </w:r>
      <w:r w:rsidRPr="008479CD">
        <w:rPr>
          <w:rFonts w:ascii="Arial" w:hAnsi="Arial" w:cs="Arial"/>
          <w:i/>
          <w:iCs/>
          <w:sz w:val="24"/>
          <w:szCs w:val="24"/>
        </w:rPr>
        <w:t>Culture, Leadership, and Organizations: The GLOBE Study of 62 Societies</w:t>
      </w:r>
      <w:r w:rsidRPr="008479CD">
        <w:rPr>
          <w:rFonts w:ascii="Arial" w:hAnsi="Arial" w:cs="Arial"/>
          <w:sz w:val="24"/>
          <w:szCs w:val="24"/>
        </w:rPr>
        <w:t>. Thousand Oaks, CA: Sage, pp. 210–350.</w:t>
      </w:r>
    </w:p>
    <w:p w14:paraId="6B0208E8"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Kerzner, H.</w:t>
      </w:r>
      <w:r w:rsidRPr="008479CD">
        <w:rPr>
          <w:rFonts w:ascii="Arial" w:hAnsi="Arial" w:cs="Arial"/>
          <w:sz w:val="24"/>
          <w:szCs w:val="24"/>
        </w:rPr>
        <w:t xml:space="preserve"> (2017) </w:t>
      </w:r>
      <w:r w:rsidRPr="008479CD">
        <w:rPr>
          <w:rFonts w:ascii="Arial" w:hAnsi="Arial" w:cs="Arial"/>
          <w:i/>
          <w:iCs/>
          <w:sz w:val="24"/>
          <w:szCs w:val="24"/>
        </w:rPr>
        <w:t>Project Management: A Systems Approach to Planning, Scheduling, and Controlling</w:t>
      </w:r>
      <w:r w:rsidRPr="008479CD">
        <w:rPr>
          <w:rFonts w:ascii="Arial" w:hAnsi="Arial" w:cs="Arial"/>
          <w:sz w:val="24"/>
          <w:szCs w:val="24"/>
        </w:rPr>
        <w:t>. 12th edn. Hoboken, NJ: Wiley, pp. 380–450.</w:t>
      </w:r>
    </w:p>
    <w:p w14:paraId="481C91BC"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McSweeney, B.</w:t>
      </w:r>
      <w:r w:rsidRPr="008479CD">
        <w:rPr>
          <w:rFonts w:ascii="Arial" w:hAnsi="Arial" w:cs="Arial"/>
          <w:sz w:val="24"/>
          <w:szCs w:val="24"/>
        </w:rPr>
        <w:t xml:space="preserve"> (2002) 'Hofstede's model of national cultural differences and their consequences: a triumph of faith – a failure of analysis', </w:t>
      </w:r>
      <w:r w:rsidRPr="008479CD">
        <w:rPr>
          <w:rFonts w:ascii="Arial" w:hAnsi="Arial" w:cs="Arial"/>
          <w:i/>
          <w:iCs/>
          <w:sz w:val="24"/>
          <w:szCs w:val="24"/>
        </w:rPr>
        <w:t>Human Relations</w:t>
      </w:r>
      <w:r w:rsidRPr="008479CD">
        <w:rPr>
          <w:rFonts w:ascii="Arial" w:hAnsi="Arial" w:cs="Arial"/>
          <w:sz w:val="24"/>
          <w:szCs w:val="24"/>
        </w:rPr>
        <w:t>, 55(1), pp. 89–118.</w:t>
      </w:r>
    </w:p>
    <w:p w14:paraId="0B0FB10B"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Meyer, E.</w:t>
      </w:r>
      <w:r w:rsidRPr="008479CD">
        <w:rPr>
          <w:rFonts w:ascii="Arial" w:hAnsi="Arial" w:cs="Arial"/>
          <w:sz w:val="24"/>
          <w:szCs w:val="24"/>
        </w:rPr>
        <w:t xml:space="preserve"> (2014) </w:t>
      </w:r>
      <w:r w:rsidRPr="008479CD">
        <w:rPr>
          <w:rFonts w:ascii="Arial" w:hAnsi="Arial" w:cs="Arial"/>
          <w:i/>
          <w:iCs/>
          <w:sz w:val="24"/>
          <w:szCs w:val="24"/>
        </w:rPr>
        <w:t>The Culture Map: Breaking Through the Invisible Boundaries of Global Business</w:t>
      </w:r>
      <w:r w:rsidRPr="008479CD">
        <w:rPr>
          <w:rFonts w:ascii="Arial" w:hAnsi="Arial" w:cs="Arial"/>
          <w:sz w:val="24"/>
          <w:szCs w:val="24"/>
        </w:rPr>
        <w:t>. New York: PublicAffairs, pp. 30–145.</w:t>
      </w:r>
    </w:p>
    <w:p w14:paraId="74079B01"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Project Management Institute</w:t>
      </w:r>
      <w:r w:rsidRPr="008479CD">
        <w:rPr>
          <w:rFonts w:ascii="Arial" w:hAnsi="Arial" w:cs="Arial"/>
          <w:sz w:val="24"/>
          <w:szCs w:val="24"/>
        </w:rPr>
        <w:t xml:space="preserve"> (2021) </w:t>
      </w:r>
      <w:r w:rsidRPr="008479CD">
        <w:rPr>
          <w:rFonts w:ascii="Arial" w:hAnsi="Arial" w:cs="Arial"/>
          <w:i/>
          <w:iCs/>
          <w:sz w:val="24"/>
          <w:szCs w:val="24"/>
        </w:rPr>
        <w:t>A Guide to the Project Management Body of Knowledge (PMBOK Guide)</w:t>
      </w:r>
      <w:r w:rsidRPr="008479CD">
        <w:rPr>
          <w:rFonts w:ascii="Arial" w:hAnsi="Arial" w:cs="Arial"/>
          <w:sz w:val="24"/>
          <w:szCs w:val="24"/>
        </w:rPr>
        <w:t>. 7th edn. Newtown Square, PA: Project Management Institute, pp. 10–95.</w:t>
      </w:r>
    </w:p>
    <w:p w14:paraId="62D2756A"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Reuters</w:t>
      </w:r>
      <w:r w:rsidRPr="008479CD">
        <w:rPr>
          <w:rFonts w:ascii="Arial" w:hAnsi="Arial" w:cs="Arial"/>
          <w:sz w:val="24"/>
          <w:szCs w:val="24"/>
        </w:rPr>
        <w:t xml:space="preserve"> (2019) </w:t>
      </w:r>
      <w:r w:rsidRPr="008479CD">
        <w:rPr>
          <w:rFonts w:ascii="Arial" w:hAnsi="Arial" w:cs="Arial"/>
          <w:i/>
          <w:iCs/>
          <w:sz w:val="24"/>
          <w:szCs w:val="24"/>
        </w:rPr>
        <w:t>AstraZeneca pays up to $6.9 billion in Daiichi Sankyo cancer drug deal</w:t>
      </w:r>
      <w:r w:rsidRPr="008479CD">
        <w:rPr>
          <w:rFonts w:ascii="Arial" w:hAnsi="Arial" w:cs="Arial"/>
          <w:sz w:val="24"/>
          <w:szCs w:val="24"/>
        </w:rPr>
        <w:t>. London: Reuters Healthcare, pp. 1–2.</w:t>
      </w:r>
    </w:p>
    <w:p w14:paraId="3EEF4DAE" w14:textId="77777777" w:rsidR="00DC677B" w:rsidRPr="008479CD" w:rsidRDefault="00DC677B" w:rsidP="00DC677B">
      <w:pPr>
        <w:numPr>
          <w:ilvl w:val="0"/>
          <w:numId w:val="2"/>
        </w:numPr>
        <w:spacing w:after="160" w:line="259" w:lineRule="auto"/>
        <w:rPr>
          <w:rFonts w:ascii="Arial" w:hAnsi="Arial" w:cs="Arial"/>
          <w:sz w:val="24"/>
          <w:szCs w:val="24"/>
        </w:rPr>
      </w:pPr>
      <w:r w:rsidRPr="008479CD">
        <w:rPr>
          <w:rFonts w:ascii="Arial" w:hAnsi="Arial" w:cs="Arial"/>
          <w:b/>
          <w:bCs/>
          <w:sz w:val="24"/>
          <w:szCs w:val="24"/>
        </w:rPr>
        <w:t>Trompenaars, F. și Hampden-Turner, C.</w:t>
      </w:r>
      <w:r w:rsidRPr="008479CD">
        <w:rPr>
          <w:rFonts w:ascii="Arial" w:hAnsi="Arial" w:cs="Arial"/>
          <w:sz w:val="24"/>
          <w:szCs w:val="24"/>
        </w:rPr>
        <w:t xml:space="preserve"> (2020) </w:t>
      </w:r>
      <w:r w:rsidRPr="008479CD">
        <w:rPr>
          <w:rFonts w:ascii="Arial" w:hAnsi="Arial" w:cs="Arial"/>
          <w:i/>
          <w:iCs/>
          <w:sz w:val="24"/>
          <w:szCs w:val="24"/>
        </w:rPr>
        <w:t>Riding the Waves of Culture: Understanding Diversity in Global Business</w:t>
      </w:r>
      <w:r w:rsidRPr="008479CD">
        <w:rPr>
          <w:rFonts w:ascii="Arial" w:hAnsi="Arial" w:cs="Arial"/>
          <w:sz w:val="24"/>
          <w:szCs w:val="24"/>
        </w:rPr>
        <w:t>. 4th edn. New York: McGraw-Hill, pp. 40–180.</w:t>
      </w:r>
    </w:p>
    <w:p w14:paraId="59B2745A" w14:textId="03676BC1" w:rsidR="00BB3F76" w:rsidRPr="002B071C" w:rsidRDefault="00BB3F76" w:rsidP="00DC677B">
      <w:pPr>
        <w:spacing w:after="140" w:line="280" w:lineRule="auto"/>
        <w:ind w:left="400" w:hanging="400"/>
        <w:rPr>
          <w:rFonts w:ascii="Arial" w:hAnsi="Arial" w:cs="Arial"/>
          <w:sz w:val="24"/>
          <w:szCs w:val="24"/>
        </w:rPr>
      </w:pPr>
    </w:p>
    <w:sectPr w:rsidR="00BB3F76" w:rsidRPr="002B071C">
      <w:pgSz w:w="11906" w:h="16838"/>
      <w:pgMar w:top="1134" w:right="1134" w:bottom="1134" w:left="1134"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6B7DF7"/>
    <w:multiLevelType w:val="multilevel"/>
    <w:tmpl w:val="82EC2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D67388"/>
    <w:multiLevelType w:val="hybridMultilevel"/>
    <w:tmpl w:val="EDFEF13C"/>
    <w:lvl w:ilvl="0" w:tplc="4AF63C6A">
      <w:start w:val="1"/>
      <w:numFmt w:val="bullet"/>
      <w:lvlText w:val="●"/>
      <w:lvlJc w:val="left"/>
      <w:pPr>
        <w:ind w:left="720" w:hanging="360"/>
      </w:pPr>
    </w:lvl>
    <w:lvl w:ilvl="1" w:tplc="094633F4">
      <w:start w:val="1"/>
      <w:numFmt w:val="bullet"/>
      <w:lvlText w:val="○"/>
      <w:lvlJc w:val="left"/>
      <w:pPr>
        <w:ind w:left="1440" w:hanging="360"/>
      </w:pPr>
    </w:lvl>
    <w:lvl w:ilvl="2" w:tplc="7852769A">
      <w:start w:val="1"/>
      <w:numFmt w:val="bullet"/>
      <w:lvlText w:val="■"/>
      <w:lvlJc w:val="left"/>
      <w:pPr>
        <w:ind w:left="2160" w:hanging="360"/>
      </w:pPr>
    </w:lvl>
    <w:lvl w:ilvl="3" w:tplc="6F9AEAAC">
      <w:start w:val="1"/>
      <w:numFmt w:val="bullet"/>
      <w:lvlText w:val="●"/>
      <w:lvlJc w:val="left"/>
      <w:pPr>
        <w:ind w:left="2880" w:hanging="360"/>
      </w:pPr>
    </w:lvl>
    <w:lvl w:ilvl="4" w:tplc="6630B25A">
      <w:start w:val="1"/>
      <w:numFmt w:val="bullet"/>
      <w:lvlText w:val="○"/>
      <w:lvlJc w:val="left"/>
      <w:pPr>
        <w:ind w:left="3600" w:hanging="360"/>
      </w:pPr>
    </w:lvl>
    <w:lvl w:ilvl="5" w:tplc="CBC27848">
      <w:start w:val="1"/>
      <w:numFmt w:val="bullet"/>
      <w:lvlText w:val="■"/>
      <w:lvlJc w:val="left"/>
      <w:pPr>
        <w:ind w:left="4320" w:hanging="360"/>
      </w:pPr>
    </w:lvl>
    <w:lvl w:ilvl="6" w:tplc="DC9CD870">
      <w:start w:val="1"/>
      <w:numFmt w:val="bullet"/>
      <w:lvlText w:val="●"/>
      <w:lvlJc w:val="left"/>
      <w:pPr>
        <w:ind w:left="5040" w:hanging="360"/>
      </w:pPr>
    </w:lvl>
    <w:lvl w:ilvl="7" w:tplc="030093B4">
      <w:start w:val="1"/>
      <w:numFmt w:val="bullet"/>
      <w:lvlText w:val="●"/>
      <w:lvlJc w:val="left"/>
      <w:pPr>
        <w:ind w:left="5760" w:hanging="360"/>
      </w:pPr>
    </w:lvl>
    <w:lvl w:ilvl="8" w:tplc="E9E0B2DA">
      <w:start w:val="1"/>
      <w:numFmt w:val="bullet"/>
      <w:lvlText w:val="●"/>
      <w:lvlJc w:val="left"/>
      <w:pPr>
        <w:ind w:left="6480" w:hanging="360"/>
      </w:pPr>
    </w:lvl>
  </w:abstractNum>
  <w:num w:numId="1" w16cid:durableId="1975327434">
    <w:abstractNumId w:val="1"/>
    <w:lvlOverride w:ilvl="0">
      <w:startOverride w:val="1"/>
    </w:lvlOverride>
  </w:num>
  <w:num w:numId="2" w16cid:durableId="616911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3F76"/>
    <w:rsid w:val="00077C13"/>
    <w:rsid w:val="00253039"/>
    <w:rsid w:val="002B071C"/>
    <w:rsid w:val="006629B0"/>
    <w:rsid w:val="00BB3F76"/>
    <w:rsid w:val="00DC677B"/>
    <w:rsid w:val="00FD7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477B3"/>
  <w15:docId w15:val="{BFAB81F2-2AE8-4407-A363-6D1EC1F5A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50619">
      <w:bodyDiv w:val="1"/>
      <w:marLeft w:val="0"/>
      <w:marRight w:val="0"/>
      <w:marTop w:val="0"/>
      <w:marBottom w:val="0"/>
      <w:divBdr>
        <w:top w:val="none" w:sz="0" w:space="0" w:color="auto"/>
        <w:left w:val="none" w:sz="0" w:space="0" w:color="auto"/>
        <w:bottom w:val="none" w:sz="0" w:space="0" w:color="auto"/>
        <w:right w:val="none" w:sz="0" w:space="0" w:color="auto"/>
      </w:divBdr>
    </w:div>
    <w:div w:id="879827767">
      <w:bodyDiv w:val="1"/>
      <w:marLeft w:val="0"/>
      <w:marRight w:val="0"/>
      <w:marTop w:val="0"/>
      <w:marBottom w:val="0"/>
      <w:divBdr>
        <w:top w:val="none" w:sz="0" w:space="0" w:color="auto"/>
        <w:left w:val="none" w:sz="0" w:space="0" w:color="auto"/>
        <w:bottom w:val="none" w:sz="0" w:space="0" w:color="auto"/>
        <w:right w:val="none" w:sz="0" w:space="0" w:color="auto"/>
      </w:divBdr>
    </w:div>
    <w:div w:id="1604724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2387</Words>
  <Characters>13608</Characters>
  <Application>Microsoft Office Word</Application>
  <DocSecurity>0</DocSecurity>
  <Lines>113</Lines>
  <Paragraphs>31</Paragraphs>
  <ScaleCrop>false</ScaleCrop>
  <Company/>
  <LinksUpToDate>false</LinksUpToDate>
  <CharactersWithSpaces>15964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daniela munteanu</cp:lastModifiedBy>
  <cp:revision>5</cp:revision>
  <dcterms:created xsi:type="dcterms:W3CDTF">2026-07-22T04:47:00Z</dcterms:created>
  <dcterms:modified xsi:type="dcterms:W3CDTF">2026-07-22T05:06:00Z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1c687232-1d1c-40cd-9d91-eef2372f350e</vt:lpwstr>
  </property>
</Properties>
</file>