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Whitbread PLC: 5-Year Financial Ratio Trend Analysis (FY 2021 - FY 2025)</w:t>
      </w:r>
    </w:p>
    <w:p>
      <w:pPr>
        <w:pStyle w:val="Heading1"/>
      </w:pPr>
      <w:r>
        <w:t>1. Profitability Trends</w:t>
      </w:r>
    </w:p>
    <w:p>
      <w:r>
        <w:t>Whitbread’s profitability metrics illustrate a stark pandemic recovery arc followed by stabilization. Operating margins fell to a severe deficit in FY21 (-158%) due to mandatory COVID-19 closures, recovering quickly to 16.7% by FY23 as demand returned. However, margins have slightly cooled in FY24 (15.4%) and FY25 (12.2%), which management attributes to sector-wide inflationary pressures across food, utilities, and labor, alongside the transition of lower-returning branded restaurants in their Accelerating Growth Plan (AGP). Net profit margins mirrored this trend, peaking at 10.6% in FY23 before stabilizing at 8.7% in FY25.</w:t>
      </w:r>
    </w:p>
    <w:p>
      <w:pPr>
        <w:pStyle w:val="Heading1"/>
      </w:pPr>
      <w:r>
        <w:t>2. Liquidity Constraints</w:t>
      </w:r>
    </w:p>
    <w:p>
      <w:r>
        <w:t>During the peak of the pandemic (FY21), Whitbread fortified its balance sheet with an expansive £1 billion rights issue and £550m in Green Bonds, creating an artificially high cash-to-current-liability ratio (Cash Ratio of 3.2x and Current Ratio of 3.4x). As operations normalized and management returned capital to shareholders via buybacks and dividends, liquidity tightened sequentially. By FY25, the Current Ratio sits at a much leaner 1.63x and the Cash Ratio at 1.43x. Despite the downward trend, liquidity remains highly robust with over £900 million in cash reserves covering short-term obligations.</w:t>
      </w:r>
    </w:p>
    <w:p>
      <w:pPr>
        <w:pStyle w:val="Heading1"/>
      </w:pPr>
      <w:r>
        <w:t>3. Operational Efficiency</w:t>
      </w:r>
    </w:p>
    <w:p>
      <w:r>
        <w:t>Efficiency ratios demonstrate the company’s ability to leverage its massive asset base as consumer demand returned. Asset turnover dipped to a low of 0.07x in FY21 but has almost tripled to a steady 0.31x in FY24 and FY25. Similarly, fixed asset turnover—a crucial metric given Whitbread’s asset-heavy, freehold property model—rose from 0.14x in FY21 to 0.62x by FY25. This indicates that their strategy to optimize the existing estate and drive higher revenue per available room (RevPAR) is effectively utilizing the physical properties.</w:t>
      </w:r>
    </w:p>
    <w:p>
      <w:pPr>
        <w:pStyle w:val="Heading1"/>
      </w:pPr>
      <w:r>
        <w:t>4. Leverage and Solvency</w:t>
      </w:r>
    </w:p>
    <w:p>
      <w:r>
        <w:t>Whitbread’s leverage profile has undergone significant shifts as the company pursued both UK pipeline expansions and aggressive German market growth. The Debt-to-Equity ratio has aggressively scaled from 0.54 in FY21 up to 1.58 in FY25. This is largely driven by a massive increase in long-term lease liabilities as they expanded their leasehold estate footprint in Germany. However, solvency risks are well mitigated by strong earnings recovery; Interest Coverage reached 119.9x in FY24, and though it dropped to 35.8x in FY25, the company easily covers its net finance costs out of operating profits, comfortably maintaining its investment-grade BBB credit rating.</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