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media/image10.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bookmarkStart w:id="0" w:name="_Hlk163114505"/>
      <w:bookmarkEnd w:id="0"/>
    </w:p>
    <w:p>
      <w:pPr>
        <w:jc w:val="center"/>
      </w:pPr>
      <w:r>
        <w:drawing>
          <wp:inline distT="0" distB="0" distL="0" distR="0">
            <wp:extent cx="2865120" cy="1592580"/>
            <wp:effectExtent l="0" t="0" r="0" b="0"/>
            <wp:docPr id="821054693" name="Picture 2"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54693" name="Picture 2" descr="university-of-wales-trinity-saint-david-logo-vector | ESRC Wales Doctoral  Training Partnershi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65120" cy="1592580"/>
                    </a:xfrm>
                    <a:prstGeom prst="rect">
                      <a:avLst/>
                    </a:prstGeom>
                    <a:noFill/>
                    <a:ln>
                      <a:noFill/>
                    </a:ln>
                  </pic:spPr>
                </pic:pic>
              </a:graphicData>
            </a:graphic>
          </wp:inline>
        </w:drawing>
      </w:r>
    </w:p>
    <w:p>
      <w:pPr>
        <w:jc w:val="center"/>
      </w:pPr>
    </w:p>
    <w:p>
      <w:pPr>
        <w:jc w:val="center"/>
      </w:pPr>
      <w:r>
        <w:t xml:space="preserve"> STUDENT NAME: BANSURI LADANI</w:t>
      </w:r>
    </w:p>
    <w:p>
      <w:pPr>
        <w:jc w:val="center"/>
      </w:pPr>
      <w:r>
        <w:t>STUDENT ID: 2309040</w:t>
      </w:r>
    </w:p>
    <w:p>
      <w:pPr>
        <w:jc w:val="center"/>
      </w:pPr>
      <w:r>
        <w:t>TUTOR NAME: PING WU</w:t>
      </w:r>
    </w:p>
    <w:p>
      <w:r>
        <w:t xml:space="preserve">                            MODULE NAME: POPULATION HEALTH AND DIGITAL HEALTH  PROMOTION</w:t>
      </w:r>
    </w:p>
    <w:p/>
    <w:p>
      <w:pPr>
        <w:pStyle w:val="7"/>
        <w:rPr>
          <w:sz w:val="72"/>
          <w:szCs w:val="72"/>
        </w:rPr>
      </w:pPr>
    </w:p>
    <w:p>
      <w:pPr>
        <w:pStyle w:val="7"/>
        <w:rPr>
          <w:sz w:val="72"/>
          <w:szCs w:val="72"/>
        </w:rPr>
      </w:pPr>
    </w:p>
    <w:p>
      <w:pPr>
        <w:pStyle w:val="7"/>
        <w:rPr>
          <w:sz w:val="72"/>
          <w:szCs w:val="72"/>
        </w:rPr>
      </w:pPr>
    </w:p>
    <w:p>
      <w:pPr>
        <w:pStyle w:val="7"/>
        <w:rPr>
          <w:sz w:val="72"/>
          <w:szCs w:val="72"/>
        </w:rPr>
      </w:pPr>
    </w:p>
    <w:p>
      <w:pPr>
        <w:pStyle w:val="7"/>
        <w:rPr>
          <w:sz w:val="72"/>
          <w:szCs w:val="72"/>
        </w:rPr>
      </w:pPr>
    </w:p>
    <w:p>
      <w:pPr>
        <w:pStyle w:val="7"/>
        <w:rPr>
          <w:sz w:val="72"/>
          <w:szCs w:val="72"/>
        </w:rPr>
      </w:pPr>
    </w:p>
    <w:p>
      <w:pPr>
        <w:pStyle w:val="7"/>
        <w:rPr>
          <w:sz w:val="72"/>
          <w:szCs w:val="72"/>
        </w:rPr>
      </w:pPr>
    </w:p>
    <w:p>
      <w:pPr>
        <w:pStyle w:val="7"/>
        <w:rPr>
          <w:sz w:val="72"/>
          <w:szCs w:val="72"/>
        </w:rPr>
      </w:pPr>
    </w:p>
    <w:p>
      <w:pPr>
        <w:pStyle w:val="7"/>
        <w:rPr>
          <w:sz w:val="72"/>
          <w:szCs w:val="72"/>
        </w:rPr>
      </w:pPr>
    </w:p>
    <w:p>
      <w:pPr>
        <w:pStyle w:val="7"/>
        <w:rPr>
          <w:sz w:val="72"/>
          <w:szCs w:val="72"/>
        </w:rPr>
      </w:pPr>
      <w:r>
        <w:rPr>
          <w:sz w:val="72"/>
          <w:szCs w:val="72"/>
        </w:rPr>
        <w:t>BLOG:1</w:t>
      </w:r>
    </w:p>
    <w:p>
      <w:pPr>
        <w:pStyle w:val="7"/>
        <w:rPr>
          <w:sz w:val="72"/>
          <w:szCs w:val="72"/>
        </w:rPr>
      </w:pPr>
      <w:r>
        <w:rPr>
          <w:sz w:val="72"/>
          <w:szCs w:val="72"/>
        </w:rPr>
        <w:t>The Impact of mHealth Apps on Managing Type 2 Diabetes</w:t>
      </w:r>
    </w:p>
    <w:p>
      <w:pPr>
        <w:rPr>
          <w:lang w:eastAsia="en-GB"/>
        </w:rPr>
      </w:pPr>
    </w:p>
    <w:p>
      <w:pPr>
        <w:rPr>
          <w:rFonts w:ascii="Arial" w:hAnsi="Arial" w:eastAsia="Times New Roman" w:cs="Arial"/>
          <w:b/>
          <w:bCs/>
          <w:color w:val="0D0D0D"/>
          <w:kern w:val="0"/>
          <w:sz w:val="24"/>
          <w:szCs w:val="24"/>
          <w:lang w:eastAsia="en-GB"/>
          <w14:ligatures w14:val="none"/>
        </w:rPr>
      </w:pPr>
      <w:r>
        <w:rPr>
          <w:rFonts w:ascii="Arial" w:hAnsi="Arial" w:eastAsia="Times New Roman" w:cs="Arial"/>
          <w:b/>
          <w:bCs/>
          <w:color w:val="0D0D0D"/>
          <w:kern w:val="0"/>
          <w:sz w:val="24"/>
          <w:szCs w:val="24"/>
          <w:lang w:eastAsia="en-GB"/>
          <w14:ligatures w14:val="none"/>
        </w:rPr>
        <w:t>Introduction</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The use of digital technologies into health promotion initiatives has brought about a notable change in the management of chronic diseases, such as type 2 diabetes mellitus (T2DM). Type 2 diabetes mellitus (T2DM) is a widespread problem in public health. It is defined by elevated levels of glucose in the blood for an extended period, which can result in serious problems if not properly controlled. mHealth applications have emerged as a solution to the difficulty of improving self-management habits among patients.</w:t>
      </w:r>
    </w:p>
    <w:p>
      <w:pPr>
        <w:rPr>
          <w:rFonts w:ascii="Arial" w:hAnsi="Arial" w:eastAsia="Times New Roman" w:cs="Arial"/>
          <w:b/>
          <w:bCs/>
          <w:color w:val="0D0D0D"/>
          <w:kern w:val="0"/>
          <w:sz w:val="24"/>
          <w:szCs w:val="24"/>
          <w:lang w:eastAsia="en-GB"/>
          <w14:ligatures w14:val="none"/>
        </w:rPr>
      </w:pPr>
      <w:r>
        <w:rPr>
          <w:rFonts w:ascii="Arial" w:hAnsi="Arial" w:eastAsia="Times New Roman" w:cs="Arial"/>
          <w:b/>
          <w:bCs/>
          <w:color w:val="0D0D0D"/>
          <w:kern w:val="0"/>
          <w:sz w:val="24"/>
          <w:szCs w:val="24"/>
          <w:lang w:eastAsia="en-GB"/>
          <w14:ligatures w14:val="none"/>
        </w:rPr>
        <w:t>The Public Health Problem of Type 2 Diabetes</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The growing prevalence of Type 2 diabetes and its significant impact on individuals and healthcare systems make it a pressing global health issue. The World Health Organization reports that the prevalence of diabetes has increased significantly over the years, from 108 million individuals in 1980 to 422 million individuals in 2014. Most of these cases are attributed to type 2 diabetes mellitus (T2DM). The disorder is a significant contributor to vision loss, kidney failure, heart attacks, stroke, and amputation of the lower limbs. Therefore, it is crucial to prioritize effective management of this condition in public health activities.</w:t>
      </w:r>
      <w:r>
        <w:rPr>
          <w:rFonts w:ascii="Arial" w:hAnsi="Arial" w:cs="Arial"/>
          <w:sz w:val="24"/>
          <w:szCs w:val="24"/>
        </w:rPr>
        <w:t xml:space="preserve"> </w:t>
      </w:r>
      <w:r>
        <w:rPr>
          <w:rFonts w:ascii="Arial" w:hAnsi="Arial" w:cs="Arial"/>
          <w:sz w:val="24"/>
          <w:szCs w:val="24"/>
        </w:rPr>
        <w:drawing>
          <wp:inline distT="0" distB="0" distL="0" distR="0">
            <wp:extent cx="5731510" cy="3439160"/>
            <wp:effectExtent l="0" t="0" r="0" b="0"/>
            <wp:docPr id="2060210779" name="Picture 4" descr="A graph showing the growth of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10779" name="Picture 4" descr="A graph showing the growth of diabetes"/>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r>
        <w:rPr>
          <w:rFonts w:ascii="Arial" w:hAnsi="Arial" w:cs="Arial"/>
          <w:sz w:val="24"/>
          <w:szCs w:val="24"/>
        </w:rPr>
        <w:drawing>
          <wp:inline distT="0" distB="0" distL="0" distR="0">
            <wp:extent cx="5731510" cy="5731510"/>
            <wp:effectExtent l="0" t="0" r="0" b="0"/>
            <wp:docPr id="331222329" name="Picture 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22329" name="Picture 5" descr="A pie chart with different colored circles&#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pPr>
        <w:rPr>
          <w:rFonts w:ascii="Arial" w:hAnsi="Arial" w:eastAsia="Times New Roman" w:cs="Arial"/>
          <w:b/>
          <w:bCs/>
          <w:color w:val="0D0D0D"/>
          <w:kern w:val="0"/>
          <w:sz w:val="24"/>
          <w:szCs w:val="24"/>
          <w:lang w:eastAsia="en-GB"/>
          <w14:ligatures w14:val="none"/>
        </w:rPr>
      </w:pPr>
      <w:r>
        <w:rPr>
          <w:rFonts w:ascii="Arial" w:hAnsi="Arial" w:eastAsia="Times New Roman" w:cs="Arial"/>
          <w:b/>
          <w:bCs/>
          <w:color w:val="0D0D0D"/>
          <w:kern w:val="0"/>
          <w:sz w:val="24"/>
          <w:szCs w:val="24"/>
          <w:lang w:eastAsia="en-GB"/>
          <w14:ligatures w14:val="none"/>
        </w:rPr>
        <w:t>mHealth Apps in Health Promotion</w:t>
      </w:r>
    </w:p>
    <w:p>
      <w:pPr>
        <w:rPr>
          <w:rFonts w:ascii="Arial" w:hAnsi="Arial" w:eastAsia="Times New Roman" w:cs="Arial"/>
          <w:kern w:val="0"/>
          <w:sz w:val="24"/>
          <w:szCs w:val="24"/>
          <w:lang w:eastAsia="en-GB"/>
          <w14:ligatures w14:val="none"/>
        </w:rPr>
      </w:pP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mHealth applications, like the BD™ Diabetes Care App, embody an innovative strategy for diabetes management, empowering users to efficiently monitor and control their health information. These applications provide features for monitoring blood glucose levels, food patterns, and physical exercise, offering personalized feedback and reminders to users. They function as a digital intermediary connecting patients and healthcare practitioners, improving the exchange of information, and facilitating prompt actions.</w:t>
      </w:r>
      <w:r>
        <w:rPr>
          <w:rFonts w:ascii="Arial" w:hAnsi="Arial" w:cs="Arial"/>
          <w:sz w:val="24"/>
          <w:szCs w:val="24"/>
        </w:rPr>
        <w:t xml:space="preserve"> </w:t>
      </w:r>
      <w:r>
        <w:rPr>
          <w:rFonts w:ascii="Arial" w:hAnsi="Arial" w:cs="Arial"/>
          <w:sz w:val="24"/>
          <w:szCs w:val="24"/>
        </w:rPr>
        <w:drawing>
          <wp:inline distT="0" distB="0" distL="0" distR="0">
            <wp:extent cx="5731510" cy="4398645"/>
            <wp:effectExtent l="0" t="0" r="0" b="0"/>
            <wp:docPr id="1357559511" name="Picture 6" descr="A person using a lancet to check blood sug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59511" name="Picture 6" descr="A person using a lancet to check blood suga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98645"/>
                    </a:xfrm>
                    <a:prstGeom prst="rect">
                      <a:avLst/>
                    </a:prstGeom>
                  </pic:spPr>
                </pic:pic>
              </a:graphicData>
            </a:graphic>
          </wp:inline>
        </w:drawing>
      </w:r>
    </w:p>
    <w:p>
      <w:pPr>
        <w:rPr>
          <w:rFonts w:ascii="Arial" w:hAnsi="Arial" w:eastAsia="Times New Roman" w:cs="Arial"/>
          <w:b/>
          <w:bCs/>
          <w:color w:val="0D0D0D"/>
          <w:kern w:val="0"/>
          <w:sz w:val="24"/>
          <w:szCs w:val="24"/>
          <w:lang w:eastAsia="en-GB"/>
          <w14:ligatures w14:val="none"/>
        </w:rPr>
      </w:pPr>
      <w:r>
        <w:rPr>
          <w:rFonts w:ascii="Arial" w:hAnsi="Arial" w:eastAsia="Times New Roman" w:cs="Arial"/>
          <w:b/>
          <w:bCs/>
          <w:color w:val="0D0D0D"/>
          <w:kern w:val="0"/>
          <w:sz w:val="24"/>
          <w:szCs w:val="24"/>
          <w:lang w:eastAsia="en-GB"/>
          <w14:ligatures w14:val="none"/>
        </w:rPr>
        <w:t>Evidence of Impact</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Research has shown that mHealth applications have a beneficial effect on the self-care of individuals with type 2 diabetes mellitus. In 2023, Jodi S. Krall and her colleagues conducted a study that demonstrated notable enhancements in haemoglobin A1c (HbA1c) levels and a decrease in diabetic distress among patients who utilized the BD™ diabetic Care App. These findings emphasize the importance of apps in facilitating diabetes self-management education (DSMES) and improving patient outcomes.</w:t>
      </w:r>
    </w:p>
    <w:p>
      <w:pPr>
        <w:rPr>
          <w:rFonts w:ascii="Arial" w:hAnsi="Arial" w:eastAsia="Times New Roman" w:cs="Arial"/>
          <w:b/>
          <w:bCs/>
          <w:color w:val="0D0D0D"/>
          <w:kern w:val="0"/>
          <w:sz w:val="24"/>
          <w:szCs w:val="24"/>
          <w:lang w:eastAsia="en-GB"/>
          <w14:ligatures w14:val="none"/>
        </w:rPr>
      </w:pPr>
      <w:r>
        <w:rPr>
          <w:rFonts w:ascii="Arial" w:hAnsi="Arial" w:eastAsia="Times New Roman" w:cs="Arial"/>
          <w:b/>
          <w:bCs/>
          <w:color w:val="0D0D0D"/>
          <w:kern w:val="0"/>
          <w:sz w:val="24"/>
          <w:szCs w:val="24"/>
          <w:lang w:eastAsia="en-GB"/>
          <w14:ligatures w14:val="none"/>
        </w:rPr>
        <w:t>Critical Discussion on Impact</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u w:val="single"/>
          <w:lang w:eastAsia="en-GB"/>
          <w14:ligatures w14:val="none"/>
        </w:rPr>
        <w:t>Benefits</w:t>
      </w:r>
      <w:r>
        <w:rPr>
          <w:rFonts w:ascii="Arial" w:hAnsi="Arial" w:eastAsia="Times New Roman" w:cs="Arial"/>
          <w:kern w:val="0"/>
          <w:sz w:val="24"/>
          <w:szCs w:val="24"/>
          <w:lang w:eastAsia="en-GB"/>
          <w14:ligatures w14:val="none"/>
        </w:rPr>
        <w:t xml:space="preserve">: </w:t>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t xml:space="preserve">Improved Accessibility: mHealth applications enable patients to conveniently access their health information and receive help at any location and at any time. </w:t>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t xml:space="preserve">Enhanced Patient Engagement: Customized feedback and interactive elements incentivize patients to comply with their treatment regimens. </w:t>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t xml:space="preserve">Cost-efficient: mHealth apps can decrease healthcare expenses by minimizing the necessity for regular face-to-face consultations. </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u w:val="single"/>
          <w:lang w:eastAsia="en-GB"/>
          <w14:ligatures w14:val="none"/>
        </w:rPr>
        <w:t>Drawbacks/Limitations:</w:t>
      </w:r>
      <w:r>
        <w:rPr>
          <w:rFonts w:ascii="Arial" w:hAnsi="Arial" w:eastAsia="Times New Roman" w:cs="Arial"/>
          <w:kern w:val="0"/>
          <w:sz w:val="24"/>
          <w:szCs w:val="24"/>
          <w:lang w:eastAsia="en-GB"/>
          <w14:ligatures w14:val="none"/>
        </w:rPr>
        <w:t xml:space="preserve"> </w:t>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t xml:space="preserve">Quality and safety issues may arise with certain mHealth apps due to inadequate design or failure to comply with evidence-based principles. </w:t>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t xml:space="preserve">Concerns regarding the protection of personal information: Privacy and security problems are raised by the handling and storage of personal health information. </w:t>
      </w:r>
      <w:r>
        <w:rPr>
          <w:rFonts w:ascii="Arial" w:hAnsi="Arial" w:eastAsia="Times New Roman" w:cs="Arial"/>
          <w:kern w:val="0"/>
          <w:sz w:val="24"/>
          <w:szCs w:val="24"/>
          <w:lang w:eastAsia="en-GB"/>
          <w14:ligatures w14:val="none"/>
        </w:rPr>
        <w:br w:type="textWrapping"/>
      </w:r>
      <w:r>
        <w:rPr>
          <w:rFonts w:ascii="Arial" w:hAnsi="Arial" w:eastAsia="Times New Roman" w:cs="Arial"/>
          <w:kern w:val="0"/>
          <w:sz w:val="24"/>
          <w:szCs w:val="24"/>
          <w:lang w:eastAsia="en-GB"/>
          <w14:ligatures w14:val="none"/>
        </w:rPr>
        <w:t>The efficacy of mHealth applications relies on the user's level of digital literacy and involvement.</w:t>
      </w:r>
    </w:p>
    <w:p>
      <w:pPr>
        <w:rPr>
          <w:rFonts w:ascii="Arial" w:hAnsi="Arial" w:eastAsia="Times New Roman" w:cs="Arial"/>
          <w:b/>
          <w:bCs/>
          <w:color w:val="0D0D0D"/>
          <w:kern w:val="0"/>
          <w:sz w:val="24"/>
          <w:szCs w:val="24"/>
          <w:lang w:eastAsia="en-GB"/>
          <w14:ligatures w14:val="none"/>
        </w:rPr>
      </w:pPr>
      <w:r>
        <w:rPr>
          <w:rFonts w:ascii="Arial" w:hAnsi="Arial" w:eastAsia="Times New Roman" w:cs="Arial"/>
          <w:b/>
          <w:bCs/>
          <w:color w:val="0D0D0D"/>
          <w:kern w:val="0"/>
          <w:sz w:val="24"/>
          <w:szCs w:val="24"/>
          <w:lang w:eastAsia="en-GB"/>
          <w14:ligatures w14:val="none"/>
        </w:rPr>
        <w:t>Addressing the Shortfall</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To address these difficulties, it is imperative to set stringent regulatory criteria for the creation and assessment of mHealth applications to guarantee their excellence, efficacy, and compliance with privacy legislation. In addition, healthcare providers should take an active part in suggesting evidence-based applications to their patients and offering the required education to improve their understanding of digital technology.</w:t>
      </w:r>
    </w:p>
    <w:p>
      <w:pPr>
        <w:rPr>
          <w:rFonts w:ascii="Arial" w:hAnsi="Arial" w:eastAsia="Times New Roman" w:cs="Arial"/>
          <w:b/>
          <w:bCs/>
          <w:color w:val="0D0D0D"/>
          <w:kern w:val="0"/>
          <w:sz w:val="24"/>
          <w:szCs w:val="24"/>
          <w:lang w:eastAsia="en-GB"/>
          <w14:ligatures w14:val="none"/>
        </w:rPr>
      </w:pPr>
      <w:r>
        <w:rPr>
          <w:rFonts w:ascii="Arial" w:hAnsi="Arial" w:eastAsia="Times New Roman" w:cs="Arial"/>
          <w:b/>
          <w:bCs/>
          <w:color w:val="0D0D0D"/>
          <w:kern w:val="0"/>
          <w:sz w:val="24"/>
          <w:szCs w:val="24"/>
          <w:lang w:eastAsia="en-GB"/>
          <w14:ligatures w14:val="none"/>
        </w:rPr>
        <w:t>Conclusion</w:t>
      </w:r>
    </w:p>
    <w:p>
      <w:pPr>
        <w:rPr>
          <w:rFonts w:ascii="Arial" w:hAnsi="Arial" w:eastAsia="Times New Roman" w:cs="Arial"/>
          <w:b/>
          <w:bCs/>
          <w:color w:val="0D0D0D"/>
          <w:kern w:val="0"/>
          <w:sz w:val="24"/>
          <w:szCs w:val="24"/>
          <w:lang w:eastAsia="en-GB"/>
          <w14:ligatures w14:val="none"/>
        </w:rPr>
      </w:pPr>
      <w:r>
        <w:rPr>
          <w:rFonts w:ascii="Arial" w:hAnsi="Arial" w:cs="Arial"/>
          <w:color w:val="0D0D0D"/>
          <w:sz w:val="24"/>
          <w:szCs w:val="24"/>
          <w:shd w:val="clear" w:color="auto" w:fill="FFFFFF"/>
        </w:rPr>
        <w:t>mHealth applications have emerged as a valuable tool in the fight against type 2 diabetes, offering innovative solutions for health promotion and disease management. While they present numerous advantages, addressing their shortfalls is essential to fully harness their potential. With ongoing advancements in technology and healthcare, mHealth apps stand to significantly contribute to the global effort in managing and preventing T2DM.</w:t>
      </w:r>
    </w:p>
    <w:p>
      <w:pPr>
        <w:rPr>
          <w:rFonts w:ascii="Arial" w:hAnsi="Arial" w:cs="Arial"/>
          <w:sz w:val="24"/>
          <w:szCs w:val="24"/>
        </w:rPr>
      </w:pPr>
    </w:p>
    <w:p>
      <w:pPr>
        <w:rPr>
          <w:rFonts w:ascii="Arial" w:hAnsi="Arial" w:cs="Arial"/>
          <w:sz w:val="24"/>
          <w:szCs w:val="24"/>
        </w:rPr>
      </w:pPr>
      <w:r>
        <w:rPr>
          <w:rFonts w:ascii="Arial" w:hAnsi="Arial" w:cs="Arial"/>
          <w:sz w:val="24"/>
          <w:szCs w:val="24"/>
        </w:rPr>
        <w:drawing>
          <wp:inline distT="0" distB="0" distL="0" distR="0">
            <wp:extent cx="5731510" cy="5731510"/>
            <wp:effectExtent l="0" t="0" r="0" b="0"/>
            <wp:docPr id="465392102" name="Picture 3" descr="A cell phone with a stethoscope and a he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92102" name="Picture 3" descr="A cell phone with a stethoscope and a heart&#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pPr>
        <w:rPr>
          <w:rFonts w:ascii="Arial" w:hAnsi="Arial" w:cs="Arial"/>
          <w:sz w:val="24"/>
          <w:szCs w:val="24"/>
        </w:rPr>
      </w:pPr>
    </w:p>
    <w:p>
      <w:pPr>
        <w:rPr>
          <w:rFonts w:ascii="Arial" w:hAnsi="Arial" w:cs="Arial"/>
          <w:sz w:val="24"/>
          <w:szCs w:val="24"/>
        </w:rPr>
      </w:pPr>
    </w:p>
    <w:p>
      <w:pPr>
        <w:tabs>
          <w:tab w:val="left" w:pos="1536"/>
        </w:tabs>
        <w:rPr>
          <w:rFonts w:ascii="Arial" w:hAnsi="Arial" w:cs="Arial"/>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pStyle w:val="7"/>
        <w:rPr>
          <w:sz w:val="72"/>
          <w:szCs w:val="72"/>
        </w:rPr>
      </w:pPr>
    </w:p>
    <w:p>
      <w:pPr>
        <w:pStyle w:val="7"/>
        <w:rPr>
          <w:sz w:val="72"/>
          <w:szCs w:val="72"/>
        </w:rPr>
      </w:pPr>
      <w:r>
        <w:rPr>
          <w:sz w:val="72"/>
          <w:szCs w:val="72"/>
        </w:rPr>
        <w:t>BLOG:2</w:t>
      </w:r>
    </w:p>
    <w:p>
      <w:pPr>
        <w:pStyle w:val="7"/>
        <w:rPr>
          <w:sz w:val="72"/>
          <w:szCs w:val="72"/>
        </w:rPr>
      </w:pPr>
      <w:r>
        <w:rPr>
          <w:sz w:val="72"/>
          <w:szCs w:val="72"/>
        </w:rPr>
        <w:t>Transforming Mental Health Care Through Digital Innovation</w:t>
      </w:r>
    </w:p>
    <w:p>
      <w:pPr>
        <w:rPr>
          <w:lang w:eastAsia="en-GB"/>
        </w:rPr>
      </w:pP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The COVID-19 pandemic has brought attention to the global concern of mental health, which is often disregarded in public health discussions. The seriousness of this problem is highlighted by recent figures, which indicate that approximately one in eight people globally currently have a mental disorder (World Health Organization, 2024). This concerning pattern emphasizes the immediate requirement for easily available and efficient mental health remedies.</w:t>
      </w:r>
    </w:p>
    <w:p>
      <w:pPr>
        <w:rPr>
          <w:rFonts w:ascii="Arial" w:hAnsi="Arial" w:eastAsia="Times New Roman" w:cs="Arial"/>
          <w:kern w:val="0"/>
          <w:sz w:val="24"/>
          <w:szCs w:val="24"/>
          <w:lang w:eastAsia="en-GB"/>
          <w14:ligatures w14:val="none"/>
        </w:rPr>
      </w:pPr>
    </w:p>
    <w:p>
      <w:pPr>
        <w:rPr>
          <w:rFonts w:ascii="Arial" w:hAnsi="Arial" w:cs="Arial"/>
          <w:b/>
          <w:bCs/>
          <w:color w:val="0D0D0D"/>
          <w:sz w:val="24"/>
          <w:szCs w:val="24"/>
        </w:rPr>
      </w:pPr>
      <w:r>
        <w:rPr>
          <w:rFonts w:ascii="Arial" w:hAnsi="Arial" w:cs="Arial"/>
          <w:b/>
          <w:bCs/>
          <w:color w:val="0D0D0D"/>
          <w:sz w:val="24"/>
          <w:szCs w:val="24"/>
        </w:rPr>
        <w:t>Introducing MindEase: A Digital Mental Health Companion</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As a reaction, I present MindEase, an innovative digital technology aimed at transforming the approach to mental health care. MindEase is a cutting-edge mobile application that combines cognitive-behavioural therapy (CBT), mindfulness activities, and community support elements. The objective is to offer prompt, tailored assistance to those facing mental health difficulties, enabling timely intervention and continuous mental well-being.</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rPr>
        <w:drawing>
          <wp:inline distT="0" distB="0" distL="0" distR="0">
            <wp:extent cx="5731510" cy="4585335"/>
            <wp:effectExtent l="0" t="0" r="0" b="0"/>
            <wp:docPr id="1794674053" name="Picture 4"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74053" name="Picture 4" descr="A diagram of a process&#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585335"/>
                    </a:xfrm>
                    <a:prstGeom prst="rect">
                      <a:avLst/>
                    </a:prstGeom>
                  </pic:spPr>
                </pic:pic>
              </a:graphicData>
            </a:graphic>
          </wp:inline>
        </w:drawing>
      </w:r>
    </w:p>
    <w:p>
      <w:pPr>
        <w:rPr>
          <w:rFonts w:ascii="Arial" w:hAnsi="Arial" w:eastAsia="Times New Roman" w:cs="Arial"/>
          <w:kern w:val="0"/>
          <w:sz w:val="24"/>
          <w:szCs w:val="24"/>
          <w:lang w:eastAsia="en-GB"/>
          <w14:ligatures w14:val="none"/>
        </w:rPr>
      </w:pPr>
    </w:p>
    <w:p>
      <w:pPr>
        <w:rPr>
          <w:rFonts w:ascii="Arial" w:hAnsi="Arial" w:cs="Arial"/>
          <w:b/>
          <w:bCs/>
          <w:color w:val="0D0D0D"/>
          <w:sz w:val="24"/>
          <w:szCs w:val="24"/>
        </w:rPr>
      </w:pPr>
      <w:r>
        <w:rPr>
          <w:rFonts w:ascii="Arial" w:hAnsi="Arial" w:cs="Arial"/>
          <w:b/>
          <w:bCs/>
          <w:color w:val="0D0D0D"/>
          <w:sz w:val="24"/>
          <w:szCs w:val="24"/>
        </w:rPr>
        <w:t>MindEase in Health Promotion</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MindEase is specifically created to enhance mental well-being by providing users with a comprehensive set of tools that empower them in their pursuit of mental health. By engaging in interactive cognitive-behavioural therapy (CBT) sessions, individuals can recognize and confront detrimental thought patterns, thereby cultivating a more positive and balanced state of mind. Mindfulness activities facilitate relaxation and cultivate a heightened state of awareness in the present moment, which is essential for effectively managing stress. In addition, the presence of a moderated community component provides peer support, thereby diminishing the negative perception associated with mental health talks and promoting an environment conducive to open and honest conversations.</w:t>
      </w:r>
    </w:p>
    <w:p>
      <w:pPr>
        <w:rPr>
          <w:rFonts w:ascii="Arial" w:hAnsi="Arial" w:cs="Arial"/>
          <w:sz w:val="24"/>
          <w:szCs w:val="24"/>
        </w:rPr>
      </w:pPr>
    </w:p>
    <w:p>
      <w:pPr>
        <w:rPr>
          <w:rFonts w:ascii="Arial" w:hAnsi="Arial" w:cs="Arial"/>
          <w:b/>
          <w:bCs/>
          <w:color w:val="0D0D0D"/>
          <w:sz w:val="24"/>
          <w:szCs w:val="24"/>
        </w:rPr>
      </w:pPr>
      <w:r>
        <w:rPr>
          <w:rFonts w:ascii="Arial" w:hAnsi="Arial" w:cs="Arial"/>
          <w:b/>
          <w:bCs/>
          <w:color w:val="0D0D0D"/>
          <w:sz w:val="24"/>
          <w:szCs w:val="24"/>
        </w:rPr>
        <w:t>Impact on Health Promotion</w:t>
      </w:r>
    </w:p>
    <w:p>
      <w:pPr>
        <w:rPr>
          <w:rFonts w:ascii="Arial" w:hAnsi="Arial" w:cs="Arial"/>
          <w:color w:val="0D0D0D"/>
          <w:sz w:val="24"/>
          <w:szCs w:val="24"/>
          <w:u w:val="single"/>
        </w:rPr>
      </w:pPr>
      <w:r>
        <w:rPr>
          <w:rFonts w:ascii="Arial" w:hAnsi="Arial" w:cs="Arial"/>
          <w:color w:val="0D0D0D"/>
          <w:sz w:val="24"/>
          <w:szCs w:val="24"/>
          <w:u w:val="single"/>
        </w:rPr>
        <w:t>Advantages</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MindEase's digital format guarantees accessibility, surpassing conventional obstacles to mental health care, such as social stigma or geographical constraints. MindEase can successfully alleviate symptoms of prevalent mental diseases by incorporating evidence-based methods. Research has demonstrated that digital health interventions are beneficial in controlling conditions such as depression and anxiety (Kouvari et al., 2022). The application's ability to detect mood and thoughts in real-time offers important data for creating individualized care plans.</w:t>
      </w:r>
    </w:p>
    <w:p>
      <w:pPr>
        <w:rPr>
          <w:rFonts w:ascii="Arial" w:hAnsi="Arial" w:cs="Arial"/>
          <w:sz w:val="24"/>
          <w:szCs w:val="24"/>
        </w:rPr>
      </w:pPr>
    </w:p>
    <w:p>
      <w:pPr>
        <w:rPr>
          <w:rFonts w:ascii="Arial" w:hAnsi="Arial" w:cs="Arial"/>
          <w:color w:val="0D0D0D"/>
          <w:sz w:val="24"/>
          <w:szCs w:val="24"/>
          <w:u w:val="single"/>
        </w:rPr>
      </w:pPr>
    </w:p>
    <w:p>
      <w:pPr>
        <w:rPr>
          <w:rFonts w:ascii="Arial" w:hAnsi="Arial" w:cs="Arial"/>
          <w:color w:val="0D0D0D"/>
          <w:sz w:val="24"/>
          <w:szCs w:val="24"/>
          <w:u w:val="single"/>
        </w:rPr>
      </w:pPr>
      <w:r>
        <w:rPr>
          <w:rFonts w:ascii="Arial" w:hAnsi="Arial" w:cs="Arial"/>
          <w:color w:val="0D0D0D"/>
          <w:sz w:val="24"/>
          <w:szCs w:val="24"/>
          <w:u w:val="single"/>
        </w:rPr>
        <w:t>Disadvantages/Shortfalls</w:t>
      </w:r>
    </w:p>
    <w:p>
      <w:pPr>
        <w:rPr>
          <w:rFonts w:ascii="Arial" w:hAnsi="Arial" w:cs="Arial"/>
          <w:color w:val="0D0D0D"/>
          <w:sz w:val="24"/>
          <w:szCs w:val="24"/>
        </w:rPr>
      </w:pPr>
      <w:r>
        <w:rPr>
          <w:rFonts w:ascii="Arial" w:hAnsi="Arial" w:cs="Arial"/>
          <w:color w:val="0D0D0D"/>
          <w:sz w:val="24"/>
          <w:szCs w:val="24"/>
        </w:rPr>
        <w:t>Despite its potential, MindEase faces challenges, including digital literacy barriers and the risk of user data privacy concerns. Additionally, the effectiveness of digital interventions can vary significantly among users, with some requiring more traditional, in-person therapeutic approaches (Bennett et al., 2016).</w:t>
      </w:r>
    </w:p>
    <w:p>
      <w:pPr>
        <w:rPr>
          <w:rFonts w:ascii="Arial" w:hAnsi="Arial" w:cs="Arial"/>
          <w:color w:val="0D0D0D"/>
          <w:sz w:val="24"/>
          <w:szCs w:val="24"/>
          <w:u w:val="single"/>
        </w:rPr>
      </w:pPr>
      <w:r>
        <w:rPr>
          <w:rFonts w:ascii="Arial" w:hAnsi="Arial" w:cs="Arial"/>
          <w:color w:val="0D0D0D"/>
          <w:sz w:val="24"/>
          <w:szCs w:val="24"/>
          <w:u w:val="single"/>
        </w:rPr>
        <w:t>Addressing the Shortfalls</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To address these problems, MindEase has been developed with user-friendly interfaces that can cater to different degrees of computer literacy. Effective data protection procedures guarantee the confidentiality and safety of user information. MindEase acknowledges that digital interventions may not be suitable for all individuals and so urges users to seek professional assistance when needed. MindEase serves as a supplementary tool to traditional therapies rather than a substitute.</w:t>
      </w:r>
    </w:p>
    <w:p>
      <w:pPr>
        <w:rPr>
          <w:rFonts w:ascii="Arial" w:hAnsi="Arial" w:cs="Arial"/>
          <w:sz w:val="24"/>
          <w:szCs w:val="24"/>
        </w:rPr>
      </w:pPr>
      <w:r>
        <w:rPr>
          <w:rFonts w:ascii="Arial" w:hAnsi="Arial" w:cs="Arial"/>
          <w:sz w:val="24"/>
          <w:szCs w:val="24"/>
        </w:rPr>
        <w:drawing>
          <wp:inline distT="0" distB="0" distL="0" distR="0">
            <wp:extent cx="5731510" cy="3439160"/>
            <wp:effectExtent l="0" t="0" r="0" b="0"/>
            <wp:docPr id="787626735" name="Picture 3"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626735" name="Picture 3" descr="A pie chart with different colored circles&#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p>
    <w:p>
      <w:pPr>
        <w:rPr>
          <w:rFonts w:ascii="Arial" w:hAnsi="Arial" w:cs="Arial"/>
          <w:b/>
          <w:bCs/>
          <w:color w:val="0D0D0D"/>
          <w:sz w:val="24"/>
          <w:szCs w:val="24"/>
        </w:rPr>
      </w:pPr>
      <w:r>
        <w:rPr>
          <w:rFonts w:ascii="Arial" w:hAnsi="Arial" w:cs="Arial"/>
          <w:b/>
          <w:bCs/>
          <w:color w:val="0D0D0D"/>
          <w:sz w:val="24"/>
          <w:szCs w:val="24"/>
        </w:rPr>
        <w:t>Conclusion</w:t>
      </w:r>
    </w:p>
    <w:p>
      <w:p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Given the ongoing importance of mental health as a significant public health issue, digital technologies such as MindEase present a hopeful opportunity to enhance the availability of mental health services and assistance. By harnessing the benefits of digital health interventions and overcoming their constraints, we can make significant progress towards achieving universal access to comprehensive mental health care.</w:t>
      </w:r>
    </w:p>
    <w:p>
      <w:pPr>
        <w:rPr>
          <w:rFonts w:ascii="Arial" w:hAnsi="Arial" w:cs="Arial"/>
          <w:b/>
          <w:bCs/>
          <w:sz w:val="24"/>
          <w:szCs w:val="24"/>
        </w:rPr>
      </w:pPr>
      <w:r>
        <w:rPr>
          <w:rFonts w:ascii="Arial" w:hAnsi="Arial" w:cs="Arial"/>
          <w:b/>
          <w:bCs/>
          <w:sz w:val="24"/>
          <w:szCs w:val="24"/>
        </w:rPr>
        <w:t>Weblinks</w:t>
      </w:r>
    </w:p>
    <w:p>
      <w:pPr>
        <w:rPr>
          <w:rFonts w:ascii="Arial" w:hAnsi="Arial" w:cs="Arial"/>
          <w:sz w:val="24"/>
          <w:szCs w:val="24"/>
        </w:rPr>
      </w:pPr>
      <w:r>
        <w:rPr>
          <w:rStyle w:val="6"/>
          <w:rFonts w:ascii="Arial" w:hAnsi="Arial" w:cs="Arial"/>
          <w:color w:val="0D0D0D"/>
          <w:sz w:val="24"/>
          <w:szCs w:val="24"/>
          <w:bdr w:val="single" w:color="E3E3E3" w:sz="2" w:space="0"/>
        </w:rPr>
        <w:t>Learn More about MindEase</w:t>
      </w:r>
      <w:r>
        <w:rPr>
          <w:rFonts w:ascii="Arial" w:hAnsi="Arial" w:cs="Arial"/>
          <w:sz w:val="24"/>
          <w:szCs w:val="24"/>
        </w:rPr>
        <w:t xml:space="preserve">: For more information on how MindEase is transforming mental health care through innovation, visit </w:t>
      </w:r>
      <w:r>
        <w:fldChar w:fldCharType="begin"/>
      </w:r>
      <w:r>
        <w:instrText xml:space="preserve"> HYPERLINK "https://www.mindeaseinnovations.com/" \t "_new" </w:instrText>
      </w:r>
      <w:r>
        <w:fldChar w:fldCharType="separate"/>
      </w:r>
      <w:r>
        <w:rPr>
          <w:rStyle w:val="5"/>
          <w:rFonts w:ascii="Arial" w:hAnsi="Arial" w:cs="Arial"/>
          <w:sz w:val="24"/>
          <w:szCs w:val="24"/>
          <w:bdr w:val="single" w:color="E3E3E3" w:sz="2" w:space="0"/>
        </w:rPr>
        <w:t>www.MindEaseInnovations.com</w:t>
      </w:r>
      <w:r>
        <w:rPr>
          <w:rStyle w:val="5"/>
          <w:rFonts w:ascii="Arial" w:hAnsi="Arial" w:cs="Arial"/>
          <w:sz w:val="24"/>
          <w:szCs w:val="24"/>
          <w:bdr w:val="single" w:color="E3E3E3" w:sz="2" w:space="0"/>
        </w:rPr>
        <w:fldChar w:fldCharType="end"/>
      </w:r>
      <w:r>
        <w:rPr>
          <w:rFonts w:ascii="Arial" w:hAnsi="Arial" w:cs="Arial"/>
          <w:sz w:val="24"/>
          <w:szCs w:val="24"/>
        </w:rPr>
        <w:t>.</w:t>
      </w:r>
    </w:p>
    <w:p>
      <w:pPr>
        <w:rPr>
          <w:rFonts w:ascii="Arial" w:hAnsi="Arial" w:cs="Arial"/>
          <w:sz w:val="24"/>
          <w:szCs w:val="24"/>
        </w:rPr>
      </w:pPr>
      <w:r>
        <w:rPr>
          <w:rStyle w:val="6"/>
          <w:rFonts w:ascii="Arial" w:hAnsi="Arial" w:cs="Arial"/>
          <w:color w:val="0D0D0D"/>
          <w:sz w:val="24"/>
          <w:szCs w:val="24"/>
          <w:bdr w:val="single" w:color="E3E3E3" w:sz="2" w:space="0"/>
        </w:rPr>
        <w:t>Mindfulness Resources</w:t>
      </w:r>
      <w:r>
        <w:rPr>
          <w:rFonts w:ascii="Arial" w:hAnsi="Arial" w:cs="Arial"/>
          <w:sz w:val="24"/>
          <w:szCs w:val="24"/>
        </w:rPr>
        <w:t xml:space="preserve">: Discover mindfulness exercises and how they can benefit your mental health at </w:t>
      </w:r>
      <w:r>
        <w:fldChar w:fldCharType="begin"/>
      </w:r>
      <w:r>
        <w:instrText xml:space="preserve"> HYPERLINK "https://www.mindeasemindfulness.com/" \t "_new" </w:instrText>
      </w:r>
      <w:r>
        <w:fldChar w:fldCharType="separate"/>
      </w:r>
      <w:r>
        <w:rPr>
          <w:rStyle w:val="5"/>
          <w:rFonts w:ascii="Arial" w:hAnsi="Arial" w:cs="Arial"/>
          <w:sz w:val="24"/>
          <w:szCs w:val="24"/>
          <w:bdr w:val="single" w:color="E3E3E3" w:sz="2" w:space="0"/>
        </w:rPr>
        <w:t>www.MindEaseMindfulness.com</w:t>
      </w:r>
      <w:r>
        <w:rPr>
          <w:rStyle w:val="5"/>
          <w:rFonts w:ascii="Arial" w:hAnsi="Arial" w:cs="Arial"/>
          <w:sz w:val="24"/>
          <w:szCs w:val="24"/>
          <w:bdr w:val="single" w:color="E3E3E3" w:sz="2" w:space="0"/>
        </w:rPr>
        <w:fldChar w:fldCharType="end"/>
      </w:r>
      <w:r>
        <w:rPr>
          <w:rFonts w:ascii="Arial" w:hAnsi="Arial" w:cs="Arial"/>
          <w:sz w:val="24"/>
          <w:szCs w:val="24"/>
        </w:rPr>
        <w:t>.</w:t>
      </w:r>
    </w:p>
    <w:p>
      <w:pPr>
        <w:rPr>
          <w:rFonts w:ascii="Arial" w:hAnsi="Arial" w:cs="Arial"/>
          <w:sz w:val="24"/>
          <w:szCs w:val="24"/>
        </w:rPr>
      </w:pPr>
      <w:r>
        <w:rPr>
          <w:rStyle w:val="6"/>
          <w:rFonts w:ascii="Arial" w:hAnsi="Arial" w:cs="Arial"/>
          <w:color w:val="0D0D0D"/>
          <w:sz w:val="24"/>
          <w:szCs w:val="24"/>
          <w:bdr w:val="single" w:color="E3E3E3" w:sz="2" w:space="0"/>
        </w:rPr>
        <w:t>Support Community</w:t>
      </w:r>
      <w:r>
        <w:rPr>
          <w:rFonts w:ascii="Arial" w:hAnsi="Arial" w:cs="Arial"/>
          <w:sz w:val="24"/>
          <w:szCs w:val="24"/>
        </w:rPr>
        <w:t>: Join our supportive community and start your journey towards better mental health at community.MindEase.com.</w:t>
      </w:r>
    </w:p>
    <w:p>
      <w:pPr>
        <w:rPr>
          <w:rFonts w:ascii="Arial" w:hAnsi="Arial" w:cs="Arial"/>
          <w:sz w:val="24"/>
          <w:szCs w:val="24"/>
        </w:rPr>
      </w:pPr>
      <w:r>
        <w:rPr>
          <w:rFonts w:ascii="Arial" w:hAnsi="Arial" w:cs="Arial"/>
          <w:sz w:val="24"/>
          <w:szCs w:val="24"/>
        </w:rPr>
        <w:drawing>
          <wp:inline distT="0" distB="0" distL="0" distR="0">
            <wp:extent cx="5731510" cy="3439160"/>
            <wp:effectExtent l="0" t="0" r="0" b="0"/>
            <wp:docPr id="1109262301" name="Picture 5"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262301" name="Picture 5" descr="A graph of different colored bars&#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p>
    <w:p>
      <w:pPr>
        <w:rPr>
          <w:rFonts w:ascii="Arial" w:hAnsi="Arial" w:cs="Arial"/>
          <w:sz w:val="24"/>
          <w:szCs w:val="24"/>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p>
    <w:p>
      <w:pPr>
        <w:jc w:val="both"/>
        <w:rPr>
          <w:rFonts w:ascii="Arial" w:hAnsi="Arial" w:cs="Arial"/>
          <w:sz w:val="24"/>
          <w:szCs w:val="24"/>
          <w:lang w:val="it-IT"/>
        </w:rPr>
      </w:pPr>
      <w:bookmarkStart w:id="1" w:name="_GoBack"/>
      <w:bookmarkEnd w:id="1"/>
    </w:p>
    <w:p>
      <w:pPr>
        <w:jc w:val="both"/>
        <w:rPr>
          <w:rFonts w:hint="default" w:ascii="Arial" w:hAnsi="Arial" w:cs="Arial"/>
          <w:sz w:val="24"/>
          <w:szCs w:val="24"/>
          <w:lang w:val="en-GB"/>
        </w:rPr>
      </w:pPr>
      <w:r>
        <w:rPr>
          <w:rFonts w:hint="default" w:ascii="Arial" w:hAnsi="Arial" w:cs="Arial"/>
          <w:sz w:val="24"/>
          <w:szCs w:val="24"/>
          <w:lang w:val="en-GB"/>
        </w:rPr>
        <w:t>POSTER</w:t>
      </w:r>
    </w:p>
    <w:p>
      <w:pPr>
        <w:jc w:val="both"/>
        <w:rPr>
          <w:rFonts w:ascii="Arial" w:hAnsi="Arial" w:cs="Arial"/>
          <w:sz w:val="24"/>
          <w:szCs w:val="24"/>
        </w:rPr>
      </w:pPr>
      <w:r>
        <w:drawing>
          <wp:inline distT="0" distB="0" distL="0" distR="0">
            <wp:extent cx="5974080" cy="3406775"/>
            <wp:effectExtent l="0" t="0" r="7620" b="3175"/>
            <wp:docPr id="21068238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23826" name="Graphic 1"/>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0" y="0"/>
                      <a:ext cx="5974080" cy="3406775"/>
                    </a:xfrm>
                    <a:prstGeom prst="rect">
                      <a:avLst/>
                    </a:prstGeom>
                  </pic:spPr>
                </pic:pic>
              </a:graphicData>
            </a:graphic>
          </wp:inline>
        </w:drawing>
      </w:r>
    </w:p>
    <w:p>
      <w:pPr>
        <w:jc w:val="both"/>
        <w:rPr>
          <w:rFonts w:ascii="Arial" w:hAnsi="Arial" w:cs="Arial"/>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p>
    <w:p>
      <w:pPr>
        <w:tabs>
          <w:tab w:val="left" w:pos="1536"/>
        </w:tabs>
        <w:rPr>
          <w:rFonts w:ascii="Arial" w:hAnsi="Arial" w:cs="Arial"/>
          <w:b/>
          <w:bCs/>
          <w:sz w:val="24"/>
          <w:szCs w:val="24"/>
        </w:rPr>
      </w:pPr>
      <w:r>
        <w:rPr>
          <w:rFonts w:ascii="Arial" w:hAnsi="Arial" w:cs="Arial"/>
          <w:b/>
          <w:bCs/>
          <w:sz w:val="24"/>
          <w:szCs w:val="24"/>
        </w:rPr>
        <w:t>Blog Reference</w:t>
      </w:r>
    </w:p>
    <w:p>
      <w:pPr>
        <w:pStyle w:val="9"/>
        <w:numPr>
          <w:ilvl w:val="0"/>
          <w:numId w:val="1"/>
        </w:numPr>
        <w:rPr>
          <w:rStyle w:val="4"/>
          <w:rFonts w:ascii="Arial" w:hAnsi="Arial" w:cs="Arial"/>
          <w:i w:val="0"/>
          <w:iCs w:val="0"/>
          <w:sz w:val="24"/>
          <w:szCs w:val="24"/>
        </w:rPr>
      </w:pPr>
      <w:r>
        <w:rPr>
          <w:rFonts w:ascii="Arial" w:hAnsi="Arial" w:cs="Arial"/>
          <w:sz w:val="24"/>
          <w:szCs w:val="24"/>
          <w:shd w:val="clear" w:color="auto" w:fill="FFFFFF"/>
        </w:rPr>
        <w:t xml:space="preserve">Krall, J. S., et al. (2023). Mobile Applications to Support Diabetes Self-Management Education: Patient Experiences and Provider Perspectives. </w:t>
      </w:r>
      <w:r>
        <w:rPr>
          <w:rStyle w:val="4"/>
          <w:rFonts w:ascii="Arial" w:hAnsi="Arial" w:cs="Arial"/>
          <w:color w:val="0D0D0D"/>
          <w:sz w:val="24"/>
          <w:szCs w:val="24"/>
          <w:bdr w:val="single" w:color="E3E3E3" w:sz="2" w:space="0"/>
          <w:shd w:val="clear" w:color="auto" w:fill="FFFFFF"/>
        </w:rPr>
        <w:t>J Diabetes Sci Technol.</w:t>
      </w:r>
    </w:p>
    <w:p>
      <w:pPr>
        <w:pStyle w:val="9"/>
        <w:numPr>
          <w:ilvl w:val="0"/>
          <w:numId w:val="1"/>
        </w:num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BMJ Open. (2023). Impact of mobile health applications on self-management in patients with type 2 diabetes mellitus: protocol of a systematic review.</w:t>
      </w:r>
    </w:p>
    <w:p>
      <w:pPr>
        <w:pStyle w:val="9"/>
        <w:numPr>
          <w:ilvl w:val="0"/>
          <w:numId w:val="1"/>
        </w:numPr>
        <w:rPr>
          <w:rFonts w:ascii="Arial" w:hAnsi="Arial" w:eastAsia="Times New Roman" w:cs="Arial"/>
          <w:kern w:val="0"/>
          <w:sz w:val="24"/>
          <w:szCs w:val="24"/>
          <w:lang w:eastAsia="en-GB"/>
          <w14:ligatures w14:val="none"/>
        </w:rPr>
      </w:pPr>
      <w:r>
        <w:rPr>
          <w:rFonts w:ascii="Arial" w:hAnsi="Arial" w:eastAsia="Times New Roman" w:cs="Arial"/>
          <w:kern w:val="0"/>
          <w:sz w:val="24"/>
          <w:szCs w:val="24"/>
          <w:lang w:eastAsia="en-GB"/>
          <w14:ligatures w14:val="none"/>
        </w:rPr>
        <w:t>J Diabetes Sci Technol. (2023). Mobile Applications to Support Diabetes Self-Management Education: Patient Experiences and Provider Perspectives.</w:t>
      </w:r>
    </w:p>
    <w:p>
      <w:pPr>
        <w:pStyle w:val="9"/>
        <w:numPr>
          <w:ilvl w:val="0"/>
          <w:numId w:val="1"/>
        </w:numPr>
        <w:rPr>
          <w:rFonts w:ascii="Arial" w:hAnsi="Arial" w:cs="Arial"/>
          <w:sz w:val="24"/>
          <w:szCs w:val="24"/>
        </w:rPr>
      </w:pPr>
      <w:r>
        <w:rPr>
          <w:rFonts w:ascii="Arial" w:hAnsi="Arial" w:cs="Arial"/>
          <w:sz w:val="24"/>
          <w:szCs w:val="24"/>
        </w:rPr>
        <w:t>Krall, J., Childs, B. and Mehrotra, N. (2023). Mobile Applications to Support Diabetes Self-Management Education: Patient Experiences and Provider Perspectives. p.193229682311740-193229682311740. doi:https://doi.org/10.1177/19322968231174037.</w:t>
      </w:r>
    </w:p>
    <w:p>
      <w:pPr>
        <w:pStyle w:val="9"/>
        <w:numPr>
          <w:ilvl w:val="0"/>
          <w:numId w:val="1"/>
        </w:numPr>
        <w:spacing w:line="256" w:lineRule="auto"/>
        <w:jc w:val="both"/>
        <w:rPr>
          <w:rFonts w:ascii="Arial" w:hAnsi="Arial" w:cs="Arial"/>
          <w:sz w:val="24"/>
          <w:szCs w:val="24"/>
          <w:lang w:eastAsia="en-GB"/>
        </w:rPr>
      </w:pPr>
      <w:r>
        <w:rPr>
          <w:rFonts w:ascii="Arial" w:hAnsi="Arial" w:cs="Arial"/>
          <w:sz w:val="24"/>
          <w:szCs w:val="24"/>
          <w:lang w:eastAsia="en-GB"/>
        </w:rPr>
        <w:t xml:space="preserve">Kouvari, M., Karipidou, M., Tsiampalis, T., Mamalaki, E., Poulimeneas, D., Bathrellou, E., Panagiotakos, D., &amp; Yannakoulia, M. (2022). </w:t>
      </w:r>
      <w:r>
        <w:rPr>
          <w:rFonts w:ascii="Arial" w:hAnsi="Arial" w:cs="Arial"/>
          <w:i/>
          <w:iCs/>
          <w:sz w:val="24"/>
          <w:szCs w:val="24"/>
          <w:bdr w:val="single" w:color="E3E3E3" w:sz="2" w:space="0"/>
          <w:lang w:eastAsia="en-GB"/>
        </w:rPr>
        <w:t>Digital health interventions for weight management in children and adolescents: Systematic review and meta-analysis</w:t>
      </w:r>
      <w:r>
        <w:rPr>
          <w:rFonts w:ascii="Arial" w:hAnsi="Arial" w:cs="Arial"/>
          <w:sz w:val="24"/>
          <w:szCs w:val="24"/>
          <w:lang w:eastAsia="en-GB"/>
        </w:rPr>
        <w:t>. Journal of Medical Internet Research, 24(2), e30675. DOI: 10.2196/30675. This systematic review and meta-analysis explore the efficacy of digital health interventions in managing weight among children and adolescents.</w:t>
      </w:r>
    </w:p>
    <w:p>
      <w:pPr>
        <w:pStyle w:val="9"/>
        <w:numPr>
          <w:ilvl w:val="0"/>
          <w:numId w:val="1"/>
        </w:numPr>
        <w:spacing w:line="256" w:lineRule="auto"/>
        <w:jc w:val="both"/>
        <w:rPr>
          <w:rFonts w:ascii="Arial" w:hAnsi="Arial" w:cs="Arial"/>
          <w:sz w:val="24"/>
          <w:szCs w:val="24"/>
          <w:lang w:eastAsia="en-GB"/>
        </w:rPr>
      </w:pPr>
      <w:r>
        <w:rPr>
          <w:rFonts w:ascii="Arial" w:hAnsi="Arial" w:cs="Arial"/>
          <w:sz w:val="24"/>
          <w:szCs w:val="24"/>
          <w:lang w:eastAsia="en-GB"/>
        </w:rPr>
        <w:t xml:space="preserve">Whitlock, E. P., Williams, S. B., Gold, R., Smith, P., &amp; Shipman, S. (2005). </w:t>
      </w:r>
      <w:r>
        <w:rPr>
          <w:rFonts w:ascii="Arial" w:hAnsi="Arial" w:cs="Arial"/>
          <w:i/>
          <w:iCs/>
          <w:sz w:val="24"/>
          <w:szCs w:val="24"/>
          <w:bdr w:val="single" w:color="E3E3E3" w:sz="2" w:space="0"/>
          <w:lang w:eastAsia="en-GB"/>
        </w:rPr>
        <w:t>Screening and Interventions for Childhood Overweight</w:t>
      </w:r>
      <w:r>
        <w:rPr>
          <w:rFonts w:ascii="Arial" w:hAnsi="Arial" w:cs="Arial"/>
          <w:sz w:val="24"/>
          <w:szCs w:val="24"/>
          <w:lang w:eastAsia="en-GB"/>
        </w:rPr>
        <w:t>. Agency for Healthcare Research and Quality (US). PMID: 20722132. This document reviews screening and intervention strategies for childhood overweight, highlighting the role of digital interventions.</w:t>
      </w:r>
    </w:p>
    <w:p>
      <w:pPr>
        <w:pStyle w:val="9"/>
        <w:numPr>
          <w:ilvl w:val="0"/>
          <w:numId w:val="1"/>
        </w:numPr>
        <w:spacing w:line="256" w:lineRule="auto"/>
        <w:jc w:val="both"/>
        <w:rPr>
          <w:rFonts w:ascii="Arial" w:hAnsi="Arial" w:cs="Arial"/>
          <w:sz w:val="24"/>
          <w:szCs w:val="24"/>
          <w:lang w:eastAsia="en-GB"/>
        </w:rPr>
      </w:pPr>
      <w:r>
        <w:rPr>
          <w:rFonts w:ascii="Arial" w:hAnsi="Arial" w:cs="Arial"/>
          <w:sz w:val="24"/>
          <w:szCs w:val="24"/>
          <w:lang w:eastAsia="en-GB"/>
        </w:rPr>
        <w:t xml:space="preserve">LeBlanc, E. L., Patnode, C. D., Webber, E. M., Redmond, N., Rushkin, M., &amp; O'Connor, E. A. (2018). </w:t>
      </w:r>
      <w:r>
        <w:rPr>
          <w:rFonts w:ascii="Arial" w:hAnsi="Arial" w:cs="Arial"/>
          <w:i/>
          <w:iCs/>
          <w:sz w:val="24"/>
          <w:szCs w:val="24"/>
          <w:bdr w:val="single" w:color="E3E3E3" w:sz="2" w:space="0"/>
          <w:lang w:eastAsia="en-GB"/>
        </w:rPr>
        <w:t>Behavioral and Pharmacotherapy Weight Loss Interventions to Prevent Obesity-Related Morbidity and Mortality in Adults</w:t>
      </w:r>
      <w:r>
        <w:rPr>
          <w:rFonts w:ascii="Arial" w:hAnsi="Arial" w:cs="Arial"/>
          <w:sz w:val="24"/>
          <w:szCs w:val="24"/>
          <w:lang w:eastAsia="en-GB"/>
        </w:rPr>
        <w:t>. Agency for Healthcare Research and Quality (US). PMID: 30354042. This review examines the effectiveness of behavioral and pharmacotherapy interventions, including digital solutions, for weight loss in adults.</w:t>
      </w:r>
    </w:p>
    <w:p>
      <w:pPr>
        <w:pStyle w:val="9"/>
        <w:numPr>
          <w:ilvl w:val="0"/>
          <w:numId w:val="1"/>
        </w:numPr>
        <w:spacing w:line="256" w:lineRule="auto"/>
        <w:jc w:val="both"/>
        <w:rPr>
          <w:rFonts w:ascii="Arial" w:hAnsi="Arial" w:cs="Arial"/>
          <w:sz w:val="24"/>
          <w:szCs w:val="24"/>
          <w:lang w:eastAsia="en-GB"/>
        </w:rPr>
      </w:pPr>
      <w:r>
        <w:rPr>
          <w:rFonts w:ascii="Arial" w:hAnsi="Arial" w:cs="Arial"/>
          <w:sz w:val="24"/>
          <w:szCs w:val="24"/>
          <w:lang w:eastAsia="en-GB"/>
        </w:rPr>
        <w:t xml:space="preserve">Martin, A., Saunders, D. H., Shenkin, S. D., &amp; Sproule, J. (2014). </w:t>
      </w:r>
      <w:r>
        <w:rPr>
          <w:rFonts w:ascii="Arial" w:hAnsi="Arial" w:cs="Arial"/>
          <w:i/>
          <w:iCs/>
          <w:sz w:val="24"/>
          <w:szCs w:val="24"/>
          <w:bdr w:val="single" w:color="E3E3E3" w:sz="2" w:space="0"/>
          <w:lang w:eastAsia="en-GB"/>
        </w:rPr>
        <w:t>Lifestyle intervention for improving school achievement in overweight or obese children and adolescents</w:t>
      </w:r>
      <w:r>
        <w:rPr>
          <w:rFonts w:ascii="Arial" w:hAnsi="Arial" w:cs="Arial"/>
          <w:sz w:val="24"/>
          <w:szCs w:val="24"/>
          <w:lang w:eastAsia="en-GB"/>
        </w:rPr>
        <w:t>. Cochrane Database of Systematic Reviews, (3), CD009728. DOI: 10.1002/14651858.CD009728.pub2. This Cochrane review assesses how lifestyle interventions, including digital technologies, affect school performance in overweight or obese youth.</w:t>
      </w:r>
    </w:p>
    <w:p>
      <w:pPr>
        <w:pStyle w:val="9"/>
        <w:numPr>
          <w:ilvl w:val="0"/>
          <w:numId w:val="1"/>
        </w:numPr>
        <w:spacing w:line="256" w:lineRule="auto"/>
        <w:jc w:val="both"/>
        <w:rPr>
          <w:rFonts w:ascii="Arial" w:hAnsi="Arial" w:cs="Arial"/>
          <w:sz w:val="24"/>
          <w:szCs w:val="24"/>
          <w:lang w:eastAsia="en-GB"/>
        </w:rPr>
      </w:pPr>
      <w:r>
        <w:rPr>
          <w:rFonts w:ascii="Arial" w:hAnsi="Arial" w:cs="Arial"/>
          <w:sz w:val="24"/>
          <w:szCs w:val="24"/>
          <w:lang w:eastAsia="en-GB"/>
        </w:rPr>
        <w:t xml:space="preserve">O'Connor, E. A., Evans, C. V., Burda, B. U., Walsh, E. S., Eder, M., &amp; Lozano, P. (2017). </w:t>
      </w:r>
      <w:r>
        <w:rPr>
          <w:rFonts w:ascii="Arial" w:hAnsi="Arial" w:cs="Arial"/>
          <w:i/>
          <w:iCs/>
          <w:sz w:val="24"/>
          <w:szCs w:val="24"/>
          <w:bdr w:val="single" w:color="E3E3E3" w:sz="2" w:space="0"/>
          <w:lang w:eastAsia="en-GB"/>
        </w:rPr>
        <w:t>Screening for Obesity and Intervention for Weight Management in Children and Adolescents</w:t>
      </w:r>
      <w:r>
        <w:rPr>
          <w:rFonts w:ascii="Arial" w:hAnsi="Arial" w:cs="Arial"/>
          <w:sz w:val="24"/>
          <w:szCs w:val="24"/>
          <w:lang w:eastAsia="en-GB"/>
        </w:rPr>
        <w:t>. JAMA, 317(23), 2427-2444. DOI: 10.1001/jama.2017.0332. This evidence report for the US Preventive Services Task Force reviews screening for obesity and interventions for weight management in young populations, emphasizing digital approaches.</w:t>
      </w:r>
    </w:p>
    <w:p>
      <w:pPr>
        <w:pStyle w:val="9"/>
        <w:numPr>
          <w:ilvl w:val="0"/>
          <w:numId w:val="1"/>
        </w:numPr>
        <w:spacing w:line="256" w:lineRule="auto"/>
        <w:jc w:val="both"/>
        <w:rPr>
          <w:rFonts w:ascii="Arial" w:hAnsi="Arial" w:cs="Arial"/>
          <w:sz w:val="24"/>
          <w:szCs w:val="24"/>
          <w:lang w:eastAsia="en-GB"/>
        </w:rPr>
      </w:pPr>
      <w:r>
        <w:rPr>
          <w:rFonts w:ascii="Arial" w:hAnsi="Arial" w:cs="Arial"/>
          <w:sz w:val="24"/>
          <w:szCs w:val="24"/>
          <w:lang w:eastAsia="en-GB"/>
        </w:rPr>
        <w:t xml:space="preserve">Chatzidaki, E., Chioti, V., Mourtou, L., Papavasileiou, G., &amp; Kotronoulas, A. (Year). </w:t>
      </w:r>
      <w:r>
        <w:rPr>
          <w:rFonts w:ascii="Arial" w:hAnsi="Arial" w:cs="Arial"/>
          <w:i/>
          <w:iCs/>
          <w:sz w:val="24"/>
          <w:szCs w:val="24"/>
          <w:bdr w:val="single" w:color="E3E3E3" w:sz="2" w:space="0"/>
          <w:lang w:eastAsia="en-GB"/>
        </w:rPr>
        <w:t>Parenting Styles and Psychosocial Factors of Mother-Child Dyads Participating in the ENDORSE Digital Weight Management Program for Children and Adolescents during the COVID-19 Pandemic</w:t>
      </w:r>
      <w:r>
        <w:rPr>
          <w:rFonts w:ascii="Arial" w:hAnsi="Arial" w:cs="Arial"/>
          <w:sz w:val="24"/>
          <w:szCs w:val="24"/>
          <w:lang w:eastAsia="en-GB"/>
        </w:rPr>
        <w:t>. The study highlights the psychosocial aspects of participating in a digital weight management program.</w:t>
      </w:r>
    </w:p>
    <w:p>
      <w:pPr>
        <w:pStyle w:val="9"/>
        <w:numPr>
          <w:ilvl w:val="0"/>
          <w:numId w:val="1"/>
        </w:numPr>
        <w:spacing w:line="256" w:lineRule="auto"/>
        <w:jc w:val="both"/>
        <w:rPr>
          <w:rFonts w:ascii="Arial" w:hAnsi="Arial" w:cs="Arial"/>
          <w:sz w:val="24"/>
          <w:szCs w:val="24"/>
          <w:lang w:eastAsia="en-GB"/>
        </w:rPr>
      </w:pPr>
      <w:r>
        <w:rPr>
          <w:rFonts w:ascii="Arial" w:hAnsi="Arial" w:cs="Arial"/>
          <w:sz w:val="24"/>
          <w:szCs w:val="24"/>
          <w:lang w:eastAsia="en-GB"/>
        </w:rPr>
        <w:t xml:space="preserve">Bennett, G. et al. (2016). </w:t>
      </w:r>
      <w:r>
        <w:rPr>
          <w:rFonts w:ascii="Arial" w:hAnsi="Arial" w:cs="Arial"/>
          <w:i/>
          <w:iCs/>
          <w:sz w:val="24"/>
          <w:szCs w:val="24"/>
          <w:bdr w:val="single" w:color="E3E3E3" w:sz="2" w:space="0"/>
          <w:lang w:eastAsia="en-GB"/>
        </w:rPr>
        <w:t>Track: A randomized controlled trial of a digital health obesity treatment intervention for medically vulnerable primary care patients</w:t>
      </w:r>
      <w:r>
        <w:rPr>
          <w:rFonts w:ascii="Arial" w:hAnsi="Arial" w:cs="Arial"/>
          <w:sz w:val="24"/>
          <w:szCs w:val="24"/>
          <w:lang w:eastAsia="en-GB"/>
        </w:rPr>
        <w:t>. Clinical Trials. DOI: 10.1016/j.cct.2016.03.006. This RCT evaluates the effectiveness of a digital health intervention for weight loss among high-risk primary care patients.</w:t>
      </w:r>
    </w:p>
    <w:p>
      <w:pPr>
        <w:pStyle w:val="9"/>
        <w:numPr>
          <w:ilvl w:val="0"/>
          <w:numId w:val="1"/>
        </w:numPr>
        <w:spacing w:line="256" w:lineRule="auto"/>
        <w:jc w:val="both"/>
        <w:rPr>
          <w:rFonts w:ascii="Arial" w:hAnsi="Arial" w:cs="Arial"/>
          <w:sz w:val="24"/>
          <w:szCs w:val="24"/>
          <w:lang w:eastAsia="en-GB"/>
        </w:rPr>
      </w:pPr>
      <w:r>
        <w:rPr>
          <w:rFonts w:ascii="Arial" w:hAnsi="Arial" w:cs="Arial"/>
          <w:color w:val="0D0D0D"/>
          <w:sz w:val="24"/>
          <w:szCs w:val="24"/>
          <w:shd w:val="clear" w:color="auto" w:fill="FFFFFF"/>
        </w:rPr>
        <w:t xml:space="preserve">World Health Organization (WHO) (2024). One in eight people are now living with obesity. Available at: </w:t>
      </w:r>
      <w:r>
        <w:fldChar w:fldCharType="begin"/>
      </w:r>
      <w:r>
        <w:instrText xml:space="preserve"> HYPERLINK "https://www.who.int/news-room/detail/one-in-eight-people-are-now-living-with-obesity" \t "_new" </w:instrText>
      </w:r>
      <w:r>
        <w:fldChar w:fldCharType="separate"/>
      </w:r>
      <w:r>
        <w:rPr>
          <w:rStyle w:val="5"/>
          <w:rFonts w:ascii="Arial" w:hAnsi="Arial" w:cs="Arial"/>
          <w:sz w:val="24"/>
          <w:szCs w:val="24"/>
          <w:bdr w:val="single" w:color="E3E3E3" w:sz="2" w:space="0"/>
          <w:shd w:val="clear" w:color="auto" w:fill="FFFFFF"/>
        </w:rPr>
        <w:t>https://www.who.int/news-room/detail/one-in-eight-people-are-now-living-with-obesity</w:t>
      </w:r>
      <w:r>
        <w:rPr>
          <w:rStyle w:val="5"/>
          <w:rFonts w:ascii="Arial" w:hAnsi="Arial" w:cs="Arial"/>
          <w:sz w:val="24"/>
          <w:szCs w:val="24"/>
          <w:bdr w:val="single" w:color="E3E3E3" w:sz="2" w:space="0"/>
          <w:shd w:val="clear" w:color="auto" w:fill="FFFFFF"/>
        </w:rPr>
        <w:fldChar w:fldCharType="end"/>
      </w:r>
      <w:r>
        <w:rPr>
          <w:rFonts w:ascii="Arial" w:hAnsi="Arial" w:cs="Arial"/>
          <w:sz w:val="24"/>
          <w:szCs w:val="24"/>
        </w:rPr>
        <w:t xml:space="preserve">. </w:t>
      </w:r>
    </w:p>
    <w:p>
      <w:pPr>
        <w:pStyle w:val="9"/>
        <w:rPr>
          <w:rFonts w:ascii="Arial" w:hAnsi="Arial" w:cs="Arial"/>
          <w:sz w:val="24"/>
          <w:szCs w:val="24"/>
        </w:rPr>
      </w:pPr>
    </w:p>
    <w:p>
      <w:pPr>
        <w:pStyle w:val="9"/>
        <w:rPr>
          <w:rFonts w:ascii="Arial" w:hAnsi="Arial" w:cs="Arial"/>
          <w:sz w:val="24"/>
          <w:szCs w:val="24"/>
        </w:rPr>
      </w:pPr>
    </w:p>
    <w:p>
      <w:pPr>
        <w:pStyle w:val="9"/>
        <w:rPr>
          <w:rFonts w:ascii="Arial" w:hAnsi="Arial" w:cs="Arial"/>
          <w:sz w:val="24"/>
          <w:szCs w:val="24"/>
        </w:rPr>
      </w:pPr>
    </w:p>
    <w:p>
      <w:pPr>
        <w:pStyle w:val="9"/>
        <w:rPr>
          <w:rFonts w:ascii="Arial" w:hAnsi="Arial" w:cs="Arial"/>
          <w:b/>
          <w:bCs/>
          <w:sz w:val="24"/>
          <w:szCs w:val="24"/>
        </w:rPr>
      </w:pPr>
      <w:r>
        <w:rPr>
          <w:rFonts w:ascii="Arial" w:hAnsi="Arial" w:cs="Arial"/>
          <w:b/>
          <w:bCs/>
          <w:sz w:val="24"/>
          <w:szCs w:val="24"/>
        </w:rPr>
        <w:t xml:space="preserve">Poster reference </w:t>
      </w:r>
    </w:p>
    <w:p>
      <w:pPr>
        <w:pStyle w:val="9"/>
        <w:numPr>
          <w:ilvl w:val="0"/>
          <w:numId w:val="2"/>
        </w:numPr>
        <w:rPr>
          <w:rFonts w:ascii="Arial" w:hAnsi="Arial" w:cs="Arial"/>
          <w:sz w:val="24"/>
          <w:szCs w:val="24"/>
          <w:lang w:val="en-IN"/>
        </w:rPr>
      </w:pPr>
      <w:r>
        <w:rPr>
          <w:rFonts w:ascii="Arial" w:hAnsi="Arial" w:cs="Arial"/>
          <w:sz w:val="24"/>
          <w:szCs w:val="24"/>
        </w:rPr>
        <w:t xml:space="preserve">Anderson, K. N., &amp; Hartzler, A. L. (2020). Digital mental health: Innovation and challenges. </w:t>
      </w:r>
      <w:r>
        <w:rPr>
          <w:rFonts w:ascii="Arial" w:hAnsi="Arial" w:cs="Arial"/>
          <w:i/>
          <w:iCs/>
          <w:sz w:val="24"/>
          <w:szCs w:val="24"/>
        </w:rPr>
        <w:t>International Journal of Environmental Research and Public Health</w:t>
      </w:r>
      <w:r>
        <w:rPr>
          <w:rFonts w:ascii="Arial" w:hAnsi="Arial" w:cs="Arial"/>
          <w:sz w:val="24"/>
          <w:szCs w:val="24"/>
        </w:rPr>
        <w:t>, 17(5), 1693.</w:t>
      </w:r>
    </w:p>
    <w:p>
      <w:pPr>
        <w:pStyle w:val="9"/>
        <w:numPr>
          <w:ilvl w:val="0"/>
          <w:numId w:val="2"/>
        </w:numPr>
        <w:rPr>
          <w:rFonts w:ascii="Arial" w:hAnsi="Arial" w:cs="Arial"/>
          <w:sz w:val="24"/>
          <w:szCs w:val="24"/>
          <w:lang w:val="en-IN"/>
        </w:rPr>
      </w:pPr>
      <w:r>
        <w:rPr>
          <w:rFonts w:ascii="Arial" w:hAnsi="Arial" w:cs="Arial"/>
          <w:sz w:val="24"/>
          <w:szCs w:val="24"/>
        </w:rPr>
        <w:t xml:space="preserve">Lattie, E. G., Adkins, E. C., Winquist, N., Stiles-Shields, C., Wafford, Q. E., &amp; Graham, A. K. (2019). Digital mental health interventions for depression, anxiety, and enhancement of psychological well-being among college students: Systematic review. </w:t>
      </w:r>
      <w:r>
        <w:rPr>
          <w:rFonts w:ascii="Arial" w:hAnsi="Arial" w:cs="Arial"/>
          <w:i/>
          <w:iCs/>
          <w:sz w:val="24"/>
          <w:szCs w:val="24"/>
        </w:rPr>
        <w:t>Journal of Medical Internet Research</w:t>
      </w:r>
      <w:r>
        <w:rPr>
          <w:rFonts w:ascii="Arial" w:hAnsi="Arial" w:cs="Arial"/>
          <w:sz w:val="24"/>
          <w:szCs w:val="24"/>
        </w:rPr>
        <w:t>, 21(7), e12869.</w:t>
      </w:r>
    </w:p>
    <w:p>
      <w:pPr>
        <w:pStyle w:val="9"/>
        <w:numPr>
          <w:ilvl w:val="0"/>
          <w:numId w:val="2"/>
        </w:numPr>
        <w:rPr>
          <w:rFonts w:ascii="Arial" w:hAnsi="Arial" w:cs="Arial"/>
          <w:sz w:val="24"/>
          <w:szCs w:val="24"/>
          <w:lang w:val="en-IN"/>
        </w:rPr>
      </w:pPr>
      <w:r>
        <w:rPr>
          <w:rFonts w:ascii="Arial" w:hAnsi="Arial" w:cs="Arial"/>
          <w:sz w:val="24"/>
          <w:szCs w:val="24"/>
        </w:rPr>
        <w:t xml:space="preserve">World Health Organization. (2021). Digital health. Retrieved from </w:t>
      </w:r>
      <w:r>
        <w:fldChar w:fldCharType="begin"/>
      </w:r>
      <w:r>
        <w:instrText xml:space="preserve"> HYPERLINK "https://www.who.int/health-topics/digital-health" </w:instrText>
      </w:r>
      <w:r>
        <w:fldChar w:fldCharType="separate"/>
      </w:r>
      <w:r>
        <w:rPr>
          <w:rStyle w:val="5"/>
          <w:rFonts w:ascii="Arial" w:hAnsi="Arial" w:cs="Arial"/>
          <w:sz w:val="24"/>
          <w:szCs w:val="24"/>
        </w:rPr>
        <w:t>https://www.who.int/health-topics/digital-health#tab=tab_1</w:t>
      </w:r>
      <w:r>
        <w:rPr>
          <w:rStyle w:val="5"/>
          <w:rFonts w:ascii="Arial" w:hAnsi="Arial" w:cs="Arial"/>
          <w:sz w:val="24"/>
          <w:szCs w:val="24"/>
        </w:rPr>
        <w:fldChar w:fldCharType="end"/>
      </w:r>
    </w:p>
    <w:p>
      <w:pPr>
        <w:pStyle w:val="9"/>
        <w:numPr>
          <w:ilvl w:val="0"/>
          <w:numId w:val="2"/>
        </w:numPr>
        <w:rPr>
          <w:rFonts w:ascii="Arial" w:hAnsi="Arial" w:cs="Arial"/>
          <w:sz w:val="24"/>
          <w:szCs w:val="24"/>
          <w:lang w:val="en-IN"/>
        </w:rPr>
      </w:pPr>
      <w:r>
        <w:rPr>
          <w:rFonts w:ascii="Arial" w:hAnsi="Arial" w:cs="Arial"/>
          <w:sz w:val="24"/>
          <w:szCs w:val="24"/>
        </w:rPr>
        <w:t>Lal, S., &amp; Adair, C. E. (2014). E-mental health: a rapid review of the literature. Psychiatric Services, 65(1), 24-32.</w:t>
      </w:r>
    </w:p>
    <w:p>
      <w:pPr>
        <w:pStyle w:val="9"/>
        <w:numPr>
          <w:ilvl w:val="0"/>
          <w:numId w:val="2"/>
        </w:numPr>
        <w:rPr>
          <w:rFonts w:ascii="Arial" w:hAnsi="Arial" w:cs="Arial"/>
          <w:sz w:val="24"/>
          <w:szCs w:val="24"/>
          <w:lang w:val="en-IN"/>
        </w:rPr>
      </w:pPr>
      <w:r>
        <w:rPr>
          <w:rFonts w:ascii="Arial" w:hAnsi="Arial" w:cs="Arial"/>
          <w:sz w:val="24"/>
          <w:szCs w:val="24"/>
        </w:rPr>
        <w:t>Norcross, J. C., &amp; Krebs, P. M. (2018). Stages of change. In J. C. Norcross, G. R. VandenBos, &amp; D. K. Freedheim (Eds.), APA handbooks in psychology®. APA handbook of clinical psychology: Theory and research (Vol. 1, pp. 467-481). American Psychological Association.</w:t>
      </w:r>
    </w:p>
    <w:p>
      <w:pPr>
        <w:pStyle w:val="9"/>
        <w:numPr>
          <w:ilvl w:val="0"/>
          <w:numId w:val="2"/>
        </w:numPr>
        <w:rPr>
          <w:rFonts w:ascii="Arial" w:hAnsi="Arial" w:cs="Arial"/>
          <w:sz w:val="24"/>
          <w:szCs w:val="24"/>
          <w:lang w:val="en-IN"/>
        </w:rPr>
      </w:pPr>
      <w:r>
        <w:rPr>
          <w:rFonts w:ascii="Arial" w:hAnsi="Arial" w:cs="Arial"/>
          <w:sz w:val="24"/>
          <w:szCs w:val="24"/>
        </w:rPr>
        <w:t>Prochaska, J. O., &amp; Velicer, W. F. (1997). The transtheoretical model of health behavior change. American Journal of Health Promotion, 12(1), 38-48.</w:t>
      </w:r>
    </w:p>
    <w:p>
      <w:pPr>
        <w:pStyle w:val="9"/>
        <w:numPr>
          <w:ilvl w:val="0"/>
          <w:numId w:val="2"/>
        </w:numPr>
        <w:rPr>
          <w:rFonts w:ascii="Arial" w:hAnsi="Arial" w:cs="Arial"/>
          <w:sz w:val="24"/>
          <w:szCs w:val="24"/>
          <w:lang w:val="en-IN"/>
        </w:rPr>
      </w:pPr>
      <w:r>
        <w:rPr>
          <w:rFonts w:ascii="Arial" w:hAnsi="Arial" w:cs="Arial"/>
          <w:sz w:val="24"/>
          <w:szCs w:val="24"/>
        </w:rPr>
        <w:t>Rosen, L. N. (2018). The Transtheoretical Model and Stages of Change: A critique: Observations by five commentators on the paper by Adams, J. and White, M. (2004) "Why don't stage-based activity promotion interventions work?" Health Education Research, 33(1), 10-15.</w:t>
      </w:r>
    </w:p>
    <w:p>
      <w:pPr>
        <w:pStyle w:val="9"/>
        <w:numPr>
          <w:ilvl w:val="0"/>
          <w:numId w:val="2"/>
        </w:numPr>
        <w:rPr>
          <w:rFonts w:ascii="Arial" w:hAnsi="Arial" w:cs="Arial"/>
          <w:sz w:val="24"/>
          <w:szCs w:val="24"/>
          <w:lang w:val="en-IN"/>
        </w:rPr>
      </w:pPr>
      <w:r>
        <w:rPr>
          <w:rFonts w:ascii="Arial" w:hAnsi="Arial" w:cs="Arial"/>
          <w:sz w:val="24"/>
          <w:szCs w:val="24"/>
        </w:rPr>
        <w:t>Whittaker, R., McRobbie, H., Bullen, C., Rodgers, A., &amp; Gu, Y. (2019). Mobile phone-based interventions for smoking cessation. Cochrane Database of Systematic Reviews, 2019(10), CD006611.</w:t>
      </w:r>
    </w:p>
    <w:p>
      <w:pPr>
        <w:pStyle w:val="9"/>
        <w:numPr>
          <w:ilvl w:val="0"/>
          <w:numId w:val="2"/>
        </w:numPr>
        <w:rPr>
          <w:rFonts w:ascii="Arial" w:hAnsi="Arial" w:cs="Arial"/>
          <w:sz w:val="24"/>
          <w:szCs w:val="24"/>
          <w:lang w:val="en-IN"/>
        </w:rPr>
      </w:pPr>
      <w:r>
        <w:rPr>
          <w:rFonts w:ascii="Arial" w:hAnsi="Arial" w:cs="Arial"/>
          <w:sz w:val="24"/>
          <w:szCs w:val="24"/>
        </w:rPr>
        <w:t xml:space="preserve">Bennett, G. G., &amp; Glasgow, R. E. (2015). The Delivery of Public Health Interventions via the Internet: Actualizing Their Potential. </w:t>
      </w:r>
      <w:r>
        <w:rPr>
          <w:rFonts w:ascii="Arial" w:hAnsi="Arial" w:cs="Arial"/>
          <w:i/>
          <w:iCs/>
          <w:sz w:val="24"/>
          <w:szCs w:val="24"/>
        </w:rPr>
        <w:t>Annual Review of Public Health</w:t>
      </w:r>
      <w:r>
        <w:rPr>
          <w:rFonts w:ascii="Arial" w:hAnsi="Arial" w:cs="Arial"/>
          <w:sz w:val="24"/>
          <w:szCs w:val="24"/>
        </w:rPr>
        <w:t>, 36, 273-292.</w:t>
      </w:r>
    </w:p>
    <w:p>
      <w:pPr>
        <w:pStyle w:val="9"/>
        <w:numPr>
          <w:ilvl w:val="0"/>
          <w:numId w:val="2"/>
        </w:numPr>
        <w:rPr>
          <w:rFonts w:ascii="Arial" w:hAnsi="Arial" w:cs="Arial"/>
          <w:sz w:val="24"/>
          <w:szCs w:val="24"/>
          <w:lang w:val="en-IN"/>
        </w:rPr>
      </w:pPr>
      <w:r>
        <w:rPr>
          <w:rFonts w:ascii="Arial" w:hAnsi="Arial" w:cs="Arial"/>
          <w:sz w:val="24"/>
          <w:szCs w:val="24"/>
        </w:rPr>
        <w:t xml:space="preserve">Eysenbach, G. (2001). What is e-health? </w:t>
      </w:r>
      <w:r>
        <w:rPr>
          <w:rFonts w:ascii="Arial" w:hAnsi="Arial" w:cs="Arial"/>
          <w:i/>
          <w:iCs/>
          <w:sz w:val="24"/>
          <w:szCs w:val="24"/>
        </w:rPr>
        <w:t>Journal of Medical Internet Research</w:t>
      </w:r>
      <w:r>
        <w:rPr>
          <w:rFonts w:ascii="Arial" w:hAnsi="Arial" w:cs="Arial"/>
          <w:sz w:val="24"/>
          <w:szCs w:val="24"/>
        </w:rPr>
        <w:t>, 3(2), e20.</w:t>
      </w:r>
    </w:p>
    <w:p>
      <w:pPr>
        <w:pStyle w:val="9"/>
        <w:numPr>
          <w:ilvl w:val="0"/>
          <w:numId w:val="2"/>
        </w:numPr>
        <w:rPr>
          <w:rFonts w:ascii="Arial" w:hAnsi="Arial" w:cs="Arial"/>
          <w:sz w:val="24"/>
          <w:szCs w:val="24"/>
          <w:lang w:val="en-IN"/>
        </w:rPr>
      </w:pPr>
      <w:r>
        <w:rPr>
          <w:rFonts w:ascii="Arial" w:hAnsi="Arial" w:cs="Arial"/>
          <w:sz w:val="24"/>
          <w:szCs w:val="24"/>
        </w:rPr>
        <w:t xml:space="preserve">Lupton, D. (2014). Health promotion in the digital era: a critical commentary. </w:t>
      </w:r>
      <w:r>
        <w:rPr>
          <w:rFonts w:ascii="Arial" w:hAnsi="Arial" w:cs="Arial"/>
          <w:i/>
          <w:iCs/>
          <w:sz w:val="24"/>
          <w:szCs w:val="24"/>
        </w:rPr>
        <w:t>Health Promotion International</w:t>
      </w:r>
      <w:r>
        <w:rPr>
          <w:rFonts w:ascii="Arial" w:hAnsi="Arial" w:cs="Arial"/>
          <w:sz w:val="24"/>
          <w:szCs w:val="24"/>
        </w:rPr>
        <w:t>, 30(1), 174-183.</w:t>
      </w:r>
    </w:p>
    <w:p>
      <w:pPr>
        <w:pStyle w:val="9"/>
        <w:numPr>
          <w:ilvl w:val="0"/>
          <w:numId w:val="2"/>
        </w:numPr>
        <w:rPr>
          <w:rFonts w:ascii="Arial" w:hAnsi="Arial" w:cs="Arial"/>
          <w:sz w:val="24"/>
          <w:szCs w:val="24"/>
          <w:lang w:val="en-IN"/>
        </w:rPr>
      </w:pPr>
      <w:r>
        <w:rPr>
          <w:rFonts w:ascii="Arial" w:hAnsi="Arial" w:cs="Arial"/>
          <w:sz w:val="24"/>
          <w:szCs w:val="24"/>
        </w:rPr>
        <w:t xml:space="preserve">Nutbeam, D. (1998). Health Promotion Glossary. </w:t>
      </w:r>
      <w:r>
        <w:rPr>
          <w:rFonts w:ascii="Arial" w:hAnsi="Arial" w:cs="Arial"/>
          <w:i/>
          <w:iCs/>
          <w:sz w:val="24"/>
          <w:szCs w:val="24"/>
        </w:rPr>
        <w:t>Health Promotion International</w:t>
      </w:r>
      <w:r>
        <w:rPr>
          <w:rFonts w:ascii="Arial" w:hAnsi="Arial" w:cs="Arial"/>
          <w:sz w:val="24"/>
          <w:szCs w:val="24"/>
        </w:rPr>
        <w:t>, 13(4), 349-364.</w:t>
      </w:r>
    </w:p>
    <w:p>
      <w:pPr>
        <w:pStyle w:val="9"/>
        <w:numPr>
          <w:ilvl w:val="0"/>
          <w:numId w:val="2"/>
        </w:numPr>
        <w:rPr>
          <w:rFonts w:ascii="Arial" w:hAnsi="Arial" w:cs="Arial"/>
          <w:sz w:val="24"/>
          <w:szCs w:val="24"/>
          <w:lang w:val="en-IN"/>
        </w:rPr>
      </w:pPr>
      <w:r>
        <w:rPr>
          <w:rFonts w:ascii="Arial" w:hAnsi="Arial" w:cs="Arial"/>
          <w:sz w:val="24"/>
          <w:szCs w:val="24"/>
        </w:rPr>
        <w:t xml:space="preserve">Hollis, C., Falconer, C. J., Martin, J. L., Whittington, C., Stockton, S., Glazebrook, C., and Davies, E. B. (2018). Annual Research Review: Digital health interventions for children and young people with mental health problems - a systematic and meta-review. </w:t>
      </w:r>
      <w:r>
        <w:rPr>
          <w:rFonts w:ascii="Arial" w:hAnsi="Arial" w:cs="Arial"/>
          <w:i/>
          <w:iCs/>
          <w:sz w:val="24"/>
          <w:szCs w:val="24"/>
        </w:rPr>
        <w:t>Journal of Child Psychology and Psychiatry</w:t>
      </w:r>
      <w:r>
        <w:rPr>
          <w:rFonts w:ascii="Arial" w:hAnsi="Arial" w:cs="Arial"/>
          <w:sz w:val="24"/>
          <w:szCs w:val="24"/>
        </w:rPr>
        <w:t>, 59(4), 292-314.</w:t>
      </w:r>
    </w:p>
    <w:p>
      <w:pPr>
        <w:pStyle w:val="9"/>
        <w:numPr>
          <w:ilvl w:val="0"/>
          <w:numId w:val="2"/>
        </w:numPr>
        <w:rPr>
          <w:rFonts w:ascii="Arial" w:hAnsi="Arial" w:cs="Arial"/>
          <w:sz w:val="24"/>
          <w:szCs w:val="24"/>
          <w:lang w:val="en-IN"/>
        </w:rPr>
      </w:pPr>
      <w:r>
        <w:rPr>
          <w:rFonts w:ascii="Arial" w:hAnsi="Arial" w:cs="Arial"/>
          <w:sz w:val="24"/>
          <w:szCs w:val="24"/>
        </w:rPr>
        <w:t xml:space="preserve">Lal, S., and Adair, C. E. (2014). E-mental health: a rapid review of the literature. </w:t>
      </w:r>
      <w:r>
        <w:rPr>
          <w:rFonts w:ascii="Arial" w:hAnsi="Arial" w:cs="Arial"/>
          <w:i/>
          <w:iCs/>
          <w:sz w:val="24"/>
          <w:szCs w:val="24"/>
        </w:rPr>
        <w:t>Psychiatric Services</w:t>
      </w:r>
      <w:r>
        <w:rPr>
          <w:rFonts w:ascii="Arial" w:hAnsi="Arial" w:cs="Arial"/>
          <w:sz w:val="24"/>
          <w:szCs w:val="24"/>
        </w:rPr>
        <w:t>, 65(1), 24-32.</w:t>
      </w:r>
    </w:p>
    <w:p>
      <w:pPr>
        <w:pStyle w:val="9"/>
        <w:numPr>
          <w:ilvl w:val="0"/>
          <w:numId w:val="2"/>
        </w:numPr>
        <w:rPr>
          <w:rFonts w:ascii="Arial" w:hAnsi="Arial" w:cs="Arial"/>
          <w:sz w:val="24"/>
          <w:szCs w:val="24"/>
          <w:lang w:val="en-IN"/>
        </w:rPr>
      </w:pPr>
      <w:r>
        <w:rPr>
          <w:rFonts w:ascii="Arial" w:hAnsi="Arial" w:cs="Arial"/>
          <w:sz w:val="24"/>
          <w:szCs w:val="24"/>
        </w:rPr>
        <w:t xml:space="preserve">Patel, V., Saxena, S., Lund, C., Thornicroft, G., Baingana, F., Bolton, P., Chisholm, D., Collins, P. Y., Cooper, J. L., Eaton, J., Herrman, H., Herzallah, M. M., Huang, Y., Jordans, M. J., Kleinman, A., Medina-Mora, M. E., Morgan, E., Niaz, U., Omigbodun, O., Prince, M., Rahman, A., Saraceno, B., Sarkar, B. K., De Silva, M., Singh, I., Stein, D. J., Sunkel, C., and UnÜtzer, J. (2018). The Lancet Commission on global mental health and sustainable development. </w:t>
      </w:r>
      <w:r>
        <w:rPr>
          <w:rFonts w:ascii="Arial" w:hAnsi="Arial" w:cs="Arial"/>
          <w:i/>
          <w:iCs/>
          <w:sz w:val="24"/>
          <w:szCs w:val="24"/>
        </w:rPr>
        <w:t>The Lancet</w:t>
      </w:r>
      <w:r>
        <w:rPr>
          <w:rFonts w:ascii="Arial" w:hAnsi="Arial" w:cs="Arial"/>
          <w:sz w:val="24"/>
          <w:szCs w:val="24"/>
        </w:rPr>
        <w:t>, 392(10157), 1553-1598.</w:t>
      </w:r>
    </w:p>
    <w:p>
      <w:pPr>
        <w:pStyle w:val="9"/>
        <w:numPr>
          <w:ilvl w:val="0"/>
          <w:numId w:val="2"/>
        </w:numPr>
        <w:rPr>
          <w:rFonts w:ascii="Arial" w:hAnsi="Arial" w:cs="Arial"/>
          <w:sz w:val="24"/>
          <w:szCs w:val="24"/>
          <w:lang w:val="en-IN"/>
        </w:rPr>
      </w:pPr>
      <w:r>
        <w:rPr>
          <w:rFonts w:ascii="Arial" w:hAnsi="Arial" w:cs="Arial"/>
          <w:sz w:val="24"/>
          <w:szCs w:val="24"/>
        </w:rPr>
        <w:t xml:space="preserve">Smith, J. A. (2020). Overcoming the 'tyranny of the urgent': integrating gender into disease outbreak preparedness and response. </w:t>
      </w:r>
      <w:r>
        <w:rPr>
          <w:rFonts w:ascii="Arial" w:hAnsi="Arial" w:cs="Arial"/>
          <w:i/>
          <w:iCs/>
          <w:sz w:val="24"/>
          <w:szCs w:val="24"/>
        </w:rPr>
        <w:t>Gender &amp; Development</w:t>
      </w:r>
      <w:r>
        <w:rPr>
          <w:rFonts w:ascii="Arial" w:hAnsi="Arial" w:cs="Arial"/>
          <w:sz w:val="24"/>
          <w:szCs w:val="24"/>
        </w:rPr>
        <w:t>, 28(2), 355-369.</w:t>
      </w:r>
    </w:p>
    <w:p>
      <w:pPr>
        <w:pStyle w:val="9"/>
        <w:numPr>
          <w:ilvl w:val="0"/>
          <w:numId w:val="2"/>
        </w:numPr>
        <w:rPr>
          <w:rFonts w:ascii="Arial" w:hAnsi="Arial" w:cs="Arial"/>
          <w:sz w:val="24"/>
          <w:szCs w:val="24"/>
          <w:lang w:val="en-IN"/>
        </w:rPr>
      </w:pPr>
      <w:r>
        <w:rPr>
          <w:rFonts w:ascii="Arial" w:hAnsi="Arial" w:cs="Arial"/>
          <w:sz w:val="24"/>
          <w:szCs w:val="24"/>
        </w:rPr>
        <w:t xml:space="preserve">Torous, J., and Roberts, L. W. (2017). Needed innovation in digital health and smartphone applications for mental health: transparency and trust. </w:t>
      </w:r>
      <w:r>
        <w:rPr>
          <w:rFonts w:ascii="Arial" w:hAnsi="Arial" w:cs="Arial"/>
          <w:i/>
          <w:iCs/>
          <w:sz w:val="24"/>
          <w:szCs w:val="24"/>
        </w:rPr>
        <w:t>JAMA Psychiatry</w:t>
      </w:r>
      <w:r>
        <w:rPr>
          <w:rFonts w:ascii="Arial" w:hAnsi="Arial" w:cs="Arial"/>
          <w:sz w:val="24"/>
          <w:szCs w:val="24"/>
        </w:rPr>
        <w:t>, 74(5), 437-438.</w:t>
      </w:r>
    </w:p>
    <w:p>
      <w:pPr>
        <w:pStyle w:val="9"/>
        <w:numPr>
          <w:ilvl w:val="0"/>
          <w:numId w:val="2"/>
        </w:numPr>
        <w:rPr>
          <w:rFonts w:ascii="Arial" w:hAnsi="Arial" w:cs="Arial"/>
          <w:sz w:val="24"/>
          <w:szCs w:val="24"/>
          <w:lang w:val="en-IN"/>
        </w:rPr>
      </w:pPr>
      <w:r>
        <w:rPr>
          <w:rFonts w:ascii="Arial" w:hAnsi="Arial" w:cs="Arial"/>
          <w:sz w:val="24"/>
          <w:szCs w:val="24"/>
        </w:rPr>
        <w:t xml:space="preserve">World Health Organization (WHO). (2021). Mental disorders. Retrieved from </w:t>
      </w:r>
      <w:r>
        <w:fldChar w:fldCharType="begin"/>
      </w:r>
      <w:r>
        <w:instrText xml:space="preserve"> HYPERLINK "https://www.who.int/news-room/fact-sheets/detail/mental-disorders" </w:instrText>
      </w:r>
      <w:r>
        <w:fldChar w:fldCharType="separate"/>
      </w:r>
      <w:r>
        <w:rPr>
          <w:rStyle w:val="5"/>
          <w:rFonts w:ascii="Arial" w:hAnsi="Arial" w:cs="Arial"/>
          <w:sz w:val="24"/>
          <w:szCs w:val="24"/>
        </w:rPr>
        <w:t>https://www.who.int/news-room/fact-sheets/detail/mental-disorders</w:t>
      </w:r>
      <w:r>
        <w:rPr>
          <w:rStyle w:val="5"/>
          <w:rFonts w:ascii="Arial" w:hAnsi="Arial" w:cs="Arial"/>
          <w:sz w:val="24"/>
          <w:szCs w:val="24"/>
        </w:rPr>
        <w:fldChar w:fldCharType="end"/>
      </w:r>
    </w:p>
    <w:p>
      <w:pPr>
        <w:pStyle w:val="9"/>
        <w:rPr>
          <w:rFonts w:ascii="Arial" w:hAnsi="Arial" w:cs="Arial"/>
          <w:sz w:val="24"/>
          <w:szCs w:val="24"/>
          <w:lang w:val="en-IN"/>
        </w:rPr>
      </w:pPr>
    </w:p>
    <w:p>
      <w:pPr>
        <w:pStyle w:val="9"/>
        <w:rPr>
          <w:rFonts w:ascii="Arial" w:hAnsi="Arial" w:cs="Arial"/>
          <w:sz w:val="24"/>
          <w:szCs w:val="24"/>
        </w:rPr>
      </w:pPr>
    </w:p>
    <w:p>
      <w:pPr>
        <w:pStyle w:val="9"/>
        <w:rPr>
          <w:rFonts w:ascii="Arial" w:hAnsi="Arial" w:eastAsia="Times New Roman" w:cs="Arial"/>
          <w:kern w:val="0"/>
          <w:sz w:val="24"/>
          <w:szCs w:val="24"/>
          <w:lang w:eastAsia="en-GB"/>
          <w14:ligatures w14:val="none"/>
        </w:rPr>
      </w:pPr>
    </w:p>
    <w:p>
      <w:pPr>
        <w:tabs>
          <w:tab w:val="left" w:pos="1536"/>
        </w:tabs>
        <w:rPr>
          <w:rFonts w:ascii="Arial" w:hAnsi="Arial" w:cs="Arial"/>
          <w:sz w:val="24"/>
          <w:szCs w:val="24"/>
        </w:rPr>
      </w:pPr>
    </w:p>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4655DC3"/>
    <w:multiLevelType w:val="multilevel"/>
    <w:tmpl w:val="54655DC3"/>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5AB35ACA"/>
    <w:multiLevelType w:val="multilevel"/>
    <w:tmpl w:val="5AB35ACA"/>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40E8"/>
    <w:rsid w:val="000131CA"/>
    <w:rsid w:val="00130D43"/>
    <w:rsid w:val="002615E5"/>
    <w:rsid w:val="002C4CAD"/>
    <w:rsid w:val="002F6045"/>
    <w:rsid w:val="0030252F"/>
    <w:rsid w:val="00402A9D"/>
    <w:rsid w:val="00484BFA"/>
    <w:rsid w:val="004B469D"/>
    <w:rsid w:val="00505FC3"/>
    <w:rsid w:val="0051146C"/>
    <w:rsid w:val="00516C85"/>
    <w:rsid w:val="005A7D2D"/>
    <w:rsid w:val="005B2956"/>
    <w:rsid w:val="005B50E8"/>
    <w:rsid w:val="005F57B9"/>
    <w:rsid w:val="006D59F5"/>
    <w:rsid w:val="006F6387"/>
    <w:rsid w:val="00755F65"/>
    <w:rsid w:val="0087582E"/>
    <w:rsid w:val="00875F23"/>
    <w:rsid w:val="008C728D"/>
    <w:rsid w:val="009335DB"/>
    <w:rsid w:val="00976760"/>
    <w:rsid w:val="009946C2"/>
    <w:rsid w:val="00997D40"/>
    <w:rsid w:val="009D3CC1"/>
    <w:rsid w:val="00C73BED"/>
    <w:rsid w:val="00C940E8"/>
    <w:rsid w:val="00D03E7E"/>
    <w:rsid w:val="00FE1476"/>
    <w:rsid w:val="0D0F4C2A"/>
    <w:rsid w:val="43365054"/>
    <w:rsid w:val="5FC150F0"/>
    <w:rsid w:val="7AD4711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character" w:default="1" w:styleId="2">
    <w:name w:val="Default Paragraph Font"/>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Emphasis"/>
    <w:basedOn w:val="2"/>
    <w:qFormat/>
    <w:uiPriority w:val="20"/>
    <w:rPr>
      <w:i/>
      <w:iCs/>
    </w:rPr>
  </w:style>
  <w:style w:type="character" w:styleId="5">
    <w:name w:val="Hyperlink"/>
    <w:basedOn w:val="2"/>
    <w:unhideWhenUsed/>
    <w:qFormat/>
    <w:uiPriority w:val="99"/>
    <w:rPr>
      <w:color w:val="0563C1" w:themeColor="hyperlink"/>
      <w:u w:val="single"/>
      <w14:textFill>
        <w14:solidFill>
          <w14:schemeClr w14:val="hlink"/>
        </w14:solidFill>
      </w14:textFill>
    </w:rPr>
  </w:style>
  <w:style w:type="character" w:styleId="6">
    <w:name w:val="Strong"/>
    <w:basedOn w:val="2"/>
    <w:qFormat/>
    <w:uiPriority w:val="22"/>
    <w:rPr>
      <w:b/>
      <w:bCs/>
    </w:rPr>
  </w:style>
  <w:style w:type="paragraph" w:styleId="7">
    <w:name w:val="Title"/>
    <w:basedOn w:val="1"/>
    <w:next w:val="1"/>
    <w:link w:val="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8">
    <w:name w:val="Title Char"/>
    <w:basedOn w:val="2"/>
    <w:link w:val="7"/>
    <w:uiPriority w:val="10"/>
    <w:rPr>
      <w:rFonts w:asciiTheme="majorHAnsi" w:hAnsiTheme="majorHAnsi" w:eastAsiaTheme="majorEastAsia" w:cstheme="majorBidi"/>
      <w:spacing w:val="-10"/>
      <w:kern w:val="28"/>
      <w:sz w:val="56"/>
      <w:szCs w:val="56"/>
      <w:lang w:val="en-GB"/>
    </w:rPr>
  </w:style>
  <w:style w:type="paragraph" w:styleId="9">
    <w:name w:val="List Paragraph"/>
    <w:basedOn w:val="1"/>
    <w:qFormat/>
    <w:uiPriority w:val="34"/>
    <w:pPr>
      <w:ind w:left="720"/>
      <w:contextualSpacing/>
    </w:pPr>
  </w:style>
  <w:style w:type="character" w:customStyle="1" w:styleId="10">
    <w:name w:val="Unresolved Mention"/>
    <w:basedOn w:val="2"/>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numbering" Target="numbering.xml"/><Relationship Id="rId15" Type="http://schemas.openxmlformats.org/officeDocument/2006/relationships/image" Target="media/image10.sv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2F58A5-DBEF-41D6-8B79-DFE2141EAC8F}">
  <ds:schemaRefs/>
</ds:datastoreItem>
</file>

<file path=docProps/app.xml><?xml version="1.0" encoding="utf-8"?>
<Properties xmlns="http://schemas.openxmlformats.org/officeDocument/2006/extended-properties" xmlns:vt="http://schemas.openxmlformats.org/officeDocument/2006/docPropsVTypes">
  <Template>Normal</Template>
  <Pages>15</Pages>
  <Words>2153</Words>
  <Characters>13600</Characters>
  <Lines>320</Lines>
  <Paragraphs>79</Paragraphs>
  <TotalTime>49</TotalTime>
  <ScaleCrop>false</ScaleCrop>
  <LinksUpToDate>false</LinksUpToDate>
  <CharactersWithSpaces>15718</CharactersWithSpaces>
  <Application>WPS Office_12.2.0.13472_F1E327BC-269C-435d-A152-05C5408002CA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2024-04-04T08:11:00Z</dcterms:created>
  <dc:creator>Yagnesh Pumbhadiya</dc:creator>
  <cp:lastModifiedBy>Binal Desai</cp:lastModifiedBy>
  <dcterms:modified xsi:type="dcterms:W3CDTF">2024-04-04T11:05:30Z</dcterms:modified>
  <cp:revision>33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acaf5ff2-c43c-48ef-aec6-f39e7053de62</vt:lpwstr>
  </property>
  <property fmtid="{D5CDD505-2E9C-101B-9397-08002B2CF9AE}" pid="3" name="KSOProductBuildVer">
    <vt:lpwstr>1033-12.2.0.13472</vt:lpwstr>
  </property>
  <property fmtid="{D5CDD505-2E9C-101B-9397-08002B2CF9AE}" pid="4" name="ICV">
    <vt:lpwstr>716C1686B0434085BCBC010D25ED9FAB_13</vt:lpwstr>
  </property>
</Properties>
</file>