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6BBC3" w14:textId="77777777" w:rsidR="00BD51D9" w:rsidRDefault="00F1033D">
      <w:pPr>
        <w:spacing w:line="36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E6BBC4" w14:textId="77777777" w:rsidR="00BD51D9" w:rsidRDefault="00BD51D9">
      <w:pPr>
        <w:spacing w:line="360" w:lineRule="auto"/>
        <w:ind w:hanging="2"/>
        <w:rPr>
          <w:rFonts w:ascii="Times New Roman" w:eastAsia="Times New Roman" w:hAnsi="Times New Roman" w:cs="Times New Roman"/>
          <w:sz w:val="24"/>
          <w:szCs w:val="24"/>
        </w:rPr>
      </w:pPr>
    </w:p>
    <w:p w14:paraId="56E6BBC5" w14:textId="77777777" w:rsidR="00BD51D9" w:rsidRDefault="00BD51D9">
      <w:pPr>
        <w:spacing w:line="360" w:lineRule="auto"/>
        <w:ind w:hanging="2"/>
        <w:rPr>
          <w:rFonts w:ascii="Times New Roman" w:eastAsia="Times New Roman" w:hAnsi="Times New Roman" w:cs="Times New Roman"/>
          <w:sz w:val="24"/>
          <w:szCs w:val="24"/>
        </w:rPr>
      </w:pPr>
    </w:p>
    <w:p w14:paraId="56E6BBC6" w14:textId="77777777" w:rsidR="00BD51D9" w:rsidRDefault="00BD51D9">
      <w:pPr>
        <w:spacing w:line="360" w:lineRule="auto"/>
        <w:ind w:hanging="2"/>
        <w:rPr>
          <w:rFonts w:ascii="Times New Roman" w:eastAsia="Times New Roman" w:hAnsi="Times New Roman" w:cs="Times New Roman"/>
          <w:sz w:val="24"/>
          <w:szCs w:val="24"/>
        </w:rPr>
      </w:pPr>
    </w:p>
    <w:p w14:paraId="56E6BBC7" w14:textId="77777777" w:rsidR="00BD51D9" w:rsidRDefault="00BD51D9">
      <w:pPr>
        <w:spacing w:line="360" w:lineRule="auto"/>
        <w:ind w:hanging="2"/>
        <w:rPr>
          <w:rFonts w:ascii="Times New Roman" w:eastAsia="Times New Roman" w:hAnsi="Times New Roman" w:cs="Times New Roman"/>
          <w:sz w:val="24"/>
          <w:szCs w:val="24"/>
        </w:rPr>
      </w:pPr>
    </w:p>
    <w:p w14:paraId="56E6BBC8" w14:textId="77777777" w:rsidR="00BD51D9" w:rsidRDefault="00BD51D9">
      <w:pPr>
        <w:spacing w:line="360" w:lineRule="auto"/>
        <w:ind w:hanging="2"/>
        <w:rPr>
          <w:rFonts w:ascii="Times New Roman" w:eastAsia="Times New Roman" w:hAnsi="Times New Roman" w:cs="Times New Roman"/>
          <w:sz w:val="24"/>
          <w:szCs w:val="24"/>
        </w:rPr>
      </w:pPr>
    </w:p>
    <w:p w14:paraId="56E6BBC9" w14:textId="77777777" w:rsidR="00BD51D9" w:rsidRDefault="00BD51D9">
      <w:pPr>
        <w:spacing w:line="360" w:lineRule="auto"/>
        <w:ind w:hanging="2"/>
        <w:rPr>
          <w:rFonts w:ascii="Times New Roman" w:eastAsia="Times New Roman" w:hAnsi="Times New Roman" w:cs="Times New Roman"/>
          <w:sz w:val="24"/>
          <w:szCs w:val="24"/>
        </w:rPr>
      </w:pPr>
    </w:p>
    <w:p w14:paraId="56E6BBCA" w14:textId="77777777" w:rsidR="00BD51D9" w:rsidRPr="00BF7A65" w:rsidRDefault="00F1033D">
      <w:pPr>
        <w:spacing w:line="360" w:lineRule="auto"/>
        <w:ind w:hanging="2"/>
        <w:jc w:val="center"/>
        <w:rPr>
          <w:rFonts w:ascii="Times New Roman" w:eastAsia="Times New Roman" w:hAnsi="Times New Roman" w:cs="Times New Roman"/>
          <w:b/>
          <w:bCs/>
          <w:sz w:val="24"/>
          <w:szCs w:val="24"/>
        </w:rPr>
      </w:pPr>
      <w:r w:rsidRPr="00BF7A65">
        <w:rPr>
          <w:rFonts w:ascii="Times New Roman" w:eastAsia="Times New Roman" w:hAnsi="Times New Roman" w:cs="Times New Roman"/>
          <w:b/>
          <w:bCs/>
          <w:sz w:val="24"/>
          <w:szCs w:val="24"/>
        </w:rPr>
        <w:t>Report on Type 2 Diabetes (T2DM)</w:t>
      </w:r>
    </w:p>
    <w:p w14:paraId="56E6BBCB" w14:textId="649A5E48" w:rsidR="00BD51D9" w:rsidRPr="00BF7A65" w:rsidRDefault="00F1033D">
      <w:pPr>
        <w:spacing w:line="360" w:lineRule="auto"/>
        <w:ind w:hanging="2"/>
        <w:jc w:val="center"/>
        <w:rPr>
          <w:rFonts w:ascii="Times New Roman" w:eastAsia="Times New Roman" w:hAnsi="Times New Roman" w:cs="Times New Roman"/>
          <w:sz w:val="24"/>
          <w:szCs w:val="24"/>
        </w:rPr>
      </w:pPr>
      <w:r w:rsidRPr="00BF7A65">
        <w:rPr>
          <w:rFonts w:ascii="Times New Roman" w:eastAsia="Times New Roman" w:hAnsi="Times New Roman" w:cs="Times New Roman"/>
          <w:sz w:val="24"/>
          <w:szCs w:val="24"/>
        </w:rPr>
        <w:t>Module</w:t>
      </w:r>
      <w:r w:rsidR="00C131ED" w:rsidRPr="00BF7A65">
        <w:rPr>
          <w:rFonts w:ascii="Times New Roman" w:eastAsia="Times New Roman" w:hAnsi="Times New Roman" w:cs="Times New Roman"/>
          <w:sz w:val="24"/>
          <w:szCs w:val="24"/>
        </w:rPr>
        <w:t xml:space="preserve">: </w:t>
      </w:r>
      <w:r w:rsidR="00C131ED" w:rsidRPr="00BF7A65">
        <w:rPr>
          <w:rFonts w:ascii="Times New Roman" w:eastAsia="Times New Roman" w:hAnsi="Times New Roman" w:cs="Times New Roman"/>
          <w:sz w:val="24"/>
          <w:szCs w:val="24"/>
        </w:rPr>
        <w:t>Introduction to Public Health (LCHS4008</w:t>
      </w:r>
      <w:r w:rsidR="00C131ED" w:rsidRPr="00BF7A65">
        <w:rPr>
          <w:rFonts w:ascii="Times New Roman" w:eastAsia="Times New Roman" w:hAnsi="Times New Roman" w:cs="Times New Roman"/>
          <w:sz w:val="24"/>
          <w:szCs w:val="24"/>
        </w:rPr>
        <w:t>)</w:t>
      </w:r>
    </w:p>
    <w:p w14:paraId="38D71EB3" w14:textId="0B302802" w:rsidR="00F13CF5" w:rsidRPr="00BF7A65" w:rsidRDefault="00754230">
      <w:pPr>
        <w:spacing w:line="360" w:lineRule="auto"/>
        <w:ind w:hanging="2"/>
        <w:jc w:val="center"/>
        <w:rPr>
          <w:rFonts w:ascii="Times New Roman" w:hAnsi="Times New Roman" w:cs="Times New Roman"/>
          <w:b/>
          <w:bCs/>
          <w:color w:val="1D2125"/>
          <w:sz w:val="24"/>
          <w:szCs w:val="24"/>
          <w:shd w:val="clear" w:color="auto" w:fill="FFFFFF"/>
        </w:rPr>
      </w:pPr>
      <w:r w:rsidRPr="00BF7A65">
        <w:rPr>
          <w:rStyle w:val="Strong"/>
          <w:rFonts w:ascii="Times New Roman" w:hAnsi="Times New Roman" w:cs="Times New Roman"/>
          <w:b w:val="0"/>
          <w:bCs w:val="0"/>
          <w:color w:val="1D2125"/>
          <w:sz w:val="24"/>
          <w:szCs w:val="24"/>
          <w:shd w:val="clear" w:color="auto" w:fill="FFFFFF"/>
        </w:rPr>
        <w:t xml:space="preserve">Module Leader: </w:t>
      </w:r>
      <w:r w:rsidR="00F13CF5" w:rsidRPr="00BF7A65">
        <w:rPr>
          <w:rStyle w:val="Strong"/>
          <w:rFonts w:ascii="Times New Roman" w:hAnsi="Times New Roman" w:cs="Times New Roman"/>
          <w:b w:val="0"/>
          <w:bCs w:val="0"/>
          <w:color w:val="1D2125"/>
          <w:sz w:val="24"/>
          <w:szCs w:val="24"/>
          <w:shd w:val="clear" w:color="auto" w:fill="FFFFFF"/>
        </w:rPr>
        <w:t>Jolly Nwankwo</w:t>
      </w:r>
    </w:p>
    <w:p w14:paraId="56E6BBCD" w14:textId="034913E1" w:rsidR="00BD51D9" w:rsidRPr="00BF7A65" w:rsidRDefault="00F1033D">
      <w:pPr>
        <w:spacing w:line="360" w:lineRule="auto"/>
        <w:ind w:hanging="2"/>
        <w:jc w:val="center"/>
        <w:rPr>
          <w:rFonts w:ascii="Times New Roman" w:eastAsia="Times New Roman" w:hAnsi="Times New Roman" w:cs="Times New Roman"/>
          <w:sz w:val="24"/>
          <w:szCs w:val="24"/>
        </w:rPr>
      </w:pPr>
      <w:r w:rsidRPr="00BF7A65">
        <w:rPr>
          <w:rFonts w:ascii="Times New Roman" w:eastAsia="Times New Roman" w:hAnsi="Times New Roman" w:cs="Times New Roman"/>
          <w:sz w:val="24"/>
          <w:szCs w:val="24"/>
        </w:rPr>
        <w:t>Course</w:t>
      </w:r>
      <w:r w:rsidR="00733309" w:rsidRPr="00BF7A65">
        <w:rPr>
          <w:rFonts w:ascii="Times New Roman" w:eastAsia="Times New Roman" w:hAnsi="Times New Roman" w:cs="Times New Roman"/>
          <w:sz w:val="24"/>
          <w:szCs w:val="24"/>
        </w:rPr>
        <w:t>:</w:t>
      </w:r>
      <w:r w:rsidR="00733309" w:rsidRPr="00BF7A65">
        <w:rPr>
          <w:rFonts w:ascii="Times New Roman" w:hAnsi="Times New Roman" w:cs="Times New Roman"/>
          <w:sz w:val="24"/>
          <w:szCs w:val="24"/>
        </w:rPr>
        <w:t xml:space="preserve"> </w:t>
      </w:r>
      <w:r w:rsidR="00733309" w:rsidRPr="00BF7A65">
        <w:rPr>
          <w:rFonts w:ascii="Times New Roman" w:eastAsia="Times New Roman" w:hAnsi="Times New Roman" w:cs="Times New Roman"/>
          <w:sz w:val="24"/>
          <w:szCs w:val="24"/>
        </w:rPr>
        <w:t>CertHE Health and Social Care</w:t>
      </w:r>
      <w:r w:rsidR="00733309" w:rsidRPr="00BF7A65">
        <w:rPr>
          <w:rFonts w:ascii="Times New Roman" w:eastAsia="Times New Roman" w:hAnsi="Times New Roman" w:cs="Times New Roman"/>
          <w:sz w:val="24"/>
          <w:szCs w:val="24"/>
        </w:rPr>
        <w:t xml:space="preserve"> (L</w:t>
      </w:r>
      <w:r w:rsidR="00A26FCD" w:rsidRPr="00BF7A65">
        <w:rPr>
          <w:rFonts w:ascii="Times New Roman" w:eastAsia="Times New Roman" w:hAnsi="Times New Roman" w:cs="Times New Roman"/>
          <w:sz w:val="24"/>
          <w:szCs w:val="24"/>
        </w:rPr>
        <w:t>4)</w:t>
      </w:r>
    </w:p>
    <w:p w14:paraId="56E6BBCE" w14:textId="0464883B" w:rsidR="00BD51D9" w:rsidRPr="00BF7A65" w:rsidRDefault="00F1033D">
      <w:pPr>
        <w:spacing w:line="360" w:lineRule="auto"/>
        <w:ind w:hanging="2"/>
        <w:jc w:val="center"/>
        <w:rPr>
          <w:rFonts w:ascii="Times New Roman" w:eastAsia="Times New Roman" w:hAnsi="Times New Roman" w:cs="Times New Roman"/>
          <w:sz w:val="24"/>
          <w:szCs w:val="24"/>
        </w:rPr>
      </w:pPr>
      <w:r w:rsidRPr="00BF7A65">
        <w:rPr>
          <w:rFonts w:ascii="Times New Roman" w:eastAsia="Times New Roman" w:hAnsi="Times New Roman" w:cs="Times New Roman"/>
          <w:sz w:val="24"/>
          <w:szCs w:val="24"/>
        </w:rPr>
        <w:t>University</w:t>
      </w:r>
      <w:r w:rsidR="00A26FCD" w:rsidRPr="00BF7A65">
        <w:rPr>
          <w:rFonts w:ascii="Times New Roman" w:eastAsia="Times New Roman" w:hAnsi="Times New Roman" w:cs="Times New Roman"/>
          <w:sz w:val="24"/>
          <w:szCs w:val="24"/>
        </w:rPr>
        <w:t xml:space="preserve"> of Wales</w:t>
      </w:r>
    </w:p>
    <w:p w14:paraId="56E6BBCF" w14:textId="162B24A4" w:rsidR="00BD51D9" w:rsidRPr="00BF7A65" w:rsidRDefault="00A26FCD">
      <w:pPr>
        <w:spacing w:line="360" w:lineRule="auto"/>
        <w:ind w:hanging="2"/>
        <w:jc w:val="center"/>
        <w:rPr>
          <w:rFonts w:ascii="Times New Roman" w:eastAsia="Times New Roman" w:hAnsi="Times New Roman" w:cs="Times New Roman"/>
          <w:sz w:val="24"/>
          <w:szCs w:val="24"/>
        </w:rPr>
      </w:pPr>
      <w:r w:rsidRPr="00BF7A65">
        <w:rPr>
          <w:rFonts w:ascii="Times New Roman" w:eastAsia="Times New Roman" w:hAnsi="Times New Roman" w:cs="Times New Roman"/>
          <w:sz w:val="24"/>
          <w:szCs w:val="24"/>
        </w:rPr>
        <w:t>18</w:t>
      </w:r>
      <w:r w:rsidR="00735D85" w:rsidRPr="00BF7A65">
        <w:rPr>
          <w:rFonts w:ascii="Times New Roman" w:eastAsia="Times New Roman" w:hAnsi="Times New Roman" w:cs="Times New Roman"/>
          <w:sz w:val="24"/>
          <w:szCs w:val="24"/>
        </w:rPr>
        <w:t>.12.2025</w:t>
      </w:r>
    </w:p>
    <w:p w14:paraId="56E6BBD0" w14:textId="77777777" w:rsidR="00BD51D9" w:rsidRDefault="00BD51D9">
      <w:pPr>
        <w:spacing w:line="360" w:lineRule="auto"/>
        <w:ind w:hanging="2"/>
        <w:rPr>
          <w:rFonts w:ascii="Times New Roman" w:eastAsia="Times New Roman" w:hAnsi="Times New Roman" w:cs="Times New Roman"/>
          <w:sz w:val="24"/>
          <w:szCs w:val="24"/>
        </w:rPr>
      </w:pPr>
    </w:p>
    <w:p w14:paraId="56E6BBD1" w14:textId="77777777" w:rsidR="00BD51D9" w:rsidRDefault="00BD51D9">
      <w:pPr>
        <w:spacing w:line="360" w:lineRule="auto"/>
        <w:ind w:hanging="2"/>
        <w:rPr>
          <w:rFonts w:ascii="Times New Roman" w:eastAsia="Times New Roman" w:hAnsi="Times New Roman" w:cs="Times New Roman"/>
          <w:sz w:val="24"/>
          <w:szCs w:val="24"/>
        </w:rPr>
      </w:pPr>
    </w:p>
    <w:p w14:paraId="56E6BBD2" w14:textId="77777777" w:rsidR="00BD51D9" w:rsidRDefault="00BD51D9">
      <w:pPr>
        <w:spacing w:line="360" w:lineRule="auto"/>
        <w:ind w:hanging="2"/>
        <w:rPr>
          <w:rFonts w:ascii="Times New Roman" w:eastAsia="Times New Roman" w:hAnsi="Times New Roman" w:cs="Times New Roman"/>
          <w:sz w:val="24"/>
          <w:szCs w:val="24"/>
        </w:rPr>
      </w:pPr>
    </w:p>
    <w:p w14:paraId="56E6BBD3" w14:textId="77777777" w:rsidR="00BD51D9" w:rsidRDefault="00BD51D9">
      <w:pPr>
        <w:spacing w:line="360" w:lineRule="auto"/>
        <w:ind w:hanging="2"/>
        <w:rPr>
          <w:rFonts w:ascii="Times New Roman" w:eastAsia="Times New Roman" w:hAnsi="Times New Roman" w:cs="Times New Roman"/>
          <w:sz w:val="24"/>
          <w:szCs w:val="24"/>
        </w:rPr>
      </w:pPr>
    </w:p>
    <w:p w14:paraId="56E6BBD4" w14:textId="77777777" w:rsidR="00BD51D9" w:rsidRDefault="00BD51D9">
      <w:pPr>
        <w:spacing w:line="360" w:lineRule="auto"/>
        <w:ind w:hanging="2"/>
        <w:rPr>
          <w:rFonts w:ascii="Times New Roman" w:eastAsia="Times New Roman" w:hAnsi="Times New Roman" w:cs="Times New Roman"/>
          <w:sz w:val="24"/>
          <w:szCs w:val="24"/>
        </w:rPr>
      </w:pPr>
    </w:p>
    <w:p w14:paraId="56E6BBD5" w14:textId="77777777" w:rsidR="00BD51D9" w:rsidRDefault="00BD51D9">
      <w:pPr>
        <w:spacing w:line="360" w:lineRule="auto"/>
        <w:ind w:firstLine="0"/>
        <w:rPr>
          <w:rFonts w:ascii="Times New Roman" w:eastAsia="Times New Roman" w:hAnsi="Times New Roman" w:cs="Times New Roman"/>
          <w:sz w:val="24"/>
          <w:szCs w:val="24"/>
        </w:rPr>
      </w:pPr>
    </w:p>
    <w:p w14:paraId="56E6BBD6" w14:textId="77777777" w:rsidR="00BD51D9" w:rsidRDefault="00BD51D9">
      <w:pPr>
        <w:spacing w:line="360" w:lineRule="auto"/>
        <w:ind w:firstLine="0"/>
        <w:rPr>
          <w:rFonts w:ascii="Times New Roman" w:eastAsia="Times New Roman" w:hAnsi="Times New Roman" w:cs="Times New Roman"/>
          <w:sz w:val="24"/>
          <w:szCs w:val="24"/>
        </w:rPr>
      </w:pPr>
    </w:p>
    <w:p w14:paraId="56E6BBD7" w14:textId="77777777" w:rsidR="00BD51D9" w:rsidRDefault="00F1033D">
      <w:pPr>
        <w:spacing w:after="0" w:line="480" w:lineRule="auto"/>
        <w:ind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Introduction</w:t>
      </w:r>
    </w:p>
    <w:p w14:paraId="56E6BBD8"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T2DM‌ is a long-term metabolic disorder that mainly features insulin resistance and a relative shortage of insulin secretion, thus, the glucose level in blood remains consistently high (Lu et al., 2024). Symptoms may include extreme thirst, urinating very often, lack of energy, blurred vision, wounds healing slowly, and infections that keep re-occurring (NHS, 2023). In 2021, the worldwide count of individuals diagnosed with T2DM was roughly 537 million, and the number is expected to go up quite significantl</w:t>
      </w:r>
      <w:r>
        <w:rPr>
          <w:rFonts w:ascii="Times New Roman" w:eastAsia="Times New Roman" w:hAnsi="Times New Roman" w:cs="Times New Roman"/>
          <w:sz w:val="24"/>
          <w:szCs w:val="24"/>
        </w:rPr>
        <w:t xml:space="preserve">y in the next several decades  (Lu et al., 2024). The number of people with diabetes in the United Kingdom is approximately 4.6 million. Around 90% of these patients are those who have ‍‌T2DM (Diabetes UK, 2024). In the UK, T2DM is a public health problem with significant impact on human life and costing the NHS more £10 billion in direct cost (Hex et al., 2024). The rise in the prevalence is a result of the complex interactions between behavioural, environmental, and socio-economic factors. </w:t>
      </w:r>
    </w:p>
    <w:p w14:paraId="56E6BBD9" w14:textId="77777777" w:rsidR="00BD51D9" w:rsidRDefault="00F1033D">
      <w:pPr>
        <w:spacing w:after="0" w:line="480" w:lineRule="auto"/>
        <w:ind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Discussion</w:t>
      </w:r>
    </w:p>
    <w:p w14:paraId="56E6BBDA"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 impacts of T2DM are wide-ranging and complex, influencing not only physical health but also psychological wellbeing, social participation, and economic stability (Korsah and Agyeman‐Yeboah, 2023). People with T2DM are at a higher risk to acquire a number of severe long-term complications such as cardiovascular disease, stroke, kidney failure, neuropathy, retinopathy, and lower-limb amputations, each of which, in its own way, can dramatically lower quality of life as well as life expectancy (K</w:t>
      </w:r>
      <w:r>
        <w:rPr>
          <w:rFonts w:ascii="Times New Roman" w:eastAsia="Times New Roman" w:hAnsi="Times New Roman" w:cs="Times New Roman"/>
          <w:sz w:val="24"/>
          <w:szCs w:val="24"/>
        </w:rPr>
        <w:t xml:space="preserve">han et al., 2019). On the community level, a widespread prevalence leads to an increase of the disability rates, decrease of workforce participation, and a bigger demand for health and social care services. The impacts of these changes are, however, heavily concentrated in areas with socioeconomic disadvantages, where obesity and inactivity rates, as well as poor diet, tend to be higher, thus worsening the already existing health disparities </w:t>
      </w:r>
      <w:r>
        <w:rPr>
          <w:rFonts w:ascii="Times New Roman" w:eastAsia="Times New Roman" w:hAnsi="Times New Roman" w:cs="Times New Roman"/>
          <w:sz w:val="24"/>
          <w:szCs w:val="24"/>
        </w:rPr>
        <w:lastRenderedPageBreak/>
        <w:t>(Albers et al., 2025). Therefore, T2DM is not simply a health issu</w:t>
      </w:r>
      <w:r>
        <w:rPr>
          <w:rFonts w:ascii="Times New Roman" w:eastAsia="Times New Roman" w:hAnsi="Times New Roman" w:cs="Times New Roman"/>
          <w:sz w:val="24"/>
          <w:szCs w:val="24"/>
        </w:rPr>
        <w:t>e that comes with a combination of medical problems, but it is also a social problem that is affecting not only the families and carers but the whole network of community ‍‌resources (Korsah and Agyeman‐Yeboah, 2023).</w:t>
      </w:r>
    </w:p>
    <w:p w14:paraId="56E6BBDB"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T2DM on the NHS is considerable and increasing. It is projected that T2DM is one of the leading contributors to the NHS budget, taking up about one-tenth of the total budget which corresponds to billions of pounds every year (Hex et al., 2024). Most of the money is spent on the treatment of diabetic complications that can be easily avoided rather than on the routine management of the disease itself (Diabetes UK, 2024). Patients are more likely to be admitted in hospitals and have longer hospit</w:t>
      </w:r>
      <w:r>
        <w:rPr>
          <w:rFonts w:ascii="Times New Roman" w:eastAsia="Times New Roman" w:hAnsi="Times New Roman" w:cs="Times New Roman"/>
          <w:sz w:val="24"/>
          <w:szCs w:val="24"/>
        </w:rPr>
        <w:t>al stays, thus leading to increased pressure on acute services (McManus et al., 2022). Primary care services are also heavily laden as diabetes is a condition that needs lifelong monitoring, regular medication reviews, and continuous patient education (Barry and Greenhalgh, 2022). The NHS Long Term Plan identifies T2DM as a focal point, thus urging the emphasis of prevention, early detection, and better management to decrease the need for health services in the future (NHS England, 2019). The increased prev</w:t>
      </w:r>
      <w:r>
        <w:rPr>
          <w:rFonts w:ascii="Times New Roman" w:eastAsia="Times New Roman" w:hAnsi="Times New Roman" w:cs="Times New Roman"/>
          <w:sz w:val="24"/>
          <w:szCs w:val="24"/>
        </w:rPr>
        <w:t>alence of the disease puts the sustainability of the healthcare system at risk in the absence of efficient public health ‍‌measures (McManus et al., 2022).</w:t>
      </w:r>
    </w:p>
    <w:p w14:paraId="56E6BBDC" w14:textId="22E02D16"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T2DM requires a careful mix of prevention measures, its early recognition and a management (Barry and Greenhalgh, 2022). The emphasis of primary prevention at a community level is on lessening the contributing factors that lead to obesity, bad dietary habits and the lack of physical activity by means of health promotion, policy changes and participation in community-based activities. Programmes like the NHS Diabetes Prevention Programme in England are intended to provide support to people who are</w:t>
      </w:r>
      <w:r>
        <w:rPr>
          <w:rFonts w:ascii="Times New Roman" w:eastAsia="Times New Roman" w:hAnsi="Times New Roman" w:cs="Times New Roman"/>
          <w:sz w:val="24"/>
          <w:szCs w:val="24"/>
        </w:rPr>
        <w:t xml:space="preserve"> at a very high risk through organised education, lifestyle modification and behavioural change assistance (NHS England, 2023). Secondary </w:t>
      </w:r>
      <w:r>
        <w:rPr>
          <w:rFonts w:ascii="Times New Roman" w:eastAsia="Times New Roman" w:hAnsi="Times New Roman" w:cs="Times New Roman"/>
          <w:sz w:val="24"/>
          <w:szCs w:val="24"/>
        </w:rPr>
        <w:lastRenderedPageBreak/>
        <w:t>prevention is mainly about screening and timely diagnosis especially in the higher risk population, focusing on prevention of complications or the delay in onset of the disease (McManus et al., 2022). After screening results confirm diagnosis, the disease should be mainly controlled through the management of blood glucose levels using a combination of lifestyle changes an</w:t>
      </w:r>
      <w:r>
        <w:rPr>
          <w:rFonts w:ascii="Times New Roman" w:eastAsia="Times New Roman" w:hAnsi="Times New Roman" w:cs="Times New Roman"/>
          <w:sz w:val="24"/>
          <w:szCs w:val="24"/>
        </w:rPr>
        <w:t>d medication (Woodward et al., 2024), as well as by insulin administration in a case where it is necessary</w:t>
      </w:r>
      <w:r>
        <w:rPr>
          <w:rFonts w:ascii="Times New Roman" w:eastAsia="Times New Roman" w:hAnsi="Times New Roman" w:cs="Times New Roman"/>
          <w:sz w:val="24"/>
          <w:szCs w:val="24"/>
        </w:rPr>
        <w:t>, following standards set by the NICE (2015) guidelines. This implies that a successful diabetes control requires an effective coordinated approach across public health, primary care as well as specialist services.</w:t>
      </w:r>
    </w:p>
    <w:p w14:paraId="56E6BBDD" w14:textId="7A3AA9AE"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effectiveness of disease control strategies for people with T2DM is influenced by many factors that determine their overall health and well-being . Factors at the individual level include health literacy, motivation, mental health, and the ability to make lifestyle changes that last (Albers et al., 2025). Diabetic care often necessitates the patient to have self-management skills to a significant degree, for example, blood glucose monitoring, adherence to medication regimens, dietary and physical acti</w:t>
      </w:r>
      <w:r>
        <w:rPr>
          <w:rFonts w:ascii="Times New Roman" w:eastAsia="Times New Roman" w:hAnsi="Times New Roman" w:cs="Times New Roman"/>
          <w:sz w:val="24"/>
          <w:szCs w:val="24"/>
        </w:rPr>
        <w:t>vity ‌routines (Silva-Tinoco et al., 2020). However, these may be difficult for many individuals. Among the psychological factors, stress, depression, and diabetes-related distress are very common and can negatively affect self-care behaviours, thus, increasing the probability of poor glycaemic control and complications (NHS, 2025). So, it</w:t>
      </w:r>
      <w:r>
        <w:rPr>
          <w:rFonts w:ascii="Times New Roman" w:eastAsia="Times New Roman" w:hAnsi="Times New Roman" w:cs="Times New Roman"/>
          <w:sz w:val="24"/>
          <w:szCs w:val="24"/>
        </w:rPr>
        <w:t xml:space="preserve"> clearly indicates that mental and physical health are interconnected in regard to</w:t>
      </w:r>
      <w:r>
        <w:rPr>
          <w:rFonts w:ascii="Times New Roman" w:eastAsia="Times New Roman" w:hAnsi="Times New Roman" w:cs="Times New Roman"/>
          <w:sz w:val="24"/>
          <w:szCs w:val="24"/>
        </w:rPr>
        <w:t xml:space="preserve"> diabetes care, and they should be looked at as a whole rather than separately.</w:t>
      </w:r>
    </w:p>
    <w:p w14:paraId="56E6BBDE"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and environmental factors are just as significant since they can also influence health outcomes of individuals living with ‍‌T2DM (Woodward et al., 2024). For instance, socioeconomic deprivation has been found to be strongly linked with increased prevalence and worse outcomes, as people living in deprived communities may lack access to fresh food and safe places to exercise </w:t>
      </w:r>
      <w:r>
        <w:rPr>
          <w:rFonts w:ascii="Times New Roman" w:eastAsia="Times New Roman" w:hAnsi="Times New Roman" w:cs="Times New Roman"/>
          <w:sz w:val="24"/>
          <w:szCs w:val="24"/>
        </w:rPr>
        <w:lastRenderedPageBreak/>
        <w:t>and also healthcare services (Albers et al., 2025). Moreover, employment conditions, housing quality, and financial insecurity may further limit individuals’ choices of health behaviours (Albers et al., 2025). Along with this, cultural factors and ethnicity have also been shown to have major effects on health outcomes. For‌ instance, studies have shown that minority populations, comprising individuals from Asian, African, and Caribbean origins, have a high probability of developing T2DM at a young age and a</w:t>
      </w:r>
      <w:r>
        <w:rPr>
          <w:rFonts w:ascii="Times New Roman" w:eastAsia="Times New Roman" w:hAnsi="Times New Roman" w:cs="Times New Roman"/>
          <w:sz w:val="24"/>
          <w:szCs w:val="24"/>
        </w:rPr>
        <w:t>t low body mass indices in the UK as compared to the white population (Diabetes UK, 2024). Such disparities highlight the importance of culturally sensitive healthcare interventions and the need for their being directed at specific ‍‌communities.</w:t>
      </w:r>
    </w:p>
    <w:p w14:paraId="56E6BBDF"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T2DM effects are not limited to an individual patient, as it also affects their families and caregivers (Silva-Tinoco et al., 2020). Often, the relatives of the patient become the main pillars in lifestyle modification, medication adherence, and accompanying the patient to medical appointments (Shah et al., 2024). Nonetheless, the role of caregiving may hold the families in a grip of emotional and financial anxiety especially when the complications arise (Woodward et al., 2024). The offspring and the spouse</w:t>
      </w:r>
      <w:r>
        <w:rPr>
          <w:rFonts w:ascii="Times New Roman" w:eastAsia="Times New Roman" w:hAnsi="Times New Roman" w:cs="Times New Roman"/>
          <w:sz w:val="24"/>
          <w:szCs w:val="24"/>
        </w:rPr>
        <w:t xml:space="preserve"> of the individuals having diabetes can also be affected with the feeling of anxiousness about disease progression and the subsequent health risks (NICE, 2015). Moreover, at the level of the community, a significantly high number of cases can lead to the acceptance of poor health conditions and thus, the overall well-being of the community gets diminished which in turn deepens the cycle of deprivation (Shah et al., 2024). The removal of these wider effects is dependent on the collaboration of healthcare pro</w:t>
      </w:r>
      <w:r>
        <w:rPr>
          <w:rFonts w:ascii="Times New Roman" w:eastAsia="Times New Roman" w:hAnsi="Times New Roman" w:cs="Times New Roman"/>
          <w:sz w:val="24"/>
          <w:szCs w:val="24"/>
        </w:rPr>
        <w:t>fessionals with the social services and community organisations.</w:t>
      </w:r>
    </w:p>
    <w:p w14:paraId="56E6BBE0"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health practitioners are the main drivers of the improvement of the wellbeing of people with T2DM through knowledge, patient empowerment, and coordinated care (Sørensen et al., 2020). Generally, the primary care teams are responsible for routine monitoring, giving of lifestyle </w:t>
      </w:r>
      <w:r>
        <w:rPr>
          <w:rFonts w:ascii="Times New Roman" w:eastAsia="Times New Roman" w:hAnsi="Times New Roman" w:cs="Times New Roman"/>
          <w:sz w:val="24"/>
          <w:szCs w:val="24"/>
        </w:rPr>
        <w:lastRenderedPageBreak/>
        <w:t>and medication management advice, with the multidisciplinary approach involving dietitians, diabetes nurses and mental health professionals contributing to enhanced patients’ outcomes (Dambha-Miller et al., 2020). Public health practitioners also contribute through the creation and the application of far-reaching population-level measures aimed at the risk factors’ reduction and addressing inequalities (Barry and Greenhalgh, 2022). Diabetes management studies show that patient-centered approaches and integr</w:t>
      </w:r>
      <w:r>
        <w:rPr>
          <w:rFonts w:ascii="Times New Roman" w:eastAsia="Times New Roman" w:hAnsi="Times New Roman" w:cs="Times New Roman"/>
          <w:sz w:val="24"/>
          <w:szCs w:val="24"/>
        </w:rPr>
        <w:t>ated care models facilitate patient involvement and patient self-management which in turn lead to a decrease in the healthcare costs as well as in the number of complications in the long run (NHS England, 2019). These attainable methodologies are a clear indication of how abstract public health theories get implemented in everyday ‍‌situations.</w:t>
      </w:r>
    </w:p>
    <w:p w14:paraId="56E6BBE1" w14:textId="77777777" w:rsidR="00BD51D9" w:rsidRDefault="00F1033D">
      <w:pPr>
        <w:spacing w:after="0" w:line="480" w:lineRule="auto"/>
        <w:ind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56E6BBE2" w14:textId="77777777" w:rsidR="00BD51D9" w:rsidRDefault="00F1033D">
      <w:pPr>
        <w:spacing w:after="0" w:line="48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T2DM is one of the major public health problems that is rapidly increasing in the UK and globally. The rise of the disease has various implications for people, communities and the NHS. The trends in occurrence have been associated with the interaction of different biological, behavioural, and social factors. This puts a heavy burden on the healthcare system through the long-term complications that are largely preventable, necessitating effective prevention and management strategies. As discussed above, effe</w:t>
      </w:r>
      <w:r>
        <w:rPr>
          <w:rFonts w:ascii="Times New Roman" w:eastAsia="Times New Roman" w:hAnsi="Times New Roman" w:cs="Times New Roman"/>
          <w:sz w:val="24"/>
          <w:szCs w:val="24"/>
        </w:rPr>
        <w:t>ctive management and prevention of T2DM needs changes in public health policies that integrate health and social care and community support with attention to social determinants of health. More importantly, factors affecting health and wellbeing extend beyond the individual to families and communities, thus reinforcing the need for holistic, equitable, and culturally sensitive approaches, including a coordinated action across various healthcare players including primary health providers, specialist services</w:t>
      </w:r>
      <w:r>
        <w:rPr>
          <w:rFonts w:ascii="Times New Roman" w:eastAsia="Times New Roman" w:hAnsi="Times New Roman" w:cs="Times New Roman"/>
          <w:sz w:val="24"/>
          <w:szCs w:val="24"/>
        </w:rPr>
        <w:t xml:space="preserve">, and public health services. </w:t>
      </w:r>
    </w:p>
    <w:p w14:paraId="527D77C0" w14:textId="77777777" w:rsidR="00827382" w:rsidRDefault="00827382">
      <w:pPr>
        <w:spacing w:after="0" w:line="480" w:lineRule="auto"/>
        <w:ind w:firstLine="0"/>
        <w:jc w:val="both"/>
        <w:rPr>
          <w:rFonts w:ascii="Times New Roman" w:eastAsia="Times New Roman" w:hAnsi="Times New Roman" w:cs="Times New Roman"/>
          <w:sz w:val="24"/>
          <w:szCs w:val="24"/>
        </w:rPr>
      </w:pPr>
    </w:p>
    <w:p w14:paraId="56E6BBF3" w14:textId="29CDAD48" w:rsidR="00BD51D9" w:rsidRDefault="00F1033D">
      <w:pPr>
        <w:spacing w:after="0" w:line="480" w:lineRule="auto"/>
        <w:ind w:firstLine="0"/>
        <w:jc w:val="both"/>
        <w:rPr>
          <w:rFonts w:ascii="Times New Roman" w:eastAsia="Times New Roman" w:hAnsi="Times New Roman" w:cs="Times New Roman"/>
          <w:sz w:val="24"/>
          <w:szCs w:val="24"/>
        </w:rPr>
      </w:pPr>
      <w:r w:rsidRPr="00827382">
        <w:rPr>
          <w:rFonts w:ascii="Times New Roman" w:eastAsia="Times New Roman" w:hAnsi="Times New Roman" w:cs="Times New Roman"/>
          <w:b/>
          <w:bCs/>
          <w:sz w:val="24"/>
          <w:szCs w:val="24"/>
        </w:rPr>
        <w:lastRenderedPageBreak/>
        <w:t>References</w:t>
      </w:r>
    </w:p>
    <w:p w14:paraId="56E6BBF4"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Albers, J.D., Koster, A., Sezer, B., Meisters, R., Chan, J.A., Wesselius, A., Schram, M.T., De Galan, B.E., Lakerveld, J. and Bosma, H. (2025) “Socioeconomic position and type 2 diabetes: Examining the mediating role of social cohesion—The Maastricht Study,” </w:t>
      </w:r>
      <w:r>
        <w:rPr>
          <w:rFonts w:ascii="Times New Roman" w:eastAsia="Times New Roman" w:hAnsi="Times New Roman" w:cs="Times New Roman"/>
          <w:i/>
          <w:iCs/>
          <w:color w:val="000000"/>
          <w:sz w:val="24"/>
          <w:szCs w:val="24"/>
        </w:rPr>
        <w:t>Social Science &amp; Medicine</w:t>
      </w:r>
      <w:r>
        <w:rPr>
          <w:rFonts w:ascii="Times New Roman" w:eastAsia="Times New Roman" w:hAnsi="Times New Roman" w:cs="Times New Roman"/>
          <w:color w:val="000000"/>
          <w:sz w:val="24"/>
          <w:szCs w:val="24"/>
        </w:rPr>
        <w:t>, 376, p. 118046. Available at: https://doi.org/10.1016/j.socscimed.2025.118046.</w:t>
      </w:r>
    </w:p>
    <w:p w14:paraId="56E6BBF5"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Barry, E. and Greenhalgh, T. (2022) “How do UK general practice staff understand and manage prediabetes? A focus group study,” </w:t>
      </w:r>
      <w:r>
        <w:rPr>
          <w:rFonts w:ascii="Times New Roman" w:eastAsia="Times New Roman" w:hAnsi="Times New Roman" w:cs="Times New Roman"/>
          <w:i/>
          <w:iCs/>
          <w:color w:val="000000"/>
          <w:sz w:val="24"/>
          <w:szCs w:val="24"/>
        </w:rPr>
        <w:t>BJGP Open</w:t>
      </w:r>
      <w:r>
        <w:rPr>
          <w:rFonts w:ascii="Times New Roman" w:eastAsia="Times New Roman" w:hAnsi="Times New Roman" w:cs="Times New Roman"/>
          <w:color w:val="000000"/>
          <w:sz w:val="24"/>
          <w:szCs w:val="24"/>
        </w:rPr>
        <w:t>, 6(2), p. BJGPO.2021.0166. Available at: https://doi.org/10.3399/bjgpo.2021.0166.</w:t>
      </w:r>
    </w:p>
    <w:p w14:paraId="56E6BBF6"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Dambha-Miller, H., Griffin, S.J., Kinmonth, A.L. and Burt, J. (2020) “Provision of services in primary care for type 2 diabetes: a qualitative study with patients, GPs, and nurses in the East of England,” </w:t>
      </w:r>
      <w:r>
        <w:rPr>
          <w:rFonts w:ascii="Times New Roman" w:eastAsia="Times New Roman" w:hAnsi="Times New Roman" w:cs="Times New Roman"/>
          <w:i/>
          <w:iCs/>
          <w:color w:val="000000"/>
          <w:sz w:val="24"/>
          <w:szCs w:val="24"/>
        </w:rPr>
        <w:t>British Journal of General Practice</w:t>
      </w:r>
      <w:r>
        <w:rPr>
          <w:rFonts w:ascii="Times New Roman" w:eastAsia="Times New Roman" w:hAnsi="Times New Roman" w:cs="Times New Roman"/>
          <w:color w:val="000000"/>
          <w:sz w:val="24"/>
          <w:szCs w:val="24"/>
        </w:rPr>
        <w:t>, 70(698), pp. e668–e675. Available at: https://doi.org/10.3399/bjgp20x710945.</w:t>
      </w:r>
    </w:p>
    <w:p w14:paraId="56E6BBF7" w14:textId="41871C06"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Diabetes</w:t>
      </w:r>
      <w:r>
        <w:rPr>
          <w:rFonts w:ascii="Times New Roman" w:eastAsia="Times New Roman" w:hAnsi="Times New Roman" w:cs="Times New Roman"/>
          <w:color w:val="000000"/>
          <w:sz w:val="24"/>
          <w:szCs w:val="24"/>
        </w:rPr>
        <w:t xml:space="preserve"> UK (2024) </w:t>
      </w:r>
      <w:r>
        <w:rPr>
          <w:rFonts w:ascii="Times New Roman" w:eastAsia="Times New Roman" w:hAnsi="Times New Roman" w:cs="Times New Roman"/>
          <w:i/>
          <w:iCs/>
          <w:color w:val="000000"/>
          <w:sz w:val="24"/>
          <w:szCs w:val="24"/>
        </w:rPr>
        <w:t>How many people in the UK have diabetes?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iCs/>
          <w:color w:val="000000"/>
          <w:sz w:val="24"/>
          <w:szCs w:val="24"/>
        </w:rPr>
        <w:t>Diabetes UK</w:t>
      </w:r>
      <w:r>
        <w:rPr>
          <w:rFonts w:ascii="Times New Roman" w:eastAsia="Times New Roman" w:hAnsi="Times New Roman" w:cs="Times New Roman"/>
          <w:color w:val="000000"/>
          <w:sz w:val="24"/>
          <w:szCs w:val="24"/>
        </w:rPr>
        <w:t>. Available at: https://www.diabetes.org.uk/about-us/about-the-charity/our-strategy/statistics [Accessed: 17 December</w:t>
      </w:r>
      <w:r>
        <w:rPr>
          <w:rFonts w:ascii="Times New Roman" w:eastAsia="Times New Roman" w:hAnsi="Times New Roman" w:cs="Times New Roman"/>
          <w:color w:val="000000"/>
          <w:sz w:val="24"/>
          <w:szCs w:val="24"/>
        </w:rPr>
        <w:t xml:space="preserve"> 2025].</w:t>
      </w:r>
    </w:p>
    <w:p w14:paraId="56E6BBF8"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Hex, N., MacDonald, R., Pocock, J., Uzdzinska, B., Taylor, M., Atkin, M., Wild, S.H., Beba, H. and Jones, R. (2024) “Estimation of the direct health and indirect societal costs of diabetes in the UK using a cost of illness model,” </w:t>
      </w:r>
      <w:r>
        <w:rPr>
          <w:rFonts w:ascii="Times New Roman" w:eastAsia="Times New Roman" w:hAnsi="Times New Roman" w:cs="Times New Roman"/>
          <w:i/>
          <w:iCs/>
          <w:color w:val="000000"/>
          <w:sz w:val="24"/>
          <w:szCs w:val="24"/>
        </w:rPr>
        <w:t>Diabetic Medicine</w:t>
      </w:r>
      <w:r>
        <w:rPr>
          <w:rFonts w:ascii="Times New Roman" w:eastAsia="Times New Roman" w:hAnsi="Times New Roman" w:cs="Times New Roman"/>
          <w:color w:val="000000"/>
          <w:sz w:val="24"/>
          <w:szCs w:val="24"/>
        </w:rPr>
        <w:t>, 41(9), p. e15326. Available at: https://doi.org/10.1111/dme.15326.</w:t>
      </w:r>
    </w:p>
    <w:p w14:paraId="56E6BBF9"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Khan, M.A.B., Hashim, M.J., King, J.K., Govender, R.D., Mustafa, H. and Kaabi, J.A. (2019) “Epidemiology of Type 2 Diabetes – Global burden of disease and Forecasted Trends,” </w:t>
      </w:r>
      <w:r>
        <w:rPr>
          <w:rFonts w:ascii="Times New Roman" w:eastAsia="Times New Roman" w:hAnsi="Times New Roman" w:cs="Times New Roman"/>
          <w:i/>
          <w:iCs/>
          <w:color w:val="000000"/>
          <w:sz w:val="24"/>
          <w:szCs w:val="24"/>
        </w:rPr>
        <w:lastRenderedPageBreak/>
        <w:t>Journal of Epidemiology and Global Health</w:t>
      </w:r>
      <w:r>
        <w:rPr>
          <w:rFonts w:ascii="Times New Roman" w:eastAsia="Times New Roman" w:hAnsi="Times New Roman" w:cs="Times New Roman"/>
          <w:color w:val="000000"/>
          <w:sz w:val="24"/>
          <w:szCs w:val="24"/>
        </w:rPr>
        <w:t>, 10(1), p. 107. Available at: https://doi.org/10.2991/jegh.k.191028.001.</w:t>
      </w:r>
    </w:p>
    <w:p w14:paraId="56E6BBFA"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Korsah, K.A. and Agyeman‐Yeboah, J. (2023) “Narratives of type 2 diabetes mellitus patients regarding the influence of social issues on diabetes self‐management: Implications for patient care,” </w:t>
      </w:r>
      <w:r>
        <w:rPr>
          <w:rFonts w:ascii="Times New Roman" w:eastAsia="Times New Roman" w:hAnsi="Times New Roman" w:cs="Times New Roman"/>
          <w:i/>
          <w:iCs/>
          <w:color w:val="000000"/>
          <w:sz w:val="24"/>
          <w:szCs w:val="24"/>
        </w:rPr>
        <w:t>Nursing Open</w:t>
      </w:r>
      <w:r>
        <w:rPr>
          <w:rFonts w:ascii="Times New Roman" w:eastAsia="Times New Roman" w:hAnsi="Times New Roman" w:cs="Times New Roman"/>
          <w:color w:val="000000"/>
          <w:sz w:val="24"/>
          <w:szCs w:val="24"/>
        </w:rPr>
        <w:t>, 10(8), pp. 5741–5748. Available at: https://doi.org/10.1002/nop2.1825.</w:t>
      </w:r>
    </w:p>
    <w:p w14:paraId="56E6BBFB"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Lu, X., Xie, Q., Pan, X., Zhang, R., Zhang, X., Peng, G., Zhang, Y., Shen, S. and Tong, N. (2024) “Type 2 diabetes mellitus in adults: pathogenesis, prevention and therapy,” </w:t>
      </w:r>
      <w:r>
        <w:rPr>
          <w:rFonts w:ascii="Times New Roman" w:eastAsia="Times New Roman" w:hAnsi="Times New Roman" w:cs="Times New Roman"/>
          <w:i/>
          <w:iCs/>
          <w:color w:val="000000"/>
          <w:sz w:val="24"/>
          <w:szCs w:val="24"/>
        </w:rPr>
        <w:t>Signal Transduction and Targeted Therapy</w:t>
      </w:r>
      <w:r>
        <w:rPr>
          <w:rFonts w:ascii="Times New Roman" w:eastAsia="Times New Roman" w:hAnsi="Times New Roman" w:cs="Times New Roman"/>
          <w:color w:val="000000"/>
          <w:sz w:val="24"/>
          <w:szCs w:val="24"/>
        </w:rPr>
        <w:t>, 9(1), p. 262. Available at: https://doi.org/10.1038/s41392-024-01951-9.</w:t>
      </w:r>
    </w:p>
    <w:p w14:paraId="56E6BBFC"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McManus, E., Meacock, R., Parkinson, B. and Sutton, M. (2022) “Population level impact of the NHS Diabetes Prevention Programme on incidence of type 2 diabetes in England: An observational study,” </w:t>
      </w:r>
      <w:r>
        <w:rPr>
          <w:rFonts w:ascii="Times New Roman" w:eastAsia="Times New Roman" w:hAnsi="Times New Roman" w:cs="Times New Roman"/>
          <w:i/>
          <w:iCs/>
          <w:color w:val="000000"/>
          <w:sz w:val="24"/>
          <w:szCs w:val="24"/>
        </w:rPr>
        <w:t>The Lancet Regional Health - Europe</w:t>
      </w:r>
      <w:r>
        <w:rPr>
          <w:rFonts w:ascii="Times New Roman" w:eastAsia="Times New Roman" w:hAnsi="Times New Roman" w:cs="Times New Roman"/>
          <w:color w:val="000000"/>
          <w:sz w:val="24"/>
          <w:szCs w:val="24"/>
        </w:rPr>
        <w:t>, 19, p. 100420. Available at: https://doi.org/10.1016/j.lanepe.2022.100420.</w:t>
      </w:r>
    </w:p>
    <w:p w14:paraId="56E6BBFD" w14:textId="10DD0706"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NHS (2025) </w:t>
      </w:r>
      <w:r>
        <w:rPr>
          <w:rFonts w:ascii="Times New Roman" w:eastAsia="Times New Roman" w:hAnsi="Times New Roman" w:cs="Times New Roman"/>
          <w:i/>
          <w:iCs/>
          <w:color w:val="000000"/>
          <w:sz w:val="24"/>
          <w:szCs w:val="24"/>
        </w:rPr>
        <w:t>Type 2 diabetes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iCs/>
          <w:color w:val="000000"/>
          <w:sz w:val="24"/>
          <w:szCs w:val="24"/>
        </w:rPr>
        <w:t>nhs.uk</w:t>
      </w:r>
      <w:r>
        <w:rPr>
          <w:rFonts w:ascii="Times New Roman" w:eastAsia="Times New Roman" w:hAnsi="Times New Roman" w:cs="Times New Roman"/>
          <w:color w:val="000000"/>
          <w:sz w:val="24"/>
          <w:szCs w:val="24"/>
        </w:rPr>
        <w:t>. Available at: https://www.nhs.uk/conditions/type-2-diabetes/ [Accessed: 17 December</w:t>
      </w:r>
      <w:r>
        <w:rPr>
          <w:rFonts w:ascii="Times New Roman" w:eastAsia="Times New Roman" w:hAnsi="Times New Roman" w:cs="Times New Roman"/>
          <w:color w:val="000000"/>
          <w:sz w:val="24"/>
          <w:szCs w:val="24"/>
        </w:rPr>
        <w:t xml:space="preserve"> 2025].</w:t>
      </w:r>
    </w:p>
    <w:p w14:paraId="56E6BBFE" w14:textId="1C0E69D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NHS England (2023) </w:t>
      </w:r>
      <w:r>
        <w:rPr>
          <w:rFonts w:ascii="Times New Roman" w:eastAsia="Times New Roman" w:hAnsi="Times New Roman" w:cs="Times New Roman"/>
          <w:i/>
          <w:iCs/>
          <w:color w:val="000000"/>
          <w:sz w:val="24"/>
          <w:szCs w:val="24"/>
        </w:rPr>
        <w:t>NHS Diabetes Prevention Programme (NHS DPP)</w:t>
      </w:r>
      <w:r>
        <w:rPr>
          <w:rFonts w:ascii="Times New Roman" w:eastAsia="Times New Roman" w:hAnsi="Times New Roman" w:cs="Times New Roman"/>
          <w:color w:val="000000"/>
          <w:sz w:val="24"/>
          <w:szCs w:val="24"/>
        </w:rPr>
        <w:t>. Available at: https://www.england.nhs.uk/diabetes/diabetes-prevention/ [Accessed: 17 December</w:t>
      </w:r>
      <w:r>
        <w:rPr>
          <w:rFonts w:ascii="Times New Roman" w:eastAsia="Times New Roman" w:hAnsi="Times New Roman" w:cs="Times New Roman"/>
          <w:color w:val="000000"/>
          <w:sz w:val="24"/>
          <w:szCs w:val="24"/>
        </w:rPr>
        <w:t xml:space="preserve"> 2025].</w:t>
      </w:r>
    </w:p>
    <w:p w14:paraId="56E6BBFF" w14:textId="276B32F5"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NHS England (2024) </w:t>
      </w:r>
      <w:r>
        <w:rPr>
          <w:rFonts w:ascii="Times New Roman" w:eastAsia="Times New Roman" w:hAnsi="Times New Roman" w:cs="Times New Roman"/>
          <w:i/>
          <w:iCs/>
          <w:color w:val="000000"/>
          <w:sz w:val="24"/>
          <w:szCs w:val="24"/>
        </w:rPr>
        <w:t>NHS Long Term Plan</w:t>
      </w:r>
      <w:r>
        <w:rPr>
          <w:rFonts w:ascii="Times New Roman" w:eastAsia="Times New Roman" w:hAnsi="Times New Roman" w:cs="Times New Roman"/>
          <w:color w:val="000000"/>
          <w:sz w:val="24"/>
          <w:szCs w:val="24"/>
        </w:rPr>
        <w:t>. Available at: https://www.longtermplan.nhs.uk/ [Accessed: 17 December</w:t>
      </w:r>
      <w:r>
        <w:rPr>
          <w:rFonts w:ascii="Times New Roman" w:eastAsia="Times New Roman" w:hAnsi="Times New Roman" w:cs="Times New Roman"/>
          <w:color w:val="000000"/>
          <w:sz w:val="24"/>
          <w:szCs w:val="24"/>
        </w:rPr>
        <w:t xml:space="preserve"> 2025].</w:t>
      </w:r>
    </w:p>
    <w:p w14:paraId="56E6BC00" w14:textId="3A7ADAF9"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NICE (2015) </w:t>
      </w:r>
      <w:r>
        <w:rPr>
          <w:rFonts w:ascii="Times New Roman" w:eastAsia="Times New Roman" w:hAnsi="Times New Roman" w:cs="Times New Roman"/>
          <w:i/>
          <w:iCs/>
          <w:color w:val="000000"/>
          <w:sz w:val="24"/>
          <w:szCs w:val="24"/>
        </w:rPr>
        <w:t>Type 2 diabetes in adults: management</w:t>
      </w:r>
      <w:r>
        <w:rPr>
          <w:rFonts w:ascii="Times New Roman" w:eastAsia="Times New Roman" w:hAnsi="Times New Roman" w:cs="Times New Roman"/>
          <w:color w:val="000000"/>
          <w:sz w:val="24"/>
          <w:szCs w:val="24"/>
        </w:rPr>
        <w:t>. Available at: https://www.nice.org.uk/guidance/ng28 [Accessed: 17 December</w:t>
      </w:r>
      <w:r>
        <w:rPr>
          <w:rFonts w:ascii="Times New Roman" w:eastAsia="Times New Roman" w:hAnsi="Times New Roman" w:cs="Times New Roman"/>
          <w:color w:val="000000"/>
          <w:sz w:val="24"/>
          <w:szCs w:val="24"/>
        </w:rPr>
        <w:t xml:space="preserve"> 2025].</w:t>
      </w:r>
    </w:p>
    <w:p w14:paraId="56E6BC01"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bookmarkStart w:id="0" w:name="_heading=h.l7xp2p9sr7z8" w:colFirst="0" w:colLast="0"/>
      <w:bookmarkEnd w:id="0"/>
      <w:r>
        <w:rPr>
          <w:rFonts w:ascii="Times New Roman" w:eastAsia="Times New Roman" w:hAnsi="Times New Roman" w:cs="Times New Roman"/>
          <w:color w:val="000000"/>
          <w:sz w:val="24"/>
          <w:szCs w:val="24"/>
        </w:rPr>
        <w:lastRenderedPageBreak/>
        <w:t xml:space="preserve">Shah, R., Finlay, A.Y., Ali, F.M., Otwombe, K., Nixon, S.J., George, L., Evans, M., Ingram, J.R. and Salek, S. (2024) “Comparison of the impact of type 1 and type 2 diabetes on quality of life of families of patients: A UK cross‐sectional study,” </w:t>
      </w:r>
      <w:r>
        <w:rPr>
          <w:rFonts w:ascii="Times New Roman" w:eastAsia="Times New Roman" w:hAnsi="Times New Roman" w:cs="Times New Roman"/>
          <w:i/>
          <w:iCs/>
          <w:color w:val="000000"/>
          <w:sz w:val="24"/>
          <w:szCs w:val="24"/>
        </w:rPr>
        <w:t>Diabetes Obesity and Metabolism</w:t>
      </w:r>
      <w:r>
        <w:rPr>
          <w:rFonts w:ascii="Times New Roman" w:eastAsia="Times New Roman" w:hAnsi="Times New Roman" w:cs="Times New Roman"/>
          <w:color w:val="000000"/>
          <w:sz w:val="24"/>
          <w:szCs w:val="24"/>
        </w:rPr>
        <w:t>, 27(2), pp. 652–662. Available at: https://doi.org/10.1111/dom.16058.</w:t>
      </w:r>
    </w:p>
    <w:p w14:paraId="56E6BC02"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Silva-Tinoco, R., Cuatecontzi-Xochitiotzi, T., De La Torre-Saldaña, V., León-García, E., Serna-Alvarado, J., Guzmán-Olvera, E., Cabrera, D., Gay, J.G. and Prada, D. (2020) “Role of social and other determinants of health in the effect of a multicomponent integrated care strategy on type 2 diabetes mellitus,” </w:t>
      </w:r>
      <w:r>
        <w:rPr>
          <w:rFonts w:ascii="Times New Roman" w:eastAsia="Times New Roman" w:hAnsi="Times New Roman" w:cs="Times New Roman"/>
          <w:i/>
          <w:iCs/>
          <w:color w:val="000000"/>
          <w:sz w:val="24"/>
          <w:szCs w:val="24"/>
        </w:rPr>
        <w:t>International Journal for Equity in Health</w:t>
      </w:r>
      <w:r>
        <w:rPr>
          <w:rFonts w:ascii="Times New Roman" w:eastAsia="Times New Roman" w:hAnsi="Times New Roman" w:cs="Times New Roman"/>
          <w:color w:val="000000"/>
          <w:sz w:val="24"/>
          <w:szCs w:val="24"/>
        </w:rPr>
        <w:t>, 19(1), p. 75. Available at: https://doi.org/10.1186/s12939-020-01188-2.</w:t>
      </w:r>
    </w:p>
    <w:p w14:paraId="56E6BC03"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Sørensen, M., Groven, K.S., Gjelsvik, B., Almendingen, K. and Garnweidner-Holme, L. (2020) “The roles of healthcare professionals in diabetes care: a qualitative study in Norwegian general practice,” </w:t>
      </w:r>
      <w:r>
        <w:rPr>
          <w:rFonts w:ascii="Times New Roman" w:eastAsia="Times New Roman" w:hAnsi="Times New Roman" w:cs="Times New Roman"/>
          <w:i/>
          <w:iCs/>
          <w:color w:val="000000"/>
          <w:sz w:val="24"/>
          <w:szCs w:val="24"/>
        </w:rPr>
        <w:t>Scandinavian Journal of Primary Health Care</w:t>
      </w:r>
      <w:r>
        <w:rPr>
          <w:rFonts w:ascii="Times New Roman" w:eastAsia="Times New Roman" w:hAnsi="Times New Roman" w:cs="Times New Roman"/>
          <w:color w:val="000000"/>
          <w:sz w:val="24"/>
          <w:szCs w:val="24"/>
        </w:rPr>
        <w:t>, 38(1), pp. 12–23. Available at: https://doi.org/10.1080/02813432.2020.1714145.</w:t>
      </w:r>
    </w:p>
    <w:p w14:paraId="56E6BC04" w14:textId="77777777" w:rsidR="00BD51D9" w:rsidRDefault="00F1033D">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Woodward, A., Walters, K., Davies, N., Nimmons, D., Protheroe, J., Chew‐Graham, C.A., Stevenson, F. and Armstrong, M. (2024) “Barriers and facilitators of self‐management of diabetes amongst people experiencing socioeconomic deprivation: A systematic review and qualitative synthesis,” </w:t>
      </w:r>
      <w:r>
        <w:rPr>
          <w:rFonts w:ascii="Times New Roman" w:eastAsia="Times New Roman" w:hAnsi="Times New Roman" w:cs="Times New Roman"/>
          <w:i/>
          <w:iCs/>
          <w:color w:val="000000"/>
          <w:sz w:val="24"/>
          <w:szCs w:val="24"/>
        </w:rPr>
        <w:t>Health Expectations</w:t>
      </w:r>
      <w:r>
        <w:rPr>
          <w:rFonts w:ascii="Times New Roman" w:eastAsia="Times New Roman" w:hAnsi="Times New Roman" w:cs="Times New Roman"/>
          <w:color w:val="000000"/>
          <w:sz w:val="24"/>
          <w:szCs w:val="24"/>
        </w:rPr>
        <w:t>, 27(3), p. e14070. Available at: https://doi.org/10.1111/hex.14070.</w:t>
      </w:r>
    </w:p>
    <w:p w14:paraId="56E6BC05" w14:textId="77777777" w:rsidR="00BD51D9" w:rsidRDefault="00BD51D9">
      <w:pPr>
        <w:spacing w:after="0" w:line="480" w:lineRule="auto"/>
        <w:ind w:firstLine="0"/>
        <w:jc w:val="both"/>
        <w:rPr>
          <w:rFonts w:ascii="Times New Roman" w:eastAsia="Times New Roman" w:hAnsi="Times New Roman" w:cs="Times New Roman"/>
          <w:sz w:val="24"/>
          <w:szCs w:val="24"/>
        </w:rPr>
      </w:pPr>
    </w:p>
    <w:p w14:paraId="56E6BC06" w14:textId="77777777" w:rsidR="00BD51D9" w:rsidRDefault="00BD51D9">
      <w:pPr>
        <w:spacing w:line="360" w:lineRule="auto"/>
        <w:rPr>
          <w:rFonts w:ascii="Times New Roman" w:eastAsia="Times New Roman" w:hAnsi="Times New Roman" w:cs="Times New Roman"/>
          <w:sz w:val="24"/>
          <w:szCs w:val="24"/>
        </w:rPr>
      </w:pPr>
    </w:p>
    <w:sectPr w:rsidR="00BD51D9" w:rsidSect="00827382">
      <w:headerReference w:type="even" r:id="rId7"/>
      <w:headerReference w:type="default" r:id="rId8"/>
      <w:footerReference w:type="even" r:id="rId9"/>
      <w:footerReference w:type="default" r:id="rId10"/>
      <w:headerReference w:type="first" r:id="rId11"/>
      <w:footerReference w:type="first" r:id="rId12"/>
      <w:pgSz w:w="12240" w:h="15840"/>
      <w:pgMar w:top="1201"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70385" w14:textId="77777777" w:rsidR="00AC0EB6" w:rsidRDefault="00AC0EB6">
      <w:pPr>
        <w:spacing w:after="0" w:line="240" w:lineRule="auto"/>
      </w:pPr>
      <w:r>
        <w:separator/>
      </w:r>
    </w:p>
  </w:endnote>
  <w:endnote w:type="continuationSeparator" w:id="0">
    <w:p w14:paraId="5DFCCFFC" w14:textId="77777777" w:rsidR="00AC0EB6" w:rsidRDefault="00AC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8774F67-4C14-42B6-BEF1-C11B19C01B69}"/>
    <w:embedBold r:id="rId2" w:fontKey="{7DEBFA94-C2F7-44E0-BFC0-8F414EAF63AD}"/>
    <w:embedBoldItalic r:id="rId3" w:fontKey="{CBD51E9A-B8B3-494C-8F5B-5C9B55C8B454}"/>
  </w:font>
  <w:font w:name="Cambria">
    <w:panose1 w:val="02040503050406030204"/>
    <w:charset w:val="00"/>
    <w:family w:val="roman"/>
    <w:pitch w:val="variable"/>
    <w:sig w:usb0="E00006FF" w:usb1="420024FF" w:usb2="02000000" w:usb3="00000000" w:csb0="0000019F" w:csb1="00000000"/>
    <w:embedRegular r:id="rId4" w:fontKey="{3235CFCA-EEF0-4A98-88D3-4B58B2CD2089}"/>
    <w:embedBold r:id="rId5" w:fontKey="{4B59DB34-ADBF-483C-B67C-0C0C098BE87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454C2066-C996-4519-B0D2-2C097A7588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BC0C" w14:textId="77777777" w:rsidR="00BD51D9" w:rsidRDefault="00BD51D9">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56E6BC0D" w14:textId="77777777" w:rsidR="00BD51D9" w:rsidRDefault="00BD51D9"/>
  <w:p w14:paraId="56E6BC0E" w14:textId="77777777" w:rsidR="00BD51D9" w:rsidRDefault="00BD51D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BC0F" w14:textId="77777777" w:rsidR="00BD51D9" w:rsidRDefault="00BD51D9"/>
  <w:p w14:paraId="56E6BC10" w14:textId="77777777" w:rsidR="00BD51D9" w:rsidRDefault="00BD51D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BC14" w14:textId="77777777" w:rsidR="00BD51D9" w:rsidRDefault="00BD51D9">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F4600" w14:textId="77777777" w:rsidR="00AC0EB6" w:rsidRDefault="00AC0EB6">
      <w:pPr>
        <w:spacing w:after="0" w:line="240" w:lineRule="auto"/>
      </w:pPr>
      <w:r>
        <w:separator/>
      </w:r>
    </w:p>
  </w:footnote>
  <w:footnote w:type="continuationSeparator" w:id="0">
    <w:p w14:paraId="131130EB" w14:textId="77777777" w:rsidR="00AC0EB6" w:rsidRDefault="00AC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BC07" w14:textId="77777777" w:rsidR="00BD51D9" w:rsidRDefault="00BD51D9">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56E6BC08" w14:textId="77777777" w:rsidR="00BD51D9" w:rsidRDefault="00BD51D9"/>
  <w:p w14:paraId="56E6BC09" w14:textId="77777777" w:rsidR="00BD51D9" w:rsidRDefault="00BD51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BC0B" w14:textId="79C787A5" w:rsidR="00BD51D9" w:rsidRDefault="00F1033D" w:rsidP="00827382">
    <w:pPr>
      <w:spacing w:line="480" w:lineRule="auto"/>
      <w:ind w:hanging="2"/>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853E43">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BC11" w14:textId="5BA8F081" w:rsidR="00BD51D9" w:rsidRDefault="00F1033D">
    <w:pPr>
      <w:spacing w:after="0" w:line="240" w:lineRule="auto"/>
      <w:ind w:hanging="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853E43">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56E6BC12" w14:textId="77777777" w:rsidR="00BD51D9" w:rsidRDefault="00BD51D9"/>
  <w:p w14:paraId="56E6BC13" w14:textId="77777777" w:rsidR="00BD51D9" w:rsidRDefault="00BD51D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1D9"/>
    <w:rsid w:val="00576FEC"/>
    <w:rsid w:val="00733309"/>
    <w:rsid w:val="00735D85"/>
    <w:rsid w:val="00754230"/>
    <w:rsid w:val="00827382"/>
    <w:rsid w:val="00853E43"/>
    <w:rsid w:val="00A26FCD"/>
    <w:rsid w:val="00AC0EB6"/>
    <w:rsid w:val="00B132A1"/>
    <w:rsid w:val="00BD51D9"/>
    <w:rsid w:val="00BF7A65"/>
    <w:rsid w:val="00C131ED"/>
    <w:rsid w:val="00CD4972"/>
    <w:rsid w:val="00F1033D"/>
    <w:rsid w:val="00F13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6BBC3"/>
  <w15:docId w15:val="{84C89C5C-C769-4F9F-9FA1-30F21091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uiPriority w:val="9"/>
    <w:semiHidden/>
    <w:unhideWhenUsed/>
    <w:qFormat/>
    <w:pPr>
      <w:keepNext/>
      <w:spacing w:before="240" w:after="60"/>
      <w:outlineLvl w:val="1"/>
    </w:pPr>
    <w:rPr>
      <w:b/>
      <w:bCs/>
      <w:i/>
      <w:iCs/>
      <w:sz w:val="28"/>
      <w:szCs w:val="28"/>
    </w:rPr>
  </w:style>
  <w:style w:type="paragraph" w:styleId="Heading3">
    <w:name w:val="heading 3"/>
    <w:basedOn w:val="Normal"/>
    <w:next w:val="Normal"/>
    <w:uiPriority w:val="9"/>
    <w:semiHidden/>
    <w:unhideWhenUsed/>
    <w:qFormat/>
    <w:pPr>
      <w:keepNext/>
      <w:spacing w:before="240" w:after="60"/>
      <w:outlineLvl w:val="2"/>
    </w:pPr>
    <w:rPr>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unhideWhenUsed/>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pPr>
      <w:spacing w:after="0" w:line="240" w:lineRule="auto"/>
      <w:ind w:firstLine="0"/>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Normal"/>
    <w:qFormat/>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gkelc">
    <w:name w:val="hgkelc"/>
    <w:basedOn w:val="DefaultParagraphFont"/>
    <w:qFormat/>
  </w:style>
  <w:style w:type="paragraph" w:customStyle="1" w:styleId="muitypography-root">
    <w:name w:val="muitypography-root"/>
    <w:qFormat/>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halfrhythm">
    <w:name w:val="half_rhythm"/>
    <w:qFormat/>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ListParagraph">
    <w:name w:val="List Paragraph"/>
    <w:uiPriority w:val="34"/>
    <w:qFormat/>
    <w:pPr>
      <w:ind w:left="720"/>
      <w:contextualSpacing/>
    </w:pPr>
  </w:style>
  <w:style w:type="paragraph" w:customStyle="1" w:styleId="xmsonormal">
    <w:name w:val="x_msonormal"/>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ff6">
    <w:name w:val="ff6"/>
    <w:basedOn w:val="DefaultParagraphFont"/>
    <w:qFormat/>
  </w:style>
  <w:style w:type="character" w:customStyle="1" w:styleId="lsc">
    <w:name w:val="lsc"/>
    <w:basedOn w:val="DefaultParagraphFont"/>
    <w:qFormat/>
  </w:style>
  <w:style w:type="character" w:customStyle="1" w:styleId="ls2">
    <w:name w:val="ls2"/>
    <w:basedOn w:val="DefaultParagraphFont"/>
    <w:qFormat/>
  </w:style>
  <w:style w:type="character" w:customStyle="1" w:styleId="fc2">
    <w:name w:val="fc2"/>
    <w:basedOn w:val="DefaultParagraphFont"/>
    <w:qFormat/>
  </w:style>
  <w:style w:type="character" w:customStyle="1" w:styleId="ls5d">
    <w:name w:val="ls5d"/>
    <w:basedOn w:val="DefaultParagraphFont"/>
    <w:qFormat/>
  </w:style>
  <w:style w:type="character" w:customStyle="1" w:styleId="ls28">
    <w:name w:val="ls28"/>
    <w:basedOn w:val="DefaultParagraphFont"/>
    <w:qFormat/>
  </w:style>
  <w:style w:type="character" w:customStyle="1" w:styleId="ls3">
    <w:name w:val="ls3"/>
    <w:basedOn w:val="DefaultParagraphFont"/>
  </w:style>
  <w:style w:type="character" w:customStyle="1" w:styleId="ls25">
    <w:name w:val="ls25"/>
    <w:basedOn w:val="DefaultParagraphFont"/>
    <w:qFormat/>
  </w:style>
  <w:style w:type="character" w:customStyle="1" w:styleId="ls17">
    <w:name w:val="ls17"/>
    <w:basedOn w:val="DefaultParagraphFont"/>
    <w:qFormat/>
  </w:style>
  <w:style w:type="character" w:customStyle="1" w:styleId="ls24">
    <w:name w:val="ls24"/>
    <w:basedOn w:val="DefaultParagraphFont"/>
    <w:qFormat/>
  </w:style>
  <w:style w:type="character" w:customStyle="1" w:styleId="ls27">
    <w:name w:val="ls27"/>
    <w:basedOn w:val="DefaultParagraphFont"/>
    <w:qFormat/>
  </w:style>
  <w:style w:type="character" w:customStyle="1" w:styleId="ls67">
    <w:name w:val="ls67"/>
    <w:basedOn w:val="DefaultParagraphFont"/>
    <w:qFormat/>
  </w:style>
  <w:style w:type="character" w:customStyle="1" w:styleId="ls21">
    <w:name w:val="ls21"/>
    <w:basedOn w:val="DefaultParagraphFont"/>
    <w:qFormat/>
  </w:style>
  <w:style w:type="character" w:customStyle="1" w:styleId="ls6">
    <w:name w:val="ls6"/>
    <w:basedOn w:val="DefaultParagraphFont"/>
    <w:qFormat/>
  </w:style>
  <w:style w:type="character" w:customStyle="1" w:styleId="lse">
    <w:name w:val="lse"/>
    <w:basedOn w:val="DefaultParagraphFont"/>
    <w:qFormat/>
  </w:style>
  <w:style w:type="character" w:customStyle="1" w:styleId="ls22">
    <w:name w:val="ls22"/>
    <w:basedOn w:val="DefaultParagraphFont"/>
    <w:qFormat/>
  </w:style>
  <w:style w:type="character" w:customStyle="1" w:styleId="ls68">
    <w:name w:val="ls68"/>
    <w:basedOn w:val="DefaultParagraphFont"/>
    <w:qFormat/>
  </w:style>
  <w:style w:type="character" w:customStyle="1" w:styleId="ls7">
    <w:name w:val="ls7"/>
    <w:basedOn w:val="DefaultParagraphFont"/>
    <w:qFormat/>
  </w:style>
  <w:style w:type="character" w:customStyle="1" w:styleId="ls69">
    <w:name w:val="ls69"/>
    <w:basedOn w:val="DefaultParagraphFont"/>
    <w:qFormat/>
  </w:style>
  <w:style w:type="character" w:customStyle="1" w:styleId="ls20">
    <w:name w:val="ls20"/>
    <w:basedOn w:val="DefaultParagraphFont"/>
  </w:style>
  <w:style w:type="character" w:customStyle="1" w:styleId="fc0">
    <w:name w:val="fc0"/>
    <w:basedOn w:val="DefaultParagraphFont"/>
    <w:qFormat/>
  </w:style>
  <w:style w:type="character" w:customStyle="1" w:styleId="ls5a">
    <w:name w:val="ls5a"/>
    <w:basedOn w:val="DefaultParagraphFont"/>
  </w:style>
  <w:style w:type="character" w:customStyle="1" w:styleId="ls34">
    <w:name w:val="ls34"/>
    <w:basedOn w:val="DefaultParagraphFont"/>
  </w:style>
  <w:style w:type="character" w:customStyle="1" w:styleId="ls6a">
    <w:name w:val="ls6a"/>
    <w:basedOn w:val="DefaultParagraphFont"/>
  </w:style>
  <w:style w:type="character" w:customStyle="1" w:styleId="ws23">
    <w:name w:val="ws23"/>
    <w:basedOn w:val="DefaultParagraphFont"/>
  </w:style>
  <w:style w:type="character" w:customStyle="1" w:styleId="ls2d">
    <w:name w:val="ls2d"/>
    <w:basedOn w:val="DefaultParagraphFont"/>
  </w:style>
  <w:style w:type="character" w:customStyle="1" w:styleId="ws7">
    <w:name w:val="ws7"/>
    <w:basedOn w:val="DefaultParagraphFont"/>
    <w:qFormat/>
  </w:style>
  <w:style w:type="character" w:customStyle="1" w:styleId="ls29">
    <w:name w:val="ls29"/>
    <w:basedOn w:val="DefaultParagraphFont"/>
  </w:style>
  <w:style w:type="character" w:customStyle="1" w:styleId="ls6b">
    <w:name w:val="ls6b"/>
    <w:basedOn w:val="DefaultParagraphFont"/>
  </w:style>
  <w:style w:type="character" w:customStyle="1" w:styleId="ws9">
    <w:name w:val="ws9"/>
    <w:basedOn w:val="DefaultParagraphFont"/>
  </w:style>
  <w:style w:type="character" w:customStyle="1" w:styleId="ls9">
    <w:name w:val="ls9"/>
    <w:basedOn w:val="DefaultParagraphFont"/>
  </w:style>
  <w:style w:type="character" w:customStyle="1" w:styleId="ls6c">
    <w:name w:val="ls6c"/>
    <w:basedOn w:val="DefaultParagraphFont"/>
    <w:qFormat/>
  </w:style>
  <w:style w:type="character" w:customStyle="1" w:styleId="ls6d">
    <w:name w:val="ls6d"/>
    <w:basedOn w:val="DefaultParagraphFont"/>
    <w:qFormat/>
  </w:style>
  <w:style w:type="character" w:customStyle="1" w:styleId="ws43">
    <w:name w:val="ws43"/>
    <w:basedOn w:val="DefaultParagraphFont"/>
    <w:qFormat/>
  </w:style>
  <w:style w:type="character" w:customStyle="1" w:styleId="ls8">
    <w:name w:val="ls8"/>
    <w:basedOn w:val="DefaultParagraphFont"/>
    <w:qFormat/>
  </w:style>
  <w:style w:type="paragraph" w:customStyle="1" w:styleId="p">
    <w:name w:val="p"/>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a">
    <w:name w:val="_"/>
    <w:basedOn w:val="DefaultParagraphFont"/>
    <w:qFormat/>
  </w:style>
  <w:style w:type="character" w:customStyle="1" w:styleId="ls0">
    <w:name w:val="ls0"/>
    <w:basedOn w:val="DefaultParagraphFont"/>
    <w:qFormat/>
  </w:style>
  <w:style w:type="character" w:customStyle="1" w:styleId="ff7">
    <w:name w:val="ff7"/>
    <w:basedOn w:val="DefaultParagraphFont"/>
    <w:qFormat/>
  </w:style>
  <w:style w:type="character" w:customStyle="1" w:styleId="ref-lnk">
    <w:name w:val="ref-lnk"/>
    <w:basedOn w:val="DefaultParagraphFont"/>
    <w:qFormat/>
  </w:style>
  <w:style w:type="character" w:customStyle="1" w:styleId="off-screen">
    <w:name w:val="off-screen"/>
    <w:basedOn w:val="DefaultParagraphFont"/>
    <w:qFormat/>
  </w:style>
  <w:style w:type="paragraph" w:customStyle="1" w:styleId="para">
    <w:name w:val="para"/>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lsa">
    <w:name w:val="lsa"/>
    <w:basedOn w:val="DefaultParagraphFont"/>
    <w:qFormat/>
  </w:style>
  <w:style w:type="character" w:customStyle="1" w:styleId="markedcontent">
    <w:name w:val="markedcontent"/>
    <w:basedOn w:val="DefaultParagraphFont"/>
    <w:qFormat/>
  </w:style>
  <w:style w:type="character" w:customStyle="1" w:styleId="url">
    <w:name w:val="url"/>
    <w:basedOn w:val="DefaultParagraphFont"/>
    <w:qFormat/>
  </w:style>
  <w:style w:type="character" w:customStyle="1" w:styleId="jpfdse">
    <w:name w:val="jpfdse"/>
    <w:basedOn w:val="DefaultParagraphFont"/>
    <w:qFormat/>
  </w:style>
  <w:style w:type="character" w:customStyle="1" w:styleId="ff4">
    <w:name w:val="ff4"/>
    <w:basedOn w:val="DefaultParagraphFont"/>
    <w:qFormat/>
  </w:style>
  <w:style w:type="character" w:customStyle="1" w:styleId="ff1">
    <w:name w:val="ff1"/>
    <w:basedOn w:val="DefaultParagraphFont"/>
    <w:qFormat/>
  </w:style>
  <w:style w:type="character" w:customStyle="1" w:styleId="lsf">
    <w:name w:val="lsf"/>
    <w:basedOn w:val="DefaultParagraphFont"/>
    <w:qFormat/>
  </w:style>
  <w:style w:type="character" w:customStyle="1" w:styleId="lsb">
    <w:name w:val="lsb"/>
    <w:basedOn w:val="DefaultParagraphFont"/>
  </w:style>
  <w:style w:type="character" w:customStyle="1" w:styleId="ls4">
    <w:name w:val="ls4"/>
    <w:basedOn w:val="DefaultParagraphFont"/>
  </w:style>
  <w:style w:type="character" w:customStyle="1" w:styleId="lsd">
    <w:name w:val="lsd"/>
    <w:basedOn w:val="DefaultParagraphFont"/>
    <w:qFormat/>
  </w:style>
  <w:style w:type="character" w:customStyle="1" w:styleId="ls1">
    <w:name w:val="ls1"/>
    <w:basedOn w:val="DefaultParagraphFont"/>
    <w:qFormat/>
  </w:style>
  <w:style w:type="character" w:customStyle="1" w:styleId="ff5">
    <w:name w:val="ff5"/>
    <w:basedOn w:val="DefaultParagraphFont"/>
    <w:qFormat/>
  </w:style>
  <w:style w:type="character" w:customStyle="1" w:styleId="ls5">
    <w:name w:val="ls5"/>
    <w:basedOn w:val="DefaultParagraphFont"/>
  </w:style>
  <w:style w:type="paragraph" w:customStyle="1" w:styleId="text-main">
    <w:name w:val="text-main"/>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customStyle="1" w:styleId="TableParagraph">
    <w:name w:val="Table Paragraph"/>
    <w:uiPriority w:val="1"/>
    <w:qFormat/>
    <w:pPr>
      <w:widowControl w:val="0"/>
      <w:autoSpaceDE w:val="0"/>
      <w:autoSpaceDN w:val="0"/>
      <w:spacing w:after="0" w:line="240" w:lineRule="auto"/>
      <w:ind w:firstLine="0"/>
    </w:pPr>
    <w:rPr>
      <w:rFonts w:ascii="Arial" w:eastAsia="Arial" w:hAnsi="Arial" w:cs="Arial"/>
      <w:lang w:val="en-US"/>
    </w:rPr>
  </w:style>
  <w:style w:type="character" w:customStyle="1" w:styleId="whitespace-normal">
    <w:name w:val="whitespace-normal"/>
    <w:basedOn w:val="DefaultParagraphFont"/>
    <w:qFormat/>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fRS0jNCT99gSKUIAfKMvOsN05Q==">CgMxLjAyDmgubDd4cDJwOXNyN3o4OAByITFSdU9DOWotVlJMMkVTajJQdkg5U0xYS19iR3h3Mk5paQ==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2155</Words>
  <Characters>12915</Characters>
  <DocSecurity>0</DocSecurity>
  <Lines>201</Lines>
  <Paragraphs>42</Paragraphs>
  <ScaleCrop>false</ScaleCrop>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2025-09-23T08:08:00Z</dcterms:created>
  <dcterms:modified xsi:type="dcterms:W3CDTF">2025-12-18T10:38:00Z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186279a31dffec49a0d8cc351ce9b3aca0aabdb9d2c90d45fe309bc184e4b345</vt:lpwstr>
  </property>
  <property fmtid="{D5CDD505-2E9C-101B-9397-08002B2CF9AE}" pid="3" name="MSIP_Label_d0354ca5-015e-47ab-9fdb-c0a8323bc23e_Enabled">
    <vt:lpwstr>true</vt:lpwstr>
  </property>
  <property fmtid="{D5CDD505-2E9C-101B-9397-08002B2CF9AE}" pid="4" name="MSIP_Label_d0354ca5-015e-47ab-9fdb-c0a8323bc23e_SetDate">
    <vt:lpwstr>2023-12-18T11:57:27Z</vt:lpwstr>
  </property>
  <property fmtid="{D5CDD505-2E9C-101B-9397-08002B2CF9AE}" pid="5" name="MSIP_Label_d0354ca5-015e-47ab-9fdb-c0a8323bc23e_Method">
    <vt:lpwstr>Privileged</vt:lpwstr>
  </property>
  <property fmtid="{D5CDD505-2E9C-101B-9397-08002B2CF9AE}" pid="6" name="MSIP_Label_d0354ca5-015e-47ab-9fdb-c0a8323bc23e_Name">
    <vt:lpwstr>d0354ca5-015e-47ab-9fdb-c0a8323bc23e</vt:lpwstr>
  </property>
  <property fmtid="{D5CDD505-2E9C-101B-9397-08002B2CF9AE}" pid="7" name="MSIP_Label_d0354ca5-015e-47ab-9fdb-c0a8323bc23e_SiteId">
    <vt:lpwstr>07ebc6c3-7074-4387-a625-b9d918ba4a97</vt:lpwstr>
  </property>
  <property fmtid="{D5CDD505-2E9C-101B-9397-08002B2CF9AE}" pid="8" name="MSIP_Label_d0354ca5-015e-47ab-9fdb-c0a8323bc23e_ActionId">
    <vt:lpwstr>17fc6f72-6f24-481b-8f46-2153f1eab63d</vt:lpwstr>
  </property>
  <property fmtid="{D5CDD505-2E9C-101B-9397-08002B2CF9AE}" pid="9" name="MSIP_Label_d0354ca5-015e-47ab-9fdb-c0a8323bc23e_ContentBits">
    <vt:lpwstr>0</vt:lpwstr>
  </property>
  <property fmtid="{D5CDD505-2E9C-101B-9397-08002B2CF9AE}" pid="10" name="KSOProductBuildVer">
    <vt:lpwstr>2057-12.2.0.23149</vt:lpwstr>
  </property>
  <property fmtid="{D5CDD505-2E9C-101B-9397-08002B2CF9AE}" pid="11" name="ICV">
    <vt:lpwstr>8F2608CD85214304B50F0B43269F6382_13</vt:lpwstr>
  </property>
</Properties>
</file>