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360" w:lineRule="auto"/>
        <w:jc w:val="center"/>
        <w:rPr>
          <w:rFonts w:ascii="Arial" w:cs="Arial" w:eastAsia="Arial" w:hAnsi="Arial"/>
          <w:b w:val="1"/>
          <w:bCs w:val="1"/>
          <w:i w:val="1"/>
          <w:iCs w:val="1"/>
          <w:color w:val="ff0000"/>
          <w:sz w:val="30"/>
          <w:szCs w:val="30"/>
          <w:u w:val="single"/>
        </w:rPr>
      </w:pPr>
      <w:r w:rsidDel="00000000" w:rsidR="00000000" w:rsidRPr="00000000">
        <w:rPr>
          <w:rFonts w:ascii="Arial" w:cs="Arial" w:eastAsia="Arial" w:hAnsi="Arial"/>
          <w:b w:val="1"/>
          <w:bCs w:val="1"/>
          <w:i w:val="1"/>
          <w:iCs w:val="1"/>
          <w:color w:val="ff0000"/>
          <w:sz w:val="30"/>
          <w:szCs w:val="30"/>
          <w:u w:val="single"/>
        </w:rPr>
        <w:drawing>
          <wp:inline distB="114300" distT="114300" distL="114300" distR="114300">
            <wp:extent cx="2122650" cy="1076325"/>
            <wp:effectExtent b="0" l="0" r="0" t="0"/>
            <wp:docPr id="5" name="image1.png"/>
            <a:graphic>
              <a:graphicData uri="http://schemas.openxmlformats.org/drawingml/2006/picture">
                <pic:pic>
                  <pic:nvPicPr>
                    <pic:cNvPr id="0" name="image1.png"/>
                    <pic:cNvPicPr preferRelativeResize="0"/>
                  </pic:nvPicPr>
                  <pic:blipFill>
                    <a:blip r:embed="rId7"/>
                    <a:srcRect b="-4310" l="0" r="0" t="-4310"/>
                    <a:stretch>
                      <a:fillRect/>
                    </a:stretch>
                  </pic:blipFill>
                  <pic:spPr>
                    <a:xfrm>
                      <a:off x="0" y="0"/>
                      <a:ext cx="2122650" cy="10763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80" w:line="360" w:lineRule="auto"/>
        <w:jc w:val="center"/>
        <w:rPr>
          <w:rFonts w:ascii="Arial" w:cs="Arial" w:eastAsia="Arial" w:hAnsi="Arial"/>
          <w:b w:val="1"/>
          <w:bCs w:val="1"/>
          <w:i w:val="1"/>
          <w:iCs w:val="1"/>
          <w:color w:val="134f5c"/>
          <w:u w:val="single"/>
        </w:rPr>
      </w:pPr>
      <w:r w:rsidDel="00000000" w:rsidR="00000000" w:rsidRPr="00000000">
        <w:rPr>
          <w:rtl w:val="0"/>
        </w:rPr>
      </w:r>
    </w:p>
    <w:p w:rsidR="00000000" w:rsidDel="00000000" w:rsidP="00000000" w:rsidRDefault="00000000" w:rsidRPr="00000000" w14:paraId="00000003">
      <w:pPr>
        <w:spacing w:after="280" w:line="360" w:lineRule="auto"/>
        <w:jc w:val="center"/>
        <w:rPr>
          <w:rFonts w:ascii="Arial" w:cs="Arial" w:eastAsia="Arial" w:hAnsi="Arial"/>
          <w:b w:val="1"/>
          <w:bCs w:val="1"/>
          <w:i w:val="1"/>
          <w:iCs w:val="1"/>
          <w:color w:val="134f5c"/>
          <w:u w:val="single"/>
        </w:rPr>
      </w:pPr>
      <w:r w:rsidDel="00000000" w:rsidR="00000000" w:rsidRPr="00000000">
        <w:rPr>
          <w:rtl w:val="0"/>
        </w:rPr>
      </w:r>
    </w:p>
    <w:p w:rsidR="00000000" w:rsidDel="00000000" w:rsidP="00000000" w:rsidRDefault="00000000" w:rsidRPr="00000000" w14:paraId="00000004">
      <w:pPr>
        <w:spacing w:after="280" w:line="360" w:lineRule="auto"/>
        <w:jc w:val="center"/>
        <w:rPr>
          <w:rFonts w:ascii="Arial" w:cs="Arial" w:eastAsia="Arial" w:hAnsi="Arial"/>
          <w:b w:val="1"/>
          <w:bCs w:val="1"/>
          <w:i w:val="1"/>
          <w:iCs w:val="1"/>
          <w:color w:val="0000ff"/>
          <w:u w:val="single"/>
        </w:rPr>
      </w:pPr>
      <w:r w:rsidDel="00000000" w:rsidR="00000000" w:rsidRPr="00000000">
        <w:rPr>
          <w:rFonts w:ascii="Arial" w:cs="Arial" w:eastAsia="Arial" w:hAnsi="Arial"/>
          <w:b w:val="1"/>
          <w:bCs w:val="1"/>
          <w:i w:val="1"/>
          <w:iCs w:val="1"/>
          <w:color w:val="0000ff"/>
          <w:u w:val="single"/>
          <w:rtl w:val="0"/>
        </w:rPr>
        <w:t xml:space="preserve"> BA (Hons)Leadership and Management Skills for the    Workplace </w:t>
      </w:r>
    </w:p>
    <w:p w:rsidR="00000000" w:rsidDel="00000000" w:rsidP="00000000" w:rsidRDefault="00000000" w:rsidRPr="00000000" w14:paraId="00000005">
      <w:pPr>
        <w:spacing w:after="280" w:line="360" w:lineRule="auto"/>
        <w:jc w:val="center"/>
        <w:rPr>
          <w:rFonts w:ascii="Arial" w:cs="Arial" w:eastAsia="Arial" w:hAnsi="Arial"/>
          <w:b w:val="1"/>
          <w:bCs w:val="1"/>
          <w:i w:val="1"/>
          <w:iCs w:val="1"/>
          <w:color w:val="0000ff"/>
          <w:u w:val="single"/>
        </w:rPr>
      </w:pPr>
      <w:r w:rsidDel="00000000" w:rsidR="00000000" w:rsidRPr="00000000">
        <w:rPr>
          <w:rFonts w:ascii="Arial" w:cs="Arial" w:eastAsia="Arial" w:hAnsi="Arial"/>
          <w:b w:val="1"/>
          <w:bCs w:val="1"/>
          <w:i w:val="1"/>
          <w:iCs w:val="1"/>
          <w:color w:val="0000ff"/>
          <w:u w:val="single"/>
          <w:rtl w:val="0"/>
        </w:rPr>
        <w:t xml:space="preserve">Developing and Managing Individuals and Teams</w:t>
      </w:r>
    </w:p>
    <w:p w:rsidR="00000000" w:rsidDel="00000000" w:rsidP="00000000" w:rsidRDefault="00000000" w:rsidRPr="00000000" w14:paraId="00000006">
      <w:pPr>
        <w:spacing w:after="280" w:before="280" w:line="360" w:lineRule="auto"/>
        <w:jc w:val="center"/>
        <w:rPr>
          <w:rFonts w:ascii="Arial" w:cs="Arial" w:eastAsia="Arial" w:hAnsi="Arial"/>
          <w:b w:val="1"/>
          <w:bCs w:val="1"/>
          <w:i w:val="1"/>
          <w:iCs w:val="1"/>
          <w:color w:val="741b47"/>
          <w:u w:val="single"/>
        </w:rPr>
      </w:pPr>
      <w:r w:rsidDel="00000000" w:rsidR="00000000" w:rsidRPr="00000000">
        <w:rPr>
          <w:rFonts w:ascii="Arial" w:cs="Arial" w:eastAsia="Arial" w:hAnsi="Arial"/>
          <w:b w:val="1"/>
          <w:bCs w:val="1"/>
          <w:i w:val="1"/>
          <w:iCs w:val="1"/>
          <w:color w:val="0000ff"/>
          <w:u w:val="single"/>
          <w:rtl w:val="0"/>
        </w:rPr>
        <w:t xml:space="preserve">Assessment 2: </w:t>
      </w:r>
      <w:r w:rsidDel="00000000" w:rsidR="00000000" w:rsidRPr="00000000">
        <w:rPr>
          <w:rFonts w:ascii="Arial" w:cs="Arial" w:eastAsia="Arial" w:hAnsi="Arial"/>
          <w:b w:val="1"/>
          <w:bCs w:val="1"/>
          <w:i w:val="1"/>
          <w:iCs w:val="1"/>
          <w:color w:val="741b47"/>
          <w:u w:val="single"/>
          <w:rtl w:val="0"/>
        </w:rPr>
        <w:t xml:space="preserve">Individual Report</w:t>
      </w:r>
    </w:p>
    <w:p w:rsidR="00000000" w:rsidDel="00000000" w:rsidP="00000000" w:rsidRDefault="00000000" w:rsidRPr="00000000" w14:paraId="00000007">
      <w:pPr>
        <w:spacing w:after="280" w:before="280" w:line="360" w:lineRule="auto"/>
        <w:jc w:val="center"/>
        <w:rPr>
          <w:rFonts w:ascii="Arial" w:cs="Arial" w:eastAsia="Arial" w:hAnsi="Arial"/>
          <w:b w:val="1"/>
          <w:bCs w:val="1"/>
          <w:color w:val="741b47"/>
        </w:rPr>
      </w:pPr>
      <w:r w:rsidDel="00000000" w:rsidR="00000000" w:rsidRPr="00000000">
        <w:rPr>
          <w:rFonts w:ascii="Arial" w:cs="Arial" w:eastAsia="Arial" w:hAnsi="Arial"/>
          <w:b w:val="1"/>
          <w:bCs w:val="1"/>
          <w:color w:val="741b47"/>
          <w:rtl w:val="0"/>
        </w:rPr>
        <w:t xml:space="preserve">Contemporary Human Resource Management Practices: Developing Individuals and Teams at Waitrose &amp; Partners</w:t>
      </w:r>
    </w:p>
    <w:p w:rsidR="00000000" w:rsidDel="00000000" w:rsidP="00000000" w:rsidRDefault="00000000" w:rsidRPr="00000000" w14:paraId="00000008">
      <w:pPr>
        <w:spacing w:after="280" w:before="280" w:line="360" w:lineRule="auto"/>
        <w:jc w:val="center"/>
        <w:rPr>
          <w:rFonts w:ascii="-webkit-standard" w:cs="-webkit-standard" w:eastAsia="-webkit-standard" w:hAnsi="-webkit-standard"/>
        </w:rPr>
      </w:pPr>
      <w:r w:rsidDel="00000000" w:rsidR="00000000" w:rsidRPr="00000000">
        <w:rPr>
          <w:rFonts w:ascii="Arial" w:cs="Arial" w:eastAsia="Arial" w:hAnsi="Arial"/>
          <w:b w:val="1"/>
          <w:bCs w:val="1"/>
          <w:color w:val="0000ff"/>
          <w:rtl w:val="0"/>
        </w:rPr>
        <w:t xml:space="preserve"> Student Name</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Marcia Aguiar De Melo Mussati</w:t>
      </w:r>
      <w:r w:rsidDel="00000000" w:rsidR="00000000" w:rsidRPr="00000000">
        <w:rPr>
          <w:rFonts w:ascii="-webkit-standard" w:cs="-webkit-standard" w:eastAsia="-webkit-standard" w:hAnsi="-webkit-standard"/>
          <w:rtl w:val="0"/>
        </w:rPr>
        <w:t xml:space="preserve"> </w:t>
      </w:r>
      <w:r w:rsidDel="00000000" w:rsidR="00000000" w:rsidRPr="00000000">
        <w:rPr>
          <w:rFonts w:ascii="Arial" w:cs="Arial" w:eastAsia="Arial" w:hAnsi="Arial"/>
          <w:rtl w:val="0"/>
        </w:rPr>
        <w:t xml:space="preserve">Ferreira</w:t>
      </w:r>
      <w:r w:rsidDel="00000000" w:rsidR="00000000" w:rsidRPr="00000000">
        <w:rPr>
          <w:rtl w:val="0"/>
        </w:rPr>
      </w:r>
    </w:p>
    <w:p w:rsidR="00000000" w:rsidDel="00000000" w:rsidP="00000000" w:rsidRDefault="00000000" w:rsidRPr="00000000" w14:paraId="00000009">
      <w:pPr>
        <w:spacing w:after="280" w:before="280" w:line="360" w:lineRule="auto"/>
        <w:jc w:val="center"/>
        <w:rPr>
          <w:rFonts w:ascii="-webkit-standard" w:cs="-webkit-standard" w:eastAsia="-webkit-standard" w:hAnsi="-webkit-standard"/>
          <w:b w:val="1"/>
          <w:bCs w:val="1"/>
        </w:rPr>
      </w:pPr>
      <w:r w:rsidDel="00000000" w:rsidR="00000000" w:rsidRPr="00000000">
        <w:rPr>
          <w:rFonts w:ascii="Arial" w:cs="Arial" w:eastAsia="Arial" w:hAnsi="Arial"/>
          <w:b w:val="1"/>
          <w:bCs w:val="1"/>
          <w:color w:val="0000ff"/>
          <w:rtl w:val="0"/>
        </w:rPr>
        <w:t xml:space="preserve">Student ID number:</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2441938</w:t>
      </w:r>
      <w:r w:rsidDel="00000000" w:rsidR="00000000" w:rsidRPr="00000000">
        <w:rPr>
          <w:rtl w:val="0"/>
        </w:rPr>
      </w:r>
    </w:p>
    <w:p w:rsidR="00000000" w:rsidDel="00000000" w:rsidP="00000000" w:rsidRDefault="00000000" w:rsidRPr="00000000" w14:paraId="0000000A">
      <w:pPr>
        <w:spacing w:after="280" w:before="280" w:line="360" w:lineRule="auto"/>
        <w:jc w:val="center"/>
        <w:rPr>
          <w:rFonts w:ascii="Arial" w:cs="Arial" w:eastAsia="Arial" w:hAnsi="Arial"/>
        </w:rPr>
      </w:pPr>
      <w:r w:rsidDel="00000000" w:rsidR="00000000" w:rsidRPr="00000000">
        <w:rPr>
          <w:rFonts w:ascii="Arial" w:cs="Arial" w:eastAsia="Arial" w:hAnsi="Arial"/>
          <w:b w:val="1"/>
          <w:bCs w:val="1"/>
          <w:color w:val="0000ff"/>
          <w:rtl w:val="0"/>
        </w:rPr>
        <w:t xml:space="preserve">Module Code:</w:t>
      </w:r>
      <w:r w:rsidDel="00000000" w:rsidR="00000000" w:rsidRPr="00000000">
        <w:rPr>
          <w:rFonts w:ascii="Arial" w:cs="Arial" w:eastAsia="Arial" w:hAnsi="Arial"/>
          <w:rtl w:val="0"/>
        </w:rPr>
        <w:t xml:space="preserve"> LCLM5002</w:t>
      </w:r>
    </w:p>
    <w:p w:rsidR="00000000" w:rsidDel="00000000" w:rsidP="00000000" w:rsidRDefault="00000000" w:rsidRPr="00000000" w14:paraId="0000000B">
      <w:pPr>
        <w:spacing w:after="280" w:before="280" w:line="360" w:lineRule="auto"/>
        <w:jc w:val="center"/>
        <w:rPr>
          <w:rFonts w:ascii="Arial" w:cs="Arial" w:eastAsia="Arial" w:hAnsi="Arial"/>
        </w:rPr>
      </w:pPr>
      <w:r w:rsidDel="00000000" w:rsidR="00000000" w:rsidRPr="00000000">
        <w:rPr>
          <w:rFonts w:ascii="Arial" w:cs="Arial" w:eastAsia="Arial" w:hAnsi="Arial"/>
          <w:b w:val="1"/>
          <w:bCs w:val="1"/>
          <w:color w:val="0000ff"/>
          <w:rtl w:val="0"/>
        </w:rPr>
        <w:t xml:space="preserve">Module Title:</w:t>
      </w:r>
      <w:r w:rsidDel="00000000" w:rsidR="00000000" w:rsidRPr="00000000">
        <w:rPr>
          <w:rFonts w:ascii="Arial" w:cs="Arial" w:eastAsia="Arial" w:hAnsi="Arial"/>
          <w:rtl w:val="0"/>
        </w:rPr>
        <w:t xml:space="preserve"> Leadership and Management Skills for the Workplace:</w:t>
      </w:r>
    </w:p>
    <w:p w:rsidR="00000000" w:rsidDel="00000000" w:rsidP="00000000" w:rsidRDefault="00000000" w:rsidRPr="00000000" w14:paraId="0000000C">
      <w:pPr>
        <w:spacing w:after="280" w:before="280" w:line="360" w:lineRule="auto"/>
        <w:jc w:val="center"/>
        <w:rPr>
          <w:rFonts w:ascii="Arial" w:cs="Arial" w:eastAsia="Arial" w:hAnsi="Arial"/>
        </w:rPr>
      </w:pPr>
      <w:r w:rsidDel="00000000" w:rsidR="00000000" w:rsidRPr="00000000">
        <w:rPr>
          <w:rFonts w:ascii="Arial" w:cs="Arial" w:eastAsia="Arial" w:hAnsi="Arial"/>
          <w:rtl w:val="0"/>
        </w:rPr>
        <w:t xml:space="preserve"> Developing and Managing Individuals and Teams</w:t>
      </w:r>
    </w:p>
    <w:p w:rsidR="00000000" w:rsidDel="00000000" w:rsidP="00000000" w:rsidRDefault="00000000" w:rsidRPr="00000000" w14:paraId="0000000D">
      <w:pPr>
        <w:spacing w:after="280" w:before="280" w:line="360" w:lineRule="auto"/>
        <w:jc w:val="center"/>
        <w:rPr>
          <w:rFonts w:ascii="Arial" w:cs="Arial" w:eastAsia="Arial" w:hAnsi="Arial"/>
        </w:rPr>
      </w:pPr>
      <w:r w:rsidDel="00000000" w:rsidR="00000000" w:rsidRPr="00000000">
        <w:rPr>
          <w:rFonts w:ascii="Arial" w:cs="Arial" w:eastAsia="Arial" w:hAnsi="Arial"/>
          <w:b w:val="1"/>
          <w:bCs w:val="1"/>
          <w:color w:val="0000ff"/>
          <w:rtl w:val="0"/>
        </w:rPr>
        <w:t xml:space="preserve">Lecturer:</w:t>
      </w:r>
      <w:r w:rsidDel="00000000" w:rsidR="00000000" w:rsidRPr="00000000">
        <w:rPr>
          <w:rFonts w:ascii="Arial" w:cs="Arial" w:eastAsia="Arial" w:hAnsi="Arial"/>
          <w:rtl w:val="0"/>
        </w:rPr>
        <w:t xml:space="preserve"> Mubashir Qurashi</w:t>
      </w:r>
    </w:p>
    <w:p w:rsidR="00000000" w:rsidDel="00000000" w:rsidP="00000000" w:rsidRDefault="00000000" w:rsidRPr="00000000" w14:paraId="0000000E">
      <w:pPr>
        <w:spacing w:after="280" w:before="280" w:line="360" w:lineRule="auto"/>
        <w:jc w:val="center"/>
        <w:rPr>
          <w:rFonts w:ascii="Arial" w:cs="Arial" w:eastAsia="Arial" w:hAnsi="Arial"/>
        </w:rPr>
      </w:pPr>
      <w:r w:rsidDel="00000000" w:rsidR="00000000" w:rsidRPr="00000000">
        <w:rPr>
          <w:rFonts w:ascii="Arial" w:cs="Arial" w:eastAsia="Arial" w:hAnsi="Arial"/>
          <w:b w:val="1"/>
          <w:bCs w:val="1"/>
          <w:color w:val="0000ff"/>
          <w:rtl w:val="0"/>
        </w:rPr>
        <w:t xml:space="preserve">Submission Date</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color w:val="0000ff"/>
          <w:rtl w:val="0"/>
        </w:rPr>
        <w:t xml:space="preserve"> </w:t>
      </w:r>
      <w:r w:rsidDel="00000000" w:rsidR="00000000" w:rsidRPr="00000000">
        <w:rPr>
          <w:rFonts w:ascii="Arial" w:cs="Arial" w:eastAsia="Arial" w:hAnsi="Arial"/>
          <w:rtl w:val="0"/>
        </w:rPr>
        <w:t xml:space="preserve">21 August 2026</w:t>
      </w:r>
    </w:p>
    <w:p w:rsidR="00000000" w:rsidDel="00000000" w:rsidP="00000000" w:rsidRDefault="00000000" w:rsidRPr="00000000" w14:paraId="0000000F">
      <w:pPr>
        <w:spacing w:after="280" w:before="280" w:line="360" w:lineRule="auto"/>
        <w:jc w:val="center"/>
        <w:rPr>
          <w:rFonts w:ascii="Arial" w:cs="Arial" w:eastAsia="Arial" w:hAnsi="Arial"/>
        </w:rPr>
      </w:pPr>
      <w:r w:rsidDel="00000000" w:rsidR="00000000" w:rsidRPr="00000000">
        <w:rPr>
          <w:rFonts w:ascii="Arial" w:cs="Arial" w:eastAsia="Arial" w:hAnsi="Arial"/>
          <w:b w:val="1"/>
          <w:bCs w:val="1"/>
          <w:color w:val="0000ff"/>
          <w:rtl w:val="0"/>
        </w:rPr>
        <w:t xml:space="preserve">Word Count:</w:t>
      </w:r>
      <w:r w:rsidDel="00000000" w:rsidR="00000000" w:rsidRPr="00000000">
        <w:rPr>
          <w:rFonts w:ascii="Arial" w:cs="Arial" w:eastAsia="Arial" w:hAnsi="Arial"/>
          <w:color w:val="0000ff"/>
          <w:rtl w:val="0"/>
        </w:rPr>
        <w:t xml:space="preserve"> </w:t>
      </w:r>
      <w:r w:rsidDel="00000000" w:rsidR="00000000" w:rsidRPr="00000000">
        <w:rPr>
          <w:rFonts w:ascii="Arial" w:cs="Arial" w:eastAsia="Arial" w:hAnsi="Arial"/>
          <w:rtl w:val="0"/>
        </w:rPr>
        <w:t xml:space="preserve">2,000 word</w:t>
      </w:r>
    </w:p>
    <w:p w:rsidR="00000000" w:rsidDel="00000000" w:rsidP="00000000" w:rsidRDefault="00000000" w:rsidRPr="00000000" w14:paraId="00000010">
      <w:pPr>
        <w:spacing w:after="280" w:before="28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80" w:before="28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280" w:before="28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after="280" w:before="28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after="280" w:before="280" w:line="360" w:lineRule="auto"/>
        <w:rPr>
          <w:rFonts w:ascii="Arial" w:cs="Arial" w:eastAsia="Arial" w:hAnsi="Arial"/>
          <w:b w:val="1"/>
          <w:bCs w:val="1"/>
          <w:color w:val="741b47"/>
          <w:u w:val="single"/>
        </w:rPr>
      </w:pPr>
      <w:r w:rsidDel="00000000" w:rsidR="00000000" w:rsidRPr="00000000">
        <w:rPr>
          <w:rFonts w:ascii="Arial" w:cs="Arial" w:eastAsia="Arial" w:hAnsi="Arial"/>
          <w:b w:val="1"/>
          <w:bCs w:val="1"/>
          <w:color w:val="741b47"/>
          <w:u w:val="single"/>
          <w:rtl w:val="0"/>
        </w:rPr>
        <w:t xml:space="preserve">Contents Page</w:t>
      </w:r>
    </w:p>
    <w:tbl>
      <w:tblPr>
        <w:tblStyle w:val="Table1"/>
        <w:tblW w:w="900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890"/>
        <w:gridCol w:w="1110"/>
        <w:tblGridChange w:id="0">
          <w:tblGrid>
            <w:gridCol w:w="7890"/>
            <w:gridCol w:w="1110"/>
          </w:tblGrid>
        </w:tblGridChange>
      </w:tblGrid>
      <w:tr>
        <w:trPr>
          <w:cantSplit w:val="0"/>
          <w:tblHeader w:val="1"/>
        </w:trPr>
        <w:tc>
          <w:tcPr>
            <w:tcBorders>
              <w:top w:color="000000" w:space="0" w:sz="6" w:val="single"/>
              <w:left w:color="000000" w:space="0" w:sz="6" w:val="single"/>
              <w:bottom w:color="000000" w:space="0" w:sz="6" w:val="single"/>
              <w:right w:color="000000" w:space="0" w:sz="6" w:val="single"/>
            </w:tcBorders>
            <w:shd w:fill="ead1dc" w:val="clear"/>
            <w:tcMar>
              <w:top w:w="120.0" w:type="dxa"/>
              <w:left w:w="180.0" w:type="dxa"/>
              <w:bottom w:w="120.0" w:type="dxa"/>
              <w:right w:w="180.0" w:type="dxa"/>
            </w:tcMar>
            <w:vAlign w:val="center"/>
          </w:tcPr>
          <w:p w:rsidR="00000000" w:rsidDel="00000000" w:rsidP="00000000" w:rsidRDefault="00000000" w:rsidRPr="00000000" w14:paraId="00000015">
            <w:pPr>
              <w:spacing w:line="360" w:lineRule="auto"/>
              <w:jc w:val="center"/>
              <w:rPr>
                <w:rFonts w:ascii="Arial" w:cs="Arial" w:eastAsia="Arial" w:hAnsi="Arial"/>
                <w:color w:val="741b47"/>
              </w:rPr>
            </w:pPr>
            <w:r w:rsidDel="00000000" w:rsidR="00000000" w:rsidRPr="00000000">
              <w:rPr>
                <w:rFonts w:ascii="Arial" w:cs="Arial" w:eastAsia="Arial" w:hAnsi="Arial"/>
                <w:color w:val="741b47"/>
                <w:rtl w:val="0"/>
              </w:rPr>
              <w:t xml:space="preserve">Section</w:t>
            </w:r>
          </w:p>
        </w:tc>
        <w:tc>
          <w:tcPr>
            <w:tcBorders>
              <w:top w:color="000000" w:space="0" w:sz="6" w:val="single"/>
              <w:left w:color="000000" w:space="0" w:sz="6" w:val="single"/>
              <w:bottom w:color="000000" w:space="0" w:sz="6" w:val="single"/>
              <w:right w:color="000000" w:space="0" w:sz="6" w:val="single"/>
            </w:tcBorders>
            <w:shd w:fill="ead1dc" w:val="clear"/>
            <w:tcMar>
              <w:top w:w="120.0" w:type="dxa"/>
              <w:left w:w="180.0" w:type="dxa"/>
              <w:bottom w:w="120.0" w:type="dxa"/>
              <w:right w:w="180.0" w:type="dxa"/>
            </w:tcMar>
            <w:vAlign w:val="center"/>
          </w:tcPr>
          <w:p w:rsidR="00000000" w:rsidDel="00000000" w:rsidP="00000000" w:rsidRDefault="00000000" w:rsidRPr="00000000" w14:paraId="00000016">
            <w:pPr>
              <w:spacing w:line="360" w:lineRule="auto"/>
              <w:jc w:val="center"/>
              <w:rPr>
                <w:rFonts w:ascii="Arial" w:cs="Arial" w:eastAsia="Arial" w:hAnsi="Arial"/>
                <w:color w:val="741b47"/>
              </w:rPr>
            </w:pPr>
            <w:r w:rsidDel="00000000" w:rsidR="00000000" w:rsidRPr="00000000">
              <w:rPr>
                <w:rFonts w:ascii="Arial" w:cs="Arial" w:eastAsia="Arial" w:hAnsi="Arial"/>
                <w:color w:val="741b47"/>
                <w:rtl w:val="0"/>
              </w:rPr>
              <w:t xml:space="preserve">Page</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7">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1. Introduction</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8">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3</w:t>
            </w:r>
          </w:p>
        </w:tc>
      </w:tr>
      <w:tr>
        <w:trPr>
          <w:cantSplit w:val="0"/>
          <w:trHeight w:val="928.935546875"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9">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2. Key Organisational Factors Affecting Waitrose &amp; Partners</w:t>
            </w:r>
          </w:p>
          <w:p w:rsidR="00000000" w:rsidDel="00000000" w:rsidP="00000000" w:rsidRDefault="00000000" w:rsidRPr="00000000" w14:paraId="0000001A">
            <w:pPr>
              <w:spacing w:before="280" w:line="360" w:lineRule="auto"/>
              <w:rPr>
                <w:rFonts w:ascii="Arial" w:cs="Arial" w:eastAsia="Arial" w:hAnsi="Arial"/>
                <w:color w:val="0000ff"/>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B">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3</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C">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2.1 Adapting to Technological Advancements</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D">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3</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E">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2.2 Talent Acquisition and Retention</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1F">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4</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0">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2.3 Diversity, Equity and Inclusion (DEI)</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1">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5</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2">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3. Evaluation of Contemporary HR Practices</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3">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5</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4">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3.1 Digital HR Systems and Workforce Analytics</w:t>
            </w:r>
          </w:p>
          <w:p w:rsidR="00000000" w:rsidDel="00000000" w:rsidP="00000000" w:rsidRDefault="00000000" w:rsidRPr="00000000" w14:paraId="00000025">
            <w:pPr>
              <w:spacing w:before="280" w:line="360" w:lineRule="auto"/>
              <w:rPr>
                <w:rFonts w:ascii="Arial" w:cs="Arial" w:eastAsia="Arial" w:hAnsi="Arial"/>
                <w:color w:val="0000ff"/>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6">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5</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7">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3.2 Employer Branding, Employee Development and Retention Strategies</w:t>
            </w:r>
          </w:p>
          <w:p w:rsidR="00000000" w:rsidDel="00000000" w:rsidP="00000000" w:rsidRDefault="00000000" w:rsidRPr="00000000" w14:paraId="00000028">
            <w:pPr>
              <w:spacing w:before="280" w:line="360" w:lineRule="auto"/>
              <w:rPr>
                <w:rFonts w:ascii="Arial" w:cs="Arial" w:eastAsia="Arial" w:hAnsi="Arial"/>
                <w:color w:val="0000ff"/>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9">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6</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A">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3.3 Inclusive Recruitment and DEI Initiatives</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B">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7</w:t>
            </w:r>
          </w:p>
        </w:tc>
      </w:tr>
      <w:tr>
        <w:trPr>
          <w:cantSplit w:val="0"/>
          <w:trHeight w:val="883.935546875" w:hRule="atLeast"/>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C">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4. Critical Evaluation of Managerial Implementation</w:t>
            </w:r>
          </w:p>
          <w:p w:rsidR="00000000" w:rsidDel="00000000" w:rsidP="00000000" w:rsidRDefault="00000000" w:rsidRPr="00000000" w14:paraId="0000002D">
            <w:pPr>
              <w:spacing w:before="280" w:line="360" w:lineRule="auto"/>
              <w:rPr>
                <w:rFonts w:ascii="Arial" w:cs="Arial" w:eastAsia="Arial" w:hAnsi="Arial"/>
                <w:color w:val="0000ff"/>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E">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8</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2F">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4.1 Leadership accountability</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0">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8</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1">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4.2 Communication strategies</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2">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8</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3">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4.3 Monitoring and performance measurement </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4">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9</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5">
            <w:pPr>
              <w:spacing w:after="280"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4.4 Organisational Culture</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6">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9</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7">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5. Conclusion</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8">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10</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9">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6. Recommendations</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A">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10</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B">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References</w:t>
            </w:r>
          </w:p>
        </w:tc>
        <w:tc>
          <w:tcPr>
            <w:tcBorders>
              <w:top w:color="000000" w:space="0" w:sz="6" w:val="single"/>
              <w:left w:color="000000" w:space="0" w:sz="6" w:val="single"/>
              <w:bottom w:color="000000" w:space="0" w:sz="6" w:val="single"/>
              <w:right w:color="000000" w:space="0" w:sz="6" w:val="single"/>
            </w:tcBorders>
            <w:tcMar>
              <w:top w:w="120.0" w:type="dxa"/>
              <w:left w:w="180.0" w:type="dxa"/>
              <w:bottom w:w="120.0" w:type="dxa"/>
              <w:right w:w="180.0" w:type="dxa"/>
            </w:tcMar>
            <w:vAlign w:val="center"/>
          </w:tcPr>
          <w:p w:rsidR="00000000" w:rsidDel="00000000" w:rsidP="00000000" w:rsidRDefault="00000000" w:rsidRPr="00000000" w14:paraId="0000003C">
            <w:pPr>
              <w:spacing w:line="360" w:lineRule="auto"/>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11</w:t>
            </w:r>
          </w:p>
        </w:tc>
      </w:tr>
    </w:tbl>
    <w:p w:rsidR="00000000" w:rsidDel="00000000" w:rsidP="00000000" w:rsidRDefault="00000000" w:rsidRPr="00000000" w14:paraId="0000003D">
      <w:pPr>
        <w:spacing w:after="0" w:line="3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E">
      <w:pPr>
        <w:spacing w:after="0" w:line="3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F">
      <w:pPr>
        <w:spacing w:after="280" w:before="280" w:line="360" w:lineRule="auto"/>
        <w:rPr>
          <w:rFonts w:ascii="Arial" w:cs="Arial" w:eastAsia="Arial" w:hAnsi="Arial"/>
          <w:b w:val="1"/>
          <w:bCs w:val="1"/>
          <w:color w:val="ff0000"/>
          <w:u w:val="single"/>
        </w:rPr>
      </w:pPr>
      <w:r w:rsidDel="00000000" w:rsidR="00000000" w:rsidRPr="00000000">
        <w:rPr>
          <w:rtl w:val="0"/>
        </w:rPr>
      </w:r>
    </w:p>
    <w:p w:rsidR="00000000" w:rsidDel="00000000" w:rsidP="00000000" w:rsidRDefault="00000000" w:rsidRPr="00000000" w14:paraId="00000040">
      <w:pPr>
        <w:spacing w:after="280" w:before="280" w:line="360" w:lineRule="auto"/>
        <w:rPr>
          <w:rFonts w:ascii="Arial" w:cs="Arial" w:eastAsia="Arial" w:hAnsi="Arial"/>
          <w:b w:val="1"/>
          <w:bCs w:val="1"/>
          <w:color w:val="741b47"/>
          <w:u w:val="single"/>
        </w:rPr>
      </w:pPr>
      <w:r w:rsidDel="00000000" w:rsidR="00000000" w:rsidRPr="00000000">
        <w:rPr>
          <w:rFonts w:ascii="Arial" w:cs="Arial" w:eastAsia="Arial" w:hAnsi="Arial"/>
          <w:b w:val="1"/>
          <w:bCs w:val="1"/>
          <w:color w:val="741b47"/>
          <w:u w:val="single"/>
          <w:rtl w:val="0"/>
        </w:rPr>
        <w:t xml:space="preserve">1. Introduction</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Human Resource Management (HRM) plays a significant role in helping organisations respond to today’s changing business environment. Rapid technological developments, increasing competition for skilled employees and growing expectations surrounding diversity, equity and inclusion (DEI) require organisations to continually adapt their HR strategies to remain competitive. Effective HR practices not only support recruitment, employee development and retention but also contribute to higher levels of engagement, productivity and overall organisational performance (Armstrong and Taylor, 2023).</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report focuses on Waitrose &amp; Partners, a leading UK supermarket operating as part of the John Lewis Partnership. As an employee-owned organisation, Waitrose is recognised for its commitment to customer service, investment in its employees (known as Partners) and its long-term approach to business performance (John Lewis Partnership, 2025).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report examines three key organisational factors affecting Waitrose: adapting to technological advancements, talent acquisition and retention, and diversity, equity and inclusion. It then evaluates contemporary HR practices that could help address these challenges before critically assessing how managers can successfully implement these practices. Finally, practical recommendations are provided to support employee engagement, organisational effectiveness and sustainable business performance.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after="280" w:before="280" w:line="360" w:lineRule="auto"/>
        <w:rPr>
          <w:rFonts w:ascii="Arial" w:cs="Arial" w:eastAsia="Arial" w:hAnsi="Arial"/>
          <w:b w:val="1"/>
          <w:bCs w:val="1"/>
          <w:color w:val="741b47"/>
          <w:u w:val="single"/>
        </w:rPr>
      </w:pPr>
      <w:r w:rsidDel="00000000" w:rsidR="00000000" w:rsidRPr="00000000">
        <w:rPr>
          <w:rFonts w:ascii="Arial" w:cs="Arial" w:eastAsia="Arial" w:hAnsi="Arial"/>
          <w:b w:val="1"/>
          <w:bCs w:val="1"/>
          <w:color w:val="741b47"/>
          <w:u w:val="single"/>
          <w:rtl w:val="0"/>
        </w:rPr>
        <w:t xml:space="preserve">2. Key Organisational Factors Affecting Waitrose &amp; Partners</w:t>
      </w:r>
    </w:p>
    <w:p w:rsidR="00000000" w:rsidDel="00000000" w:rsidP="00000000" w:rsidRDefault="00000000" w:rsidRPr="00000000" w14:paraId="00000046">
      <w:pPr>
        <w:spacing w:after="280" w:before="280" w:line="360" w:lineRule="auto"/>
        <w:rPr>
          <w:rFonts w:ascii="Arial" w:cs="Arial" w:eastAsia="Arial" w:hAnsi="Arial"/>
          <w:b w:val="1"/>
          <w:bCs w:val="1"/>
          <w:i w:val="1"/>
          <w:iCs w:val="1"/>
          <w:color w:val="bf9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 2.1 Adapting to Technological Advancements</w:t>
      </w:r>
    </w:p>
    <w:p w:rsidR="00000000" w:rsidDel="00000000" w:rsidP="00000000" w:rsidRDefault="00000000" w:rsidRPr="00000000" w14:paraId="00000047">
      <w:pPr>
        <w:spacing w:after="280" w:before="280" w:line="360"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Technology continues to transform the retail sector by changing how organisations operate, communicate with customers and manage their workforce. For Waitrose &amp; Partners, digital developments such as online shopping, self-service checkouts, artificial intelligence (AI) and workforce management systems have improved operational efficiency while helping to meet changing customer expectations. The John Lewis Partnership (2025) highlights continued investment in digital transformation to strengthen both online retail operations and internal business processes, demonstrating the organisation’s commitment to adapting to a rapidly changing retail environment.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new technologies are introduced, employees must develop new digital skills and adapt to different ways of working. Without appropriate training, communication and ongoing support, employees may become resistant to change, lose confidence in using new systems or experience reduced productivity (Armstrong and Taylor, 2023). Managers must therefore ensure employees receive the training and support needed to adapt successfully.</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Another challenge for Waitrose is maintaining its reputation for excellent customer service while increasing the use of technology. Although automation can improve efficiency, reduce operational costs and streamline routine tasks, an overreliance on technology may reduce the personal interaction that many customers continue to value. Waitrose’s reputation for customer service means technology should enhance rather than replace human interaction.</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World Economic Forum (2025) highlights that continuous upskilling is increasingly important as organisations adopt new technologies. Investing in digital learning will help Waitrose maintain employee engagement and remain competitive. For Waitrose, investing in digital learning and supporting employees through technological change will be essential for maintaining employee engagement, delivering excellent customer service and remaining competitive within the UK retail sector.</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1"/>
          <w:iCs w:val="1"/>
          <w:color w:val="bf9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2.2 Talent acquisition and Retention </w:t>
      </w:r>
    </w:p>
    <w:p w:rsidR="00000000" w:rsidDel="00000000" w:rsidP="00000000" w:rsidRDefault="00000000" w:rsidRPr="00000000" w14:paraId="0000004C">
      <w:pPr>
        <w:spacing w:after="280" w:before="280" w:line="360" w:lineRule="auto"/>
        <w:rPr>
          <w:rFonts w:ascii="Arial" w:cs="Arial" w:eastAsia="Arial" w:hAnsi="Arial"/>
          <w:sz w:val="22"/>
          <w:szCs w:val="22"/>
        </w:rPr>
      </w:pPr>
      <w:r w:rsidDel="00000000" w:rsidR="00000000" w:rsidRPr="00000000">
        <w:rPr>
          <w:rFonts w:ascii="Arial" w:cs="Arial" w:eastAsia="Arial" w:hAnsi="Arial"/>
          <w:b w:val="1"/>
          <w:bCs w:val="1"/>
          <w:color w:val="b45f06"/>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Attracting and retaining </w:t>
      </w:r>
      <w:r w:rsidDel="00000000" w:rsidR="00000000" w:rsidRPr="00000000">
        <w:rPr>
          <w:rFonts w:ascii="Arial" w:cs="Arial" w:eastAsia="Arial" w:hAnsi="Arial"/>
          <w:sz w:val="22"/>
          <w:szCs w:val="22"/>
          <w:rtl w:val="0"/>
        </w:rPr>
        <w:t xml:space="preserve">skilled workers according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 the CIPD’s Resourcing and Talent Planning Report (2024), many UK organisations continue to experience recruitment and retention difficulties, with employees placing greater importance on career development, flexible working, wellbeing and organisational values alongside competitive pay. For Waitrose, attracting employees who are committed to delivering excellent customer service is essential to maintaining its reputation and competitive position.</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part of the John Lewis Partnership, Waitrose benefits from an employee-owned model where employees, known as Partners, share in the organisation’s success (John Lewis Partnership, 2025). This approach may encourage higher levels of engagement and commitment, but retaining talented employees remains an ongoing challenge. Guest (2017) argues that organisations investing in employee wellbeing and engagement are more likely to improve employee retention and overall organisational performance.</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sz w:val="22"/>
          <w:szCs w:val="22"/>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 staff turnover can increase recruitment and training costs, reduce team stability and negatively affect customer service (Torrington et al., 2023). Continuing to invest in employee development, career progression and recognition may strengthen retention and organisational performance.Taking a proactive approach to recruitment and retention may strengthen employee commitment and contribute to sustainable organisational performance.</w:t>
      </w:r>
      <w:r w:rsidDel="00000000" w:rsidR="00000000" w:rsidRPr="00000000">
        <w:rPr>
          <w:rtl w:val="0"/>
        </w:rPr>
      </w:r>
    </w:p>
    <w:p w:rsidR="00000000" w:rsidDel="00000000" w:rsidP="00000000" w:rsidRDefault="00000000" w:rsidRPr="00000000" w14:paraId="0000004F">
      <w:pPr>
        <w:spacing w:after="280" w:before="280" w:line="360" w:lineRule="auto"/>
        <w:rPr>
          <w:rFonts w:ascii="Arial" w:cs="Arial" w:eastAsia="Arial" w:hAnsi="Arial"/>
          <w:b w:val="1"/>
          <w:bCs w:val="1"/>
          <w:i w:val="1"/>
          <w:iCs w:val="1"/>
          <w:color w:val="bf9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 2.3 Diversity, Equity and Inclusion (DEI)</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sz w:val="22"/>
          <w:szCs w:val="22"/>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DEI is an important priority for organisations seeking to attract skilled employees and create inclusive workplaces that are valued and able to contribute to organisational success (Beardwell and Thompson, 2023). For a customer-facing retailer such as Waitrose, building an inclusive workforce can strengthen relationships with customers by bringing together a wider range of experiences, perspectives and ideas.</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John Lewis Partnership (2025) highlights its commitment to creating an inclusive workplace where all Partners feel they belong and have equal opportunities to succeed. Supporting this approach, ACAS (2024) states that inclusive workplaces can improve employee morale, reduce workplace conflict and encourage positive working relationships.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developing an inclusive workplace requires more than introducing policies or mandatory training. Challenges such as unconscious bias, unequal progression opportunities and underrepresentation in leadership positions may reduce the effectiveness of DEI initiatives if they are not addressed consistently (Bratton and Gold, 2024). Managers therefore play a key role in embedding inclusive behaviours through fair recruitment, equal access to development opportunities and open communication. Waitrose could look to strengthen employee wellbeing, enhance organisational reputation, and support long-term organisational performance.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spacing w:after="280" w:before="280" w:line="360" w:lineRule="auto"/>
        <w:rPr>
          <w:rFonts w:ascii="Arial" w:cs="Arial" w:eastAsia="Arial" w:hAnsi="Arial"/>
          <w:b w:val="1"/>
          <w:bCs w:val="1"/>
          <w:color w:val="741b47"/>
          <w:u w:val="single"/>
        </w:rPr>
      </w:pPr>
      <w:r w:rsidDel="00000000" w:rsidR="00000000" w:rsidRPr="00000000">
        <w:rPr>
          <w:rFonts w:ascii="Arial" w:cs="Arial" w:eastAsia="Arial" w:hAnsi="Arial"/>
          <w:b w:val="1"/>
          <w:bCs w:val="1"/>
          <w:color w:val="741b47"/>
          <w:u w:val="single"/>
          <w:rtl w:val="0"/>
        </w:rPr>
        <w:t xml:space="preserve">3. Evaluation of Contemporary HR Practices</w:t>
      </w:r>
    </w:p>
    <w:p w:rsidR="00000000" w:rsidDel="00000000" w:rsidP="00000000" w:rsidRDefault="00000000" w:rsidRPr="00000000" w14:paraId="00000055">
      <w:pPr>
        <w:spacing w:after="280" w:before="280" w:line="360" w:lineRule="auto"/>
        <w:rPr>
          <w:rFonts w:ascii="Arial" w:cs="Arial" w:eastAsia="Arial" w:hAnsi="Arial"/>
          <w:b w:val="1"/>
          <w:bCs w:val="1"/>
          <w:i w:val="1"/>
          <w:iCs w:val="1"/>
          <w:color w:val="bf9000"/>
        </w:rPr>
      </w:pPr>
      <w:r w:rsidDel="00000000" w:rsidR="00000000" w:rsidRPr="00000000">
        <w:rPr>
          <w:rFonts w:ascii="Arial" w:cs="Arial" w:eastAsia="Arial" w:hAnsi="Arial"/>
          <w:b w:val="1"/>
          <w:bCs w:val="1"/>
          <w:color w:val="741b47"/>
          <w:u w:val="single"/>
          <w:rtl w:val="0"/>
        </w:rPr>
        <w:t xml:space="preserve"> </w:t>
      </w:r>
      <w:r w:rsidDel="00000000" w:rsidR="00000000" w:rsidRPr="00000000">
        <w:rPr>
          <w:rFonts w:ascii="Arial" w:cs="Arial" w:eastAsia="Arial" w:hAnsi="Arial"/>
          <w:b w:val="1"/>
          <w:bCs w:val="1"/>
          <w:i w:val="1"/>
          <w:iCs w:val="1"/>
          <w:color w:val="bf9000"/>
          <w:rtl w:val="0"/>
        </w:rPr>
        <w:t xml:space="preserve">3.1 Digital HR Systems and Workforce Analytics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Digital HR systems and workforce analytics have become increasingly important for organisations seeking to improve efficiency and make more informed workforce decisions. The John Lewis Partnership (2025) has continued to invest in digital transformation to strengthen both its online retail operations and internal business processes. Digital HR platforms enable organisations to manage recruitment, training, performance reviews and employee records more efficiently, while workforce analytics can identify trends in employee turnover and engagement (Armstrong and Taylor, 2023; CIPD, 2024).</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key advantage of these systems is that they support evidence-based decision-making. For example, workforce data could help Waitrose identify stores experiencing high employee turnover or increased absence levels, allowing managers to introduce targeted support before these issues affect customer service or organisational performance. The CIPD’s People Analytics Factsheet (2024) highlights that workforce analytics can improve organisational decision-making by enabling HR professionals to use data to better understand workforce trends and evaluate the impact of HR practices.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Despite these advantages, workforce analytics should not replace managerial judgement. Data can identify patterns but cannot always explain the reasons behind employee behaviour or levels of engagement. Regular conversations, one-to-one meetings and employee feedback therefore remain essential for understanding workplace issues. Similarly, Ulrich et al. (2012) argue that HR professionals should use workforce data to inform strategic decision-making while maintaining a strong focus on people. Consequently, digital HR systems are most effective when they support, rather than replace, effective people management.</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spacing w:after="280" w:before="280" w:line="360" w:lineRule="auto"/>
        <w:rPr>
          <w:rFonts w:ascii="Arial" w:cs="Arial" w:eastAsia="Arial" w:hAnsi="Arial"/>
          <w:b w:val="1"/>
          <w:bCs w:val="1"/>
          <w:i w:val="1"/>
          <w:iCs w:val="1"/>
          <w:color w:val="bf9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3.2 Employer Branding, Employee Development and Retention Strategies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Employer branding refers to an organisation’s reputation as a place to work and can help attract and retain talented employees (Backhaus and Tikoo, 2004). As part of the John Lewis Partnership, Waitrose’s employee-owned model encourages employee commitment and supports its reputation as an employer. The Partnership states that employee ownership and investment in people remain central to its long-term strategy (John Lewis Partnership, 2025).</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Alongside a strong employer brand, investment in employee development, wellbeing and career progression can further improve retention. Training, mentoring and internal promotion help employees develop new skills and support career progression. Kahn (1990) suggests that employees are more likely to be engaged when they feel valued, supported and able to contribute meaningfully within the organisation. For Waitrose, investing in employee development may also reduce recruitment costs by encouraging internal progression and retaining experienced employees who already understand the organisation’s values and customer service expectations.</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However, employer branding alone is unlikely to improve retention if employees’ experiences do not reflect the organisation’s values. Development programmes also require investment and cannot guarantee employees will remain. Therefore, these initiatives should be supported by effective leadership and opportunities for career progression.</w:t>
      </w:r>
    </w:p>
    <w:p w:rsidR="00000000" w:rsidDel="00000000" w:rsidP="00000000" w:rsidRDefault="00000000" w:rsidRPr="00000000" w14:paraId="0000005E">
      <w:pPr>
        <w:spacing w:after="280" w:before="280" w:line="360" w:lineRule="auto"/>
        <w:rPr>
          <w:rFonts w:ascii="Arial" w:cs="Arial" w:eastAsia="Arial" w:hAnsi="Arial"/>
          <w:b w:val="1"/>
          <w:bCs w:val="1"/>
          <w:i w:val="1"/>
          <w:iCs w:val="1"/>
          <w:color w:val="bf9000"/>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i w:val="1"/>
          <w:iCs w:val="1"/>
          <w:rtl w:val="0"/>
        </w:rPr>
        <w:t xml:space="preserve"> </w:t>
      </w:r>
      <w:r w:rsidDel="00000000" w:rsidR="00000000" w:rsidRPr="00000000">
        <w:rPr>
          <w:rFonts w:ascii="Arial" w:cs="Arial" w:eastAsia="Arial" w:hAnsi="Arial"/>
          <w:b w:val="1"/>
          <w:bCs w:val="1"/>
          <w:i w:val="1"/>
          <w:iCs w:val="1"/>
          <w:color w:val="bf9000"/>
          <w:rtl w:val="0"/>
        </w:rPr>
        <w:t xml:space="preserve">3.3 Inclusive Recruitment and DEI Initiatives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Inclusive recruitment and DEI initiatives can help Waitrose attract talented employees and create a workplace where people feel valued and respected. Practices such as inclusive job advertisements, structured interviews and transparent promotion processes can reduce bias and improve equality of opportunity (ACAS, 2024).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John Lewis Partnership (2025) identifies inclusion as a key part of its organisational culture. Leadership development also plays an important role in ensuring these values are reflected in everyday management. Shore et al. (2018) argue that managers who demonstrate inclusive leadership are better equipped to support diverse teams, encourage collaboration and create a sense of belonging. This can improve employee engagement, strengthen teamwork and enhance the organisation’s reputation as an inclusive employer.</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introducing DEI initiatives alone is unlikely to create lasting organisational change. Their success depends on consistent implementation, regular monitoring and leadership accountability. Employees may become sceptical if inclusion is viewed as a symbolic exercise rather than a genuine organisational commitment. Waitrose should therefore review recruitment outcomes, promotion data and employee feedback to identify any barriers to progression and ensure its DEI strategy leads to meaningful and measurable improvements. </w:t>
      </w:r>
    </w:p>
    <w:p w:rsidR="00000000" w:rsidDel="00000000" w:rsidP="00000000" w:rsidRDefault="00000000" w:rsidRPr="00000000" w14:paraId="00000062">
      <w:pPr>
        <w:spacing w:after="280" w:before="280" w:line="360" w:lineRule="auto"/>
        <w:rPr>
          <w:rFonts w:ascii="Arial" w:cs="Arial" w:eastAsia="Arial" w:hAnsi="Arial"/>
          <w:b w:val="1"/>
          <w:bCs w:val="1"/>
          <w:color w:val="741b47"/>
          <w:u w:val="single"/>
        </w:rPr>
      </w:pPr>
      <w:r w:rsidDel="00000000" w:rsidR="00000000" w:rsidRPr="00000000">
        <w:rPr>
          <w:rFonts w:ascii="Arial" w:cs="Arial" w:eastAsia="Arial" w:hAnsi="Arial"/>
          <w:b w:val="1"/>
          <w:bCs w:val="1"/>
          <w:color w:val="741b47"/>
          <w:u w:val="single"/>
          <w:rtl w:val="0"/>
        </w:rPr>
        <w:t xml:space="preserve">4. Critical Evaluation of Managerial Implementation</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success of contemporary HR practices depends not only on the strategies an organisation adopts but also on how effectively they are implemented by managers. Even well-designed initiatives relating to technology, recruitment or diversity are unlikely to achieve their intended outcomes if managers lack the skills, commitment or resources to apply them consistently. For Waitrose, managers play a vital role in translating organisational policies into everyday practice while balancing organisational objectives with the needs of employees.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1"/>
          <w:iCs w:val="1"/>
          <w:color w:val="bf9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4.1 Leadership Accountability</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Leadership accountability</w:t>
      </w:r>
      <w:r w:rsidDel="00000000" w:rsidR="00000000" w:rsidRPr="00000000">
        <w:rPr>
          <w:rFonts w:ascii="Arial" w:cs="Arial" w:eastAsia="Arial" w:hAnsi="Arial"/>
          <w:b w:val="0"/>
          <w:bCs w:val="0"/>
          <w:i w:val="0"/>
          <w:iCs w:val="0"/>
          <w:smallCaps w:val="0"/>
          <w:strike w:val="0"/>
          <w:color w:val="0000ff"/>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one of the most important factors influencing successful implementation. Managers must reflect organisational values in recruitment, performance management and employee development. For example, if Waitrose aims to create a more inclusive workplace, managers must ensure recruitment, promotion and development opportunities are fair, transparent and based on merit. Armstrong and Taylor (2023) argue that employees are more likely to support organisational initiatives when leaders consistently demonstrate commitment through their actions. However, inconsistent implementation across stores may reduce employee trust and engagement.</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1"/>
          <w:iCs w:val="1"/>
          <w:color w:val="bf9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 4.2 Communication strategies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Effective communication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equally important when introducing organisational change. Implementing new technologies, HR systems or working practices can create uncertainty if employees do not understand why changes are taking place or how they may affect their roles. Managers should therefore communicate clearly, provide opportunities for employees to ask questions and actively encourage feedback throughout the change process. Nevertheless, communication alone is unlikely to overcome concerns if employees believe their feedback is ignored or if change is introduced without sufficient support.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1"/>
          <w:iCs w:val="1"/>
          <w:color w:val="bf9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4.3 Monitoring and performance measurement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Monitoring and evaluating HR practices is another important managerial responsibility. Waitrose could monitor employee turnover, engagement, internal promotion and training completion to evaluate its HR practices. The CIPD’s People Analytics Factsheet (2024) highlights that workforce data can support evidence-based decision-making and help organisations evaluate the effectiveness of people management practices. However, managers should avoid relying solely on quantitative data, as performance measures cannot always explain employee motivation, morale or workplace relationships. Ulrich et al. (2012) also argue that workforce analytics should support strategic decision-making rather than replace professional judgement.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i w:val="1"/>
          <w:iCs w:val="1"/>
          <w:color w:val="ff0000"/>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i w:val="1"/>
          <w:iCs w:val="1"/>
          <w:color w:val="bf9000"/>
          <w:rtl w:val="0"/>
        </w:rPr>
        <w:t xml:space="preserve">4.4 Organisational culture</w:t>
      </w:r>
      <w:r w:rsidDel="00000000" w:rsidR="00000000" w:rsidRPr="00000000">
        <w:rPr>
          <w:rFonts w:ascii="Arial" w:cs="Arial" w:eastAsia="Arial" w:hAnsi="Arial"/>
          <w:b w:val="1"/>
          <w:bCs w:val="1"/>
          <w:i w:val="1"/>
          <w:iCs w:val="1"/>
          <w:color w:val="ff0000"/>
          <w:rtl w:val="0"/>
        </w:rPr>
        <w:t xml:space="preserve">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rganisational culture can either support or limit the success of HR practices. A collaborative and inclusive culture is more likely to support employee engagement and organisational change. The John Lewis Partnership (2025) identifies employee ownership and investment in its Partners as central to its organisational culture, providing a strong foundation for implementing people-focused HR practices. However, limited resources, inconsistent management and resistance to change may still affect implementation. Guest (2017) suggests that supportive organisational cultures improve employee wellbeing and organisational performance. Overall, effective leadership, communication and continuous evaluation are essential for successfully implementing HR practices at Waitrose.</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color w:val="741b47"/>
          <w:u w:val="single"/>
        </w:rPr>
      </w:pPr>
      <w:r w:rsidDel="00000000" w:rsidR="00000000" w:rsidRPr="00000000">
        <w:rPr>
          <w:rFonts w:ascii="Arial" w:cs="Arial" w:eastAsia="Arial" w:hAnsi="Arial"/>
          <w:b w:val="1"/>
          <w:bCs w:val="1"/>
          <w:color w:val="bf9000"/>
          <w:rtl w:val="0"/>
        </w:rPr>
        <w:t xml:space="preserve"> </w:t>
      </w:r>
      <w:r w:rsidDel="00000000" w:rsidR="00000000" w:rsidRPr="00000000">
        <w:rPr>
          <w:rFonts w:ascii="Arial" w:cs="Arial" w:eastAsia="Arial" w:hAnsi="Arial"/>
          <w:b w:val="1"/>
          <w:bCs w:val="1"/>
          <w:color w:val="741b47"/>
          <w:u w:val="single"/>
          <w:rtl w:val="0"/>
        </w:rPr>
        <w:t xml:space="preserve">5. Conclusion</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report has examined the key Human Resource Management challenges facing Waitrose &amp; Partners, focusing on technological advancements, talent acquisition and retention, and diversity, equity and inclusion. Digital HR systems, employee development, employer branding and inclusive recruitment can support organisational success when implemented effectively by managers. By continuing to invest in its employees, embracing technological change and maintaining an inclusive organisational culture, Waitrose will be better positioned to strengthen employee engagement, improve organisational performance and remain competitive within the evolving UK retail sector.</w:t>
      </w:r>
    </w:p>
    <w:p w:rsidR="00000000" w:rsidDel="00000000" w:rsidP="00000000" w:rsidRDefault="00000000" w:rsidRPr="00000000" w14:paraId="0000006E">
      <w:pPr>
        <w:spacing w:after="280" w:before="280" w:line="360" w:lineRule="auto"/>
        <w:rPr>
          <w:rFonts w:ascii="Arial" w:cs="Arial" w:eastAsia="Arial" w:hAnsi="Arial"/>
          <w:b w:val="1"/>
          <w:bCs w:val="1"/>
          <w:color w:val="741b47"/>
          <w:u w:val="single"/>
        </w:rPr>
      </w:pPr>
      <w:r w:rsidDel="00000000" w:rsidR="00000000" w:rsidRPr="00000000">
        <w:rPr>
          <w:rFonts w:ascii="Arial" w:cs="Arial" w:eastAsia="Arial" w:hAnsi="Arial"/>
          <w:b w:val="1"/>
          <w:bCs w:val="1"/>
          <w:color w:val="741b47"/>
          <w:u w:val="single"/>
          <w:rtl w:val="0"/>
        </w:rPr>
        <w:t xml:space="preserve">6. Recommendations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sz w:val="22"/>
          <w:szCs w:val="22"/>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Based on the findings of this report, Waitrose &amp; Partners should continue investing in digital learning and HR technology to help employees adapt to future technological developments while maintaining high standards of customer service. The organisation should also strengthen employee development by expanding mentoring opportunities, leadership training and internal promotion pathways to support career progression and improve employee retention. In addition, Waitrose should regularly review its diversity, equity and inclusion initiatives by monitoring recruitment, promotion and employee feedback to ensure its policies continue to create meaningful and measurable improvements across the organisation. Finally, managers should receive ongoing training in communication, change management and inclusive leadership to strengthen leadership accountability and ensure HR practices are implemented consistently across the business. By adopting these recommendations, Waitrose can continue to develop a skilled, engaged and inclusive workforce while supporting sustainable organisational performance in an increasingly competitive retail sector.</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1"/>
          <w:bCs w:val="1"/>
          <w:color w:val="741b47"/>
          <w:u w:val="single"/>
        </w:rPr>
      </w:pPr>
      <w:r w:rsidDel="00000000" w:rsidR="00000000" w:rsidRPr="00000000">
        <w:rPr>
          <w:rFonts w:ascii="Arial" w:cs="Arial" w:eastAsia="Arial" w:hAnsi="Arial"/>
          <w:b w:val="1"/>
          <w:bCs w:val="1"/>
          <w:color w:val="741b47"/>
          <w:u w:val="single"/>
          <w:rtl w:val="0"/>
        </w:rPr>
        <w:t xml:space="preserve">References</w:t>
      </w:r>
    </w:p>
    <w:p w:rsidR="00000000" w:rsidDel="00000000" w:rsidP="00000000" w:rsidRDefault="00000000" w:rsidRPr="00000000" w14:paraId="00000072">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Advisory, Conciliation and Arbitration Service (ACAS) (2024) </w:t>
      </w:r>
      <w:r w:rsidDel="00000000" w:rsidR="00000000" w:rsidRPr="00000000">
        <w:rPr>
          <w:rFonts w:ascii="Arial" w:cs="Arial" w:eastAsia="Arial" w:hAnsi="Arial"/>
          <w:i w:val="1"/>
          <w:iCs w:val="1"/>
          <w:sz w:val="22"/>
          <w:szCs w:val="22"/>
          <w:rtl w:val="0"/>
        </w:rPr>
        <w:t xml:space="preserve">Equality, Diversity and Inclusion.</w:t>
      </w:r>
      <w:r w:rsidDel="00000000" w:rsidR="00000000" w:rsidRPr="00000000">
        <w:rPr>
          <w:rFonts w:ascii="Arial" w:cs="Arial" w:eastAsia="Arial" w:hAnsi="Arial"/>
          <w:sz w:val="22"/>
          <w:szCs w:val="22"/>
          <w:rtl w:val="0"/>
        </w:rPr>
        <w:t xml:space="preserve"> Available at: </w:t>
      </w:r>
      <w:hyperlink r:id="rId8">
        <w:r w:rsidDel="00000000" w:rsidR="00000000" w:rsidRPr="00000000">
          <w:rPr>
            <w:rFonts w:ascii="Arial" w:cs="Arial" w:eastAsia="Arial" w:hAnsi="Arial"/>
            <w:color w:val="467886"/>
            <w:sz w:val="22"/>
            <w:szCs w:val="22"/>
            <w:u w:val="single"/>
            <w:rtl w:val="0"/>
          </w:rPr>
          <w:t xml:space="preserve">https://www.acas.org.uk/improving-equality-diversity-and-inclusion</w:t>
        </w:r>
      </w:hyperlink>
      <w:r w:rsidDel="00000000" w:rsidR="00000000" w:rsidRPr="00000000">
        <w:rPr>
          <w:rFonts w:ascii="Arial" w:cs="Arial" w:eastAsia="Arial" w:hAnsi="Arial"/>
          <w:sz w:val="22"/>
          <w:szCs w:val="22"/>
          <w:rtl w:val="0"/>
        </w:rPr>
        <w:t xml:space="preserve">(Accessed: 29 July 2026).</w:t>
      </w:r>
    </w:p>
    <w:p w:rsidR="00000000" w:rsidDel="00000000" w:rsidP="00000000" w:rsidRDefault="00000000" w:rsidRPr="00000000" w14:paraId="00000073">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Armstrong, M. and Taylor, S. (2023) </w:t>
      </w:r>
      <w:r w:rsidDel="00000000" w:rsidR="00000000" w:rsidRPr="00000000">
        <w:rPr>
          <w:rFonts w:ascii="Arial" w:cs="Arial" w:eastAsia="Arial" w:hAnsi="Arial"/>
          <w:i w:val="1"/>
          <w:iCs w:val="1"/>
          <w:sz w:val="22"/>
          <w:szCs w:val="22"/>
          <w:rtl w:val="0"/>
        </w:rPr>
        <w:t xml:space="preserve">Armstrong’s Handbook of Human Resource Management Practice. </w:t>
      </w:r>
      <w:r w:rsidDel="00000000" w:rsidR="00000000" w:rsidRPr="00000000">
        <w:rPr>
          <w:rFonts w:ascii="Arial" w:cs="Arial" w:eastAsia="Arial" w:hAnsi="Arial"/>
          <w:sz w:val="22"/>
          <w:szCs w:val="22"/>
          <w:rtl w:val="0"/>
        </w:rPr>
        <w:t xml:space="preserve">16th edition. London: Kogan Page.</w:t>
      </w:r>
    </w:p>
    <w:p w:rsidR="00000000" w:rsidDel="00000000" w:rsidP="00000000" w:rsidRDefault="00000000" w:rsidRPr="00000000" w14:paraId="00000074">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Backhaus, K. and Tikoo, S. (2004) ‘Conceptualizing and researching employer branding’, </w:t>
      </w:r>
      <w:r w:rsidDel="00000000" w:rsidR="00000000" w:rsidRPr="00000000">
        <w:rPr>
          <w:rFonts w:ascii="Arial" w:cs="Arial" w:eastAsia="Arial" w:hAnsi="Arial"/>
          <w:i w:val="1"/>
          <w:iCs w:val="1"/>
          <w:sz w:val="22"/>
          <w:szCs w:val="22"/>
          <w:rtl w:val="0"/>
        </w:rPr>
        <w:t xml:space="preserve">Career Development International,</w:t>
      </w:r>
      <w:r w:rsidDel="00000000" w:rsidR="00000000" w:rsidRPr="00000000">
        <w:rPr>
          <w:rFonts w:ascii="Arial" w:cs="Arial" w:eastAsia="Arial" w:hAnsi="Arial"/>
          <w:sz w:val="22"/>
          <w:szCs w:val="22"/>
          <w:rtl w:val="0"/>
        </w:rPr>
        <w:t xml:space="preserve"> 9(5), pp. 501–517.</w:t>
      </w:r>
    </w:p>
    <w:p w:rsidR="00000000" w:rsidDel="00000000" w:rsidP="00000000" w:rsidRDefault="00000000" w:rsidRPr="00000000" w14:paraId="00000075">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Beardwell, J. and Thompson, A. (2023) </w:t>
      </w:r>
      <w:r w:rsidDel="00000000" w:rsidR="00000000" w:rsidRPr="00000000">
        <w:rPr>
          <w:rFonts w:ascii="Arial" w:cs="Arial" w:eastAsia="Arial" w:hAnsi="Arial"/>
          <w:i w:val="1"/>
          <w:iCs w:val="1"/>
          <w:sz w:val="22"/>
          <w:szCs w:val="22"/>
          <w:rtl w:val="0"/>
        </w:rPr>
        <w:t xml:space="preserve">Human Resource Management. </w:t>
      </w:r>
      <w:r w:rsidDel="00000000" w:rsidR="00000000" w:rsidRPr="00000000">
        <w:rPr>
          <w:rFonts w:ascii="Arial" w:cs="Arial" w:eastAsia="Arial" w:hAnsi="Arial"/>
          <w:sz w:val="22"/>
          <w:szCs w:val="22"/>
          <w:rtl w:val="0"/>
        </w:rPr>
        <w:t xml:space="preserve">10</w:t>
      </w:r>
      <w:r w:rsidDel="00000000" w:rsidR="00000000" w:rsidRPr="00000000">
        <w:rPr>
          <w:rFonts w:ascii="Arial" w:cs="Arial" w:eastAsia="Arial" w:hAnsi="Arial"/>
          <w:sz w:val="22"/>
          <w:szCs w:val="22"/>
          <w:vertAlign w:val="superscript"/>
          <w:rtl w:val="0"/>
        </w:rPr>
        <w:t xml:space="preserve">th </w:t>
      </w:r>
      <w:r w:rsidDel="00000000" w:rsidR="00000000" w:rsidRPr="00000000">
        <w:rPr>
          <w:rFonts w:ascii="Arial" w:cs="Arial" w:eastAsia="Arial" w:hAnsi="Arial"/>
          <w:sz w:val="22"/>
          <w:szCs w:val="22"/>
          <w:rtl w:val="0"/>
        </w:rPr>
        <w:t xml:space="preserve">edition. Harlow: Pearson.</w:t>
      </w:r>
    </w:p>
    <w:p w:rsidR="00000000" w:rsidDel="00000000" w:rsidP="00000000" w:rsidRDefault="00000000" w:rsidRPr="00000000" w14:paraId="00000076">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Bratton, J. and Gold, J. (2024) </w:t>
      </w:r>
      <w:r w:rsidDel="00000000" w:rsidR="00000000" w:rsidRPr="00000000">
        <w:rPr>
          <w:rFonts w:ascii="Arial" w:cs="Arial" w:eastAsia="Arial" w:hAnsi="Arial"/>
          <w:i w:val="1"/>
          <w:iCs w:val="1"/>
          <w:sz w:val="22"/>
          <w:szCs w:val="22"/>
          <w:rtl w:val="0"/>
        </w:rPr>
        <w:t xml:space="preserve">Human Resource Management: Theory and Practice</w:t>
      </w:r>
      <w:r w:rsidDel="00000000" w:rsidR="00000000" w:rsidRPr="00000000">
        <w:rPr>
          <w:rFonts w:ascii="Arial" w:cs="Arial" w:eastAsia="Arial" w:hAnsi="Arial"/>
          <w:sz w:val="22"/>
          <w:szCs w:val="22"/>
          <w:rtl w:val="0"/>
        </w:rPr>
        <w:t xml:space="preserve">. 8</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edition. London: Palgrave Macmillan.</w:t>
      </w:r>
    </w:p>
    <w:p w:rsidR="00000000" w:rsidDel="00000000" w:rsidP="00000000" w:rsidRDefault="00000000" w:rsidRPr="00000000" w14:paraId="00000077">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Chartered Institute of Personnel and Development (CIPD) (2024) </w:t>
      </w:r>
      <w:r w:rsidDel="00000000" w:rsidR="00000000" w:rsidRPr="00000000">
        <w:rPr>
          <w:rFonts w:ascii="Arial" w:cs="Arial" w:eastAsia="Arial" w:hAnsi="Arial"/>
          <w:i w:val="1"/>
          <w:iCs w:val="1"/>
          <w:sz w:val="22"/>
          <w:szCs w:val="22"/>
          <w:rtl w:val="0"/>
        </w:rPr>
        <w:t xml:space="preserve">People Analytics factsheet. </w:t>
      </w:r>
      <w:r w:rsidDel="00000000" w:rsidR="00000000" w:rsidRPr="00000000">
        <w:rPr>
          <w:rFonts w:ascii="Arial" w:cs="Arial" w:eastAsia="Arial" w:hAnsi="Arial"/>
          <w:sz w:val="22"/>
          <w:szCs w:val="22"/>
          <w:rtl w:val="0"/>
        </w:rPr>
        <w:t xml:space="preserve">Available at: </w:t>
      </w:r>
      <w:hyperlink r:id="rId9">
        <w:r w:rsidDel="00000000" w:rsidR="00000000" w:rsidRPr="00000000">
          <w:rPr>
            <w:rFonts w:ascii="Arial" w:cs="Arial" w:eastAsia="Arial" w:hAnsi="Arial"/>
            <w:color w:val="467886"/>
            <w:sz w:val="22"/>
            <w:szCs w:val="22"/>
            <w:u w:val="single"/>
            <w:rtl w:val="0"/>
          </w:rPr>
          <w:t xml:space="preserve">https://www.cipd.org/uk/knowledge/factsheets/analytics-factsheet/</w:t>
        </w:r>
      </w:hyperlink>
      <w:r w:rsidDel="00000000" w:rsidR="00000000" w:rsidRPr="00000000">
        <w:rPr>
          <w:rFonts w:ascii="Arial" w:cs="Arial" w:eastAsia="Arial" w:hAnsi="Arial"/>
          <w:sz w:val="22"/>
          <w:szCs w:val="22"/>
          <w:rtl w:val="0"/>
        </w:rPr>
        <w:t xml:space="preserve"> (Accessed: 29 July 2026).</w:t>
      </w:r>
    </w:p>
    <w:p w:rsidR="00000000" w:rsidDel="00000000" w:rsidP="00000000" w:rsidRDefault="00000000" w:rsidRPr="00000000" w14:paraId="00000078">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Guest, D.E. (2017) ‘Human resource management and employee well-being: Towards a new analytic framework’, </w:t>
      </w:r>
      <w:r w:rsidDel="00000000" w:rsidR="00000000" w:rsidRPr="00000000">
        <w:rPr>
          <w:rFonts w:ascii="Arial" w:cs="Arial" w:eastAsia="Arial" w:hAnsi="Arial"/>
          <w:i w:val="1"/>
          <w:iCs w:val="1"/>
          <w:sz w:val="22"/>
          <w:szCs w:val="22"/>
          <w:rtl w:val="0"/>
        </w:rPr>
        <w:t xml:space="preserve">Human Resource Management Journal,</w:t>
      </w:r>
      <w:r w:rsidDel="00000000" w:rsidR="00000000" w:rsidRPr="00000000">
        <w:rPr>
          <w:rFonts w:ascii="Arial" w:cs="Arial" w:eastAsia="Arial" w:hAnsi="Arial"/>
          <w:sz w:val="22"/>
          <w:szCs w:val="22"/>
          <w:rtl w:val="0"/>
        </w:rPr>
        <w:t xml:space="preserve"> 27(1), pp. 22–38.</w:t>
      </w:r>
    </w:p>
    <w:p w:rsidR="00000000" w:rsidDel="00000000" w:rsidP="00000000" w:rsidRDefault="00000000" w:rsidRPr="00000000" w14:paraId="00000079">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Hogarth, A. and McCartney, C. (2024) </w:t>
      </w:r>
      <w:r w:rsidDel="00000000" w:rsidR="00000000" w:rsidRPr="00000000">
        <w:rPr>
          <w:rFonts w:ascii="Arial" w:cs="Arial" w:eastAsia="Arial" w:hAnsi="Arial"/>
          <w:i w:val="1"/>
          <w:iCs w:val="1"/>
          <w:sz w:val="22"/>
          <w:szCs w:val="22"/>
          <w:rtl w:val="0"/>
        </w:rPr>
        <w:t xml:space="preserve">Resourcing and Talent Planning Report 2024</w:t>
      </w:r>
      <w:r w:rsidDel="00000000" w:rsidR="00000000" w:rsidRPr="00000000">
        <w:rPr>
          <w:rFonts w:ascii="Arial" w:cs="Arial" w:eastAsia="Arial" w:hAnsi="Arial"/>
          <w:sz w:val="22"/>
          <w:szCs w:val="22"/>
          <w:rtl w:val="0"/>
        </w:rPr>
        <w:t xml:space="preserve">. London: Chartered Institute of Personnel and Development. Available at: https://www.cipd.org/uk/knowledge/reports/resourcing-surveys/ (Accessed: 29 July 2026).</w:t>
      </w:r>
    </w:p>
    <w:p w:rsidR="00000000" w:rsidDel="00000000" w:rsidP="00000000" w:rsidRDefault="00000000" w:rsidRPr="00000000" w14:paraId="0000007A">
      <w:pPr>
        <w:spacing w:after="280" w:before="28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John Lewis Partnership (2025) </w:t>
      </w:r>
      <w:r w:rsidDel="00000000" w:rsidR="00000000" w:rsidRPr="00000000">
        <w:rPr>
          <w:rFonts w:ascii="Arial" w:cs="Arial" w:eastAsia="Arial" w:hAnsi="Arial"/>
          <w:i w:val="1"/>
          <w:iCs w:val="1"/>
          <w:sz w:val="22"/>
          <w:szCs w:val="22"/>
          <w:rtl w:val="0"/>
        </w:rPr>
        <w:t xml:space="preserve">Annual Report and Accounts 2025. </w:t>
      </w:r>
      <w:r w:rsidDel="00000000" w:rsidR="00000000" w:rsidRPr="00000000">
        <w:rPr>
          <w:rFonts w:ascii="Arial" w:cs="Arial" w:eastAsia="Arial" w:hAnsi="Arial"/>
          <w:sz w:val="22"/>
          <w:szCs w:val="22"/>
          <w:rtl w:val="0"/>
        </w:rPr>
        <w:t xml:space="preserve">Available at:</w:t>
      </w:r>
      <w:hyperlink r:id="rId10">
        <w:r w:rsidDel="00000000" w:rsidR="00000000" w:rsidRPr="00000000">
          <w:rPr>
            <w:rFonts w:ascii="Arial" w:cs="Arial" w:eastAsia="Arial" w:hAnsi="Arial"/>
            <w:color w:val="467886"/>
            <w:sz w:val="22"/>
            <w:szCs w:val="22"/>
            <w:u w:val="single"/>
            <w:rtl w:val="0"/>
          </w:rPr>
          <w:t xml:space="preserve"> https://www.johnlewispartnership.co.uk/~/media/Files/J/john-lewis/corp/documents/john-lewis-plc-ara-24-25-signed.pdf</w:t>
        </w:r>
      </w:hyperlink>
      <w:r w:rsidDel="00000000" w:rsidR="00000000" w:rsidRPr="00000000">
        <w:rPr>
          <w:rFonts w:ascii="Arial" w:cs="Arial" w:eastAsia="Arial" w:hAnsi="Arial"/>
          <w:sz w:val="22"/>
          <w:szCs w:val="22"/>
          <w:rtl w:val="0"/>
        </w:rPr>
        <w:t xml:space="preserve"> (Accessed: 29 July 2026).</w:t>
      </w:r>
    </w:p>
    <w:p w:rsidR="00000000" w:rsidDel="00000000" w:rsidP="00000000" w:rsidRDefault="00000000" w:rsidRPr="00000000" w14:paraId="0000007B">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Kahn, W.A. (1990) ‘Psychological conditions of personal engagement and disengagement at work’, </w:t>
      </w:r>
      <w:r w:rsidDel="00000000" w:rsidR="00000000" w:rsidRPr="00000000">
        <w:rPr>
          <w:rFonts w:ascii="Arial" w:cs="Arial" w:eastAsia="Arial" w:hAnsi="Arial"/>
          <w:i w:val="1"/>
          <w:iCs w:val="1"/>
          <w:sz w:val="22"/>
          <w:szCs w:val="22"/>
          <w:rtl w:val="0"/>
        </w:rPr>
        <w:t xml:space="preserve">Academy of Management Journal,</w:t>
      </w:r>
      <w:r w:rsidDel="00000000" w:rsidR="00000000" w:rsidRPr="00000000">
        <w:rPr>
          <w:rFonts w:ascii="Arial" w:cs="Arial" w:eastAsia="Arial" w:hAnsi="Arial"/>
          <w:sz w:val="22"/>
          <w:szCs w:val="22"/>
          <w:rtl w:val="0"/>
        </w:rPr>
        <w:t xml:space="preserve"> 33(4), pp. 692–724.</w:t>
      </w:r>
    </w:p>
    <w:p w:rsidR="00000000" w:rsidDel="00000000" w:rsidP="00000000" w:rsidRDefault="00000000" w:rsidRPr="00000000" w14:paraId="0000007C">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Shore, L.M., Cleveland, J.N. and Sanchez, D. (2018) ‘Inclusive workplaces: A review and model’, </w:t>
      </w:r>
      <w:r w:rsidDel="00000000" w:rsidR="00000000" w:rsidRPr="00000000">
        <w:rPr>
          <w:rFonts w:ascii="Arial" w:cs="Arial" w:eastAsia="Arial" w:hAnsi="Arial"/>
          <w:i w:val="1"/>
          <w:iCs w:val="1"/>
          <w:sz w:val="22"/>
          <w:szCs w:val="22"/>
          <w:rtl w:val="0"/>
        </w:rPr>
        <w:t xml:space="preserve">Human Resource Management Review,</w:t>
      </w:r>
      <w:r w:rsidDel="00000000" w:rsidR="00000000" w:rsidRPr="00000000">
        <w:rPr>
          <w:rFonts w:ascii="Arial" w:cs="Arial" w:eastAsia="Arial" w:hAnsi="Arial"/>
          <w:sz w:val="22"/>
          <w:szCs w:val="22"/>
          <w:rtl w:val="0"/>
        </w:rPr>
        <w:t xml:space="preserve"> 28(2), pp. 176–189.</w:t>
      </w:r>
    </w:p>
    <w:p w:rsidR="00000000" w:rsidDel="00000000" w:rsidP="00000000" w:rsidRDefault="00000000" w:rsidRPr="00000000" w14:paraId="0000007D">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Torrington, D., Hall, L., Taylor, S. and Atkinson, C. (2023) </w:t>
      </w:r>
      <w:r w:rsidDel="00000000" w:rsidR="00000000" w:rsidRPr="00000000">
        <w:rPr>
          <w:rFonts w:ascii="Arial" w:cs="Arial" w:eastAsia="Arial" w:hAnsi="Arial"/>
          <w:i w:val="1"/>
          <w:iCs w:val="1"/>
          <w:sz w:val="22"/>
          <w:szCs w:val="22"/>
          <w:rtl w:val="0"/>
        </w:rPr>
        <w:t xml:space="preserve">Human Resource Management. </w:t>
      </w:r>
      <w:r w:rsidDel="00000000" w:rsidR="00000000" w:rsidRPr="00000000">
        <w:rPr>
          <w:rFonts w:ascii="Arial" w:cs="Arial" w:eastAsia="Arial" w:hAnsi="Arial"/>
          <w:sz w:val="22"/>
          <w:szCs w:val="22"/>
          <w:rtl w:val="0"/>
        </w:rPr>
        <w:t xml:space="preserve">12th edition. Harlow: Pearson.</w:t>
      </w:r>
    </w:p>
    <w:p w:rsidR="00000000" w:rsidDel="00000000" w:rsidP="00000000" w:rsidRDefault="00000000" w:rsidRPr="00000000" w14:paraId="0000007E">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Ulrich, D., Younger, J., Brockbank, W. and Ulrich, M. (2012) </w:t>
      </w:r>
      <w:r w:rsidDel="00000000" w:rsidR="00000000" w:rsidRPr="00000000">
        <w:rPr>
          <w:rFonts w:ascii="Arial" w:cs="Arial" w:eastAsia="Arial" w:hAnsi="Arial"/>
          <w:i w:val="1"/>
          <w:iCs w:val="1"/>
          <w:sz w:val="22"/>
          <w:szCs w:val="22"/>
          <w:rtl w:val="0"/>
        </w:rPr>
        <w:t xml:space="preserve">HR from the Outside In: Six Competencies for the Future of Human Resources. </w:t>
      </w:r>
      <w:r w:rsidDel="00000000" w:rsidR="00000000" w:rsidRPr="00000000">
        <w:rPr>
          <w:rFonts w:ascii="Arial" w:cs="Arial" w:eastAsia="Arial" w:hAnsi="Arial"/>
          <w:sz w:val="22"/>
          <w:szCs w:val="22"/>
          <w:rtl w:val="0"/>
        </w:rPr>
        <w:t xml:space="preserve">New York: McGraw-Hill.</w:t>
      </w:r>
    </w:p>
    <w:p w:rsidR="00000000" w:rsidDel="00000000" w:rsidP="00000000" w:rsidRDefault="00000000" w:rsidRPr="00000000" w14:paraId="0000007F">
      <w:pPr>
        <w:spacing w:after="280" w:before="28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World Economic Forum (2025) </w:t>
      </w:r>
      <w:r w:rsidDel="00000000" w:rsidR="00000000" w:rsidRPr="00000000">
        <w:rPr>
          <w:rFonts w:ascii="Arial" w:cs="Arial" w:eastAsia="Arial" w:hAnsi="Arial"/>
          <w:i w:val="1"/>
          <w:iCs w:val="1"/>
          <w:sz w:val="22"/>
          <w:szCs w:val="22"/>
          <w:rtl w:val="0"/>
        </w:rPr>
        <w:t xml:space="preserve">The Future of Jobs Report 2025.</w:t>
      </w:r>
      <w:r w:rsidDel="00000000" w:rsidR="00000000" w:rsidRPr="00000000">
        <w:rPr>
          <w:rFonts w:ascii="Arial" w:cs="Arial" w:eastAsia="Arial" w:hAnsi="Arial"/>
          <w:sz w:val="22"/>
          <w:szCs w:val="22"/>
          <w:rtl w:val="0"/>
        </w:rPr>
        <w:t xml:space="preserve"> Geneva: World Economic Forum.</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spacing w:line="360" w:lineRule="auto"/>
        <w:rPr>
          <w:rFonts w:ascii="Arial" w:cs="Arial" w:eastAsia="Arial" w:hAnsi="Arial"/>
        </w:rPr>
      </w:pPr>
      <w:r w:rsidDel="00000000" w:rsidR="00000000" w:rsidRPr="00000000">
        <w:rPr>
          <w:rtl w:val="0"/>
        </w:rPr>
      </w:r>
    </w:p>
    <w:sectPr>
      <w:footerReference r:id="rId11" w:type="defaul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 w:name="-webkit-standar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60.0" w:type="dxa"/>
        <w:left w:w="160.0" w:type="dxa"/>
        <w:bottom w:w="160.0" w:type="dxa"/>
        <w:right w:w="160.0" w:type="dxa"/>
      </w:tblCellMar>
    </w:tblPr>
  </w:style>
  <w:style w:type="table" w:styleId="Table1">
    <w:basedOn w:val="TableNormal"/>
    <w:tblPr>
      <w:tblStyleRowBandSize w:val="1"/>
      <w:tblStyleColBandSize w:val="1"/>
      <w:tblCellMar>
        <w:top w:w="160.0" w:type="dxa"/>
        <w:left w:w="160.0" w:type="dxa"/>
        <w:bottom w:w="160.0" w:type="dxa"/>
        <w:right w:w="160.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60.0" w:type="dxa"/>
        <w:left w:w="160.0" w:type="dxa"/>
        <w:bottom w:w="160.0" w:type="dxa"/>
        <w:right w:w="16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johnlewispartnership.co.uk/~/media/Files/J/john-lewis/corp/documents/john-lewis-plc-ara-24-25-signed.pdf" TargetMode="External"/><Relationship Id="rId12" Type="http://schemas.openxmlformats.org/officeDocument/2006/relationships/footer" Target="footer2.xml"/><Relationship Id="rId9" Type="http://schemas.openxmlformats.org/officeDocument/2006/relationships/hyperlink" Target="https://www.cipd.org/uk/knowledge/factsheets/analytics-factshee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acas.org.uk/improving-equality-diversity-and-inclus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G0KmWUekp+Y6tS9pG2FmcmTrHw==">CgMxLjA4AHIhMTloVHNUUjhGUjZwa0JXWWZKX0VocmdIZ0hjSE9MbUFo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