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819DF" w:rsidRPr="00A406E5" w14:paraId="23E45619" w14:textId="77777777" w:rsidTr="00E819DF">
        <w:tc>
          <w:tcPr>
            <w:tcW w:w="8624" w:type="dxa"/>
            <w:shd w:val="clear" w:color="auto" w:fill="C0C0C0"/>
          </w:tcPr>
          <w:p w14:paraId="744205C5" w14:textId="77777777" w:rsidR="00E819DF" w:rsidRPr="00A406E5" w:rsidRDefault="00E819DF" w:rsidP="00CD400E">
            <w:pPr>
              <w:pStyle w:val="Heading4"/>
              <w:rPr>
                <w:rFonts w:ascii="Arial" w:hAnsi="Arial" w:cs="Arial"/>
                <w:b/>
                <w:bCs/>
              </w:rPr>
            </w:pPr>
            <w:r w:rsidRPr="6D4D0207">
              <w:rPr>
                <w:rFonts w:ascii="Arial" w:hAnsi="Arial" w:cs="Arial"/>
                <w:b/>
                <w:bCs/>
              </w:rPr>
              <w:t xml:space="preserve">LEVEL 6 ASSESSMENT SPECIFICATION </w:t>
            </w:r>
          </w:p>
        </w:tc>
      </w:tr>
    </w:tbl>
    <w:p w14:paraId="09C7B68E" w14:textId="77777777" w:rsidR="00E819DF" w:rsidRPr="00A406E5" w:rsidRDefault="00E819DF" w:rsidP="00E819DF">
      <w:pPr>
        <w:jc w:val="center"/>
        <w:rPr>
          <w:rFonts w:ascii="Arial" w:hAnsi="Arial" w:cs="Arial"/>
          <w:b/>
          <w:i/>
          <w:sz w:val="32"/>
        </w:rPr>
      </w:pPr>
    </w:p>
    <w:tbl>
      <w:tblPr>
        <w:tblW w:w="9922" w:type="dxa"/>
        <w:tblInd w:w="-4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819DF" w:rsidRPr="00A406E5" w14:paraId="010A55E9" w14:textId="77777777" w:rsidTr="00E819DF">
        <w:tc>
          <w:tcPr>
            <w:tcW w:w="2093" w:type="dxa"/>
            <w:shd w:val="clear" w:color="auto" w:fill="auto"/>
          </w:tcPr>
          <w:p w14:paraId="4DB32546" w14:textId="77777777" w:rsidR="00E819DF" w:rsidRPr="00A406E5" w:rsidRDefault="00E819DF" w:rsidP="00CD400E">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6CA9D767" w14:textId="48500182" w:rsidR="00E819DF" w:rsidRPr="00A406E5" w:rsidRDefault="00E819DF" w:rsidP="00CD400E">
            <w:pPr>
              <w:spacing w:before="120" w:after="120"/>
              <w:jc w:val="both"/>
              <w:rPr>
                <w:rFonts w:ascii="Arial" w:hAnsi="Arial" w:cs="Arial"/>
                <w:b/>
                <w:sz w:val="22"/>
                <w:szCs w:val="22"/>
              </w:rPr>
            </w:pPr>
          </w:p>
        </w:tc>
        <w:tc>
          <w:tcPr>
            <w:tcW w:w="2268" w:type="dxa"/>
            <w:shd w:val="clear" w:color="auto" w:fill="D9D9D9" w:themeFill="background1" w:themeFillShade="D9"/>
          </w:tcPr>
          <w:p w14:paraId="4AB9769D" w14:textId="3E010600" w:rsidR="00E819DF" w:rsidRPr="00A406E5" w:rsidRDefault="00E819DF" w:rsidP="00CD400E">
            <w:pPr>
              <w:spacing w:before="120" w:after="120"/>
              <w:jc w:val="both"/>
              <w:rPr>
                <w:rFonts w:ascii="Arial" w:hAnsi="Arial" w:cs="Arial"/>
                <w:b/>
                <w:bCs/>
                <w:sz w:val="22"/>
                <w:szCs w:val="22"/>
              </w:rPr>
            </w:pPr>
            <w:r>
              <w:rPr>
                <w:rFonts w:ascii="Arial" w:hAnsi="Arial" w:cs="Arial"/>
                <w:b/>
                <w:bCs/>
                <w:sz w:val="22"/>
                <w:szCs w:val="22"/>
              </w:rPr>
              <w:t>S</w:t>
            </w:r>
            <w:r w:rsidRPr="6D4D0207">
              <w:rPr>
                <w:rFonts w:ascii="Arial" w:hAnsi="Arial" w:cs="Arial"/>
                <w:b/>
                <w:bCs/>
                <w:sz w:val="22"/>
                <w:szCs w:val="22"/>
              </w:rPr>
              <w:t>tudent ID number:</w:t>
            </w:r>
          </w:p>
        </w:tc>
        <w:tc>
          <w:tcPr>
            <w:tcW w:w="2268" w:type="dxa"/>
          </w:tcPr>
          <w:p w14:paraId="480849F7" w14:textId="0C49F71F" w:rsidR="00E819DF" w:rsidRPr="00A406E5" w:rsidRDefault="00E819DF" w:rsidP="00CD400E">
            <w:pPr>
              <w:spacing w:before="120" w:after="120"/>
              <w:jc w:val="both"/>
              <w:rPr>
                <w:rFonts w:ascii="Arial" w:hAnsi="Arial" w:cs="Arial"/>
                <w:b/>
                <w:sz w:val="22"/>
                <w:szCs w:val="22"/>
              </w:rPr>
            </w:pPr>
            <w:r>
              <w:rPr>
                <w:rFonts w:ascii="Arial" w:hAnsi="Arial" w:cs="Arial"/>
                <w:b/>
                <w:sz w:val="22"/>
                <w:szCs w:val="22"/>
              </w:rPr>
              <w:t>1401060</w:t>
            </w:r>
          </w:p>
        </w:tc>
      </w:tr>
      <w:tr w:rsidR="00E819DF" w:rsidRPr="00A406E5" w14:paraId="615851AE" w14:textId="77777777" w:rsidTr="00E819DF">
        <w:tc>
          <w:tcPr>
            <w:tcW w:w="2093" w:type="dxa"/>
            <w:shd w:val="clear" w:color="auto" w:fill="auto"/>
          </w:tcPr>
          <w:p w14:paraId="048E8292" w14:textId="77777777" w:rsidR="00E819DF" w:rsidRPr="00A406E5" w:rsidRDefault="00E819DF" w:rsidP="00CD400E">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6A33D3FC" w14:textId="77777777" w:rsidR="00E819DF" w:rsidRPr="00A406E5" w:rsidRDefault="00E819DF" w:rsidP="00CD400E">
            <w:pPr>
              <w:spacing w:before="120" w:after="120"/>
              <w:jc w:val="both"/>
              <w:rPr>
                <w:rFonts w:ascii="Arial" w:hAnsi="Arial" w:cs="Arial"/>
                <w:b/>
                <w:sz w:val="22"/>
                <w:szCs w:val="22"/>
              </w:rPr>
            </w:pPr>
            <w:r>
              <w:rPr>
                <w:rFonts w:ascii="Arial" w:hAnsi="Arial" w:cs="Arial"/>
                <w:b/>
                <w:sz w:val="22"/>
                <w:szCs w:val="22"/>
              </w:rPr>
              <w:t>Primary</w:t>
            </w:r>
          </w:p>
        </w:tc>
      </w:tr>
      <w:tr w:rsidR="00E819DF" w:rsidRPr="00A406E5" w14:paraId="7797C19A" w14:textId="77777777" w:rsidTr="00E819DF">
        <w:tc>
          <w:tcPr>
            <w:tcW w:w="2093" w:type="dxa"/>
            <w:shd w:val="clear" w:color="auto" w:fill="auto"/>
          </w:tcPr>
          <w:p w14:paraId="144266B7" w14:textId="77777777" w:rsidR="00E819DF" w:rsidRPr="00A406E5" w:rsidRDefault="00E819DF" w:rsidP="00CD400E">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526B408A" w14:textId="77777777" w:rsidR="00E819DF" w:rsidRPr="00A406E5" w:rsidRDefault="00E819DF" w:rsidP="00CD400E">
            <w:pPr>
              <w:spacing w:before="120" w:after="120"/>
              <w:jc w:val="both"/>
              <w:rPr>
                <w:rFonts w:ascii="Arial" w:hAnsi="Arial" w:cs="Arial"/>
                <w:b/>
                <w:sz w:val="22"/>
                <w:szCs w:val="22"/>
              </w:rPr>
            </w:pPr>
            <w:r>
              <w:rPr>
                <w:rFonts w:ascii="Arial" w:hAnsi="Arial" w:cs="Arial"/>
                <w:b/>
                <w:sz w:val="22"/>
                <w:szCs w:val="22"/>
              </w:rPr>
              <w:t>Principles of Pedagogy</w:t>
            </w:r>
          </w:p>
        </w:tc>
      </w:tr>
      <w:tr w:rsidR="00E819DF" w:rsidRPr="00A406E5" w14:paraId="29510BAE" w14:textId="77777777" w:rsidTr="00E819DF">
        <w:tc>
          <w:tcPr>
            <w:tcW w:w="2093" w:type="dxa"/>
            <w:shd w:val="clear" w:color="auto" w:fill="auto"/>
          </w:tcPr>
          <w:p w14:paraId="13EB1820" w14:textId="77777777" w:rsidR="00E819DF" w:rsidRPr="00A406E5" w:rsidRDefault="00E819DF" w:rsidP="00CD400E">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3D093BBF" w14:textId="77777777" w:rsidR="00E819DF" w:rsidRPr="00A406E5" w:rsidRDefault="00E819DF" w:rsidP="00CD400E">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14:paraId="2645EA1A" w14:textId="77777777" w:rsidR="00E819DF" w:rsidRPr="004D5E9B" w:rsidRDefault="00E819DF" w:rsidP="00CD400E">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6332A782" w14:textId="77777777" w:rsidR="00E819DF" w:rsidRPr="00A406E5" w:rsidRDefault="00E819DF" w:rsidP="00CD400E">
            <w:pPr>
              <w:spacing w:before="120" w:after="120"/>
              <w:jc w:val="both"/>
              <w:rPr>
                <w:rFonts w:ascii="Arial" w:hAnsi="Arial" w:cs="Arial"/>
                <w:b/>
                <w:sz w:val="22"/>
                <w:szCs w:val="22"/>
              </w:rPr>
            </w:pPr>
            <w:r>
              <w:rPr>
                <w:rFonts w:ascii="Arial" w:hAnsi="Arial" w:cs="Arial"/>
                <w:b/>
                <w:sz w:val="22"/>
                <w:szCs w:val="22"/>
              </w:rPr>
              <w:t>100%</w:t>
            </w:r>
          </w:p>
        </w:tc>
      </w:tr>
      <w:tr w:rsidR="00E819DF" w:rsidRPr="00A406E5" w14:paraId="4BDE033E" w14:textId="77777777" w:rsidTr="00E819DF">
        <w:tc>
          <w:tcPr>
            <w:tcW w:w="2093" w:type="dxa"/>
            <w:shd w:val="clear" w:color="auto" w:fill="auto"/>
          </w:tcPr>
          <w:p w14:paraId="2539E9CE" w14:textId="77777777" w:rsidR="00E819DF" w:rsidRPr="00A406E5" w:rsidRDefault="00E819DF" w:rsidP="00CD400E">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39CB4446" w14:textId="77777777" w:rsidR="00E819DF" w:rsidRPr="00A406E5" w:rsidRDefault="00E819DF" w:rsidP="00CD400E">
            <w:pPr>
              <w:spacing w:before="120" w:after="120"/>
              <w:jc w:val="both"/>
              <w:rPr>
                <w:rFonts w:ascii="Arial" w:hAnsi="Arial" w:cs="Arial"/>
                <w:b/>
                <w:sz w:val="22"/>
                <w:szCs w:val="22"/>
              </w:rPr>
            </w:pPr>
            <w:r>
              <w:rPr>
                <w:rFonts w:ascii="Arial" w:hAnsi="Arial" w:cs="Arial"/>
                <w:b/>
                <w:sz w:val="22"/>
                <w:szCs w:val="22"/>
              </w:rPr>
              <w:t>Siân Brooks</w:t>
            </w:r>
          </w:p>
        </w:tc>
        <w:tc>
          <w:tcPr>
            <w:tcW w:w="2268" w:type="dxa"/>
            <w:shd w:val="clear" w:color="auto" w:fill="D9D9D9" w:themeFill="background1" w:themeFillShade="D9"/>
          </w:tcPr>
          <w:p w14:paraId="4607135C" w14:textId="77777777" w:rsidR="00E819DF" w:rsidRPr="00A406E5" w:rsidRDefault="00E819DF" w:rsidP="00CD400E">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187E99C6" w14:textId="77777777" w:rsidR="00E819DF" w:rsidRPr="00A406E5" w:rsidRDefault="00E819DF" w:rsidP="00CD400E">
            <w:pPr>
              <w:spacing w:before="120" w:after="120"/>
              <w:jc w:val="both"/>
              <w:rPr>
                <w:rFonts w:ascii="Arial" w:hAnsi="Arial" w:cs="Arial"/>
                <w:b/>
                <w:sz w:val="22"/>
                <w:szCs w:val="22"/>
              </w:rPr>
            </w:pPr>
            <w:r>
              <w:rPr>
                <w:rFonts w:ascii="Arial" w:hAnsi="Arial" w:cs="Arial"/>
                <w:b/>
                <w:sz w:val="22"/>
                <w:szCs w:val="22"/>
              </w:rPr>
              <w:t>Siân Brooks</w:t>
            </w:r>
          </w:p>
        </w:tc>
      </w:tr>
      <w:tr w:rsidR="00E819DF" w:rsidRPr="00A406E5" w14:paraId="1F211881" w14:textId="77777777" w:rsidTr="00E819DF">
        <w:tc>
          <w:tcPr>
            <w:tcW w:w="2093" w:type="dxa"/>
            <w:shd w:val="clear" w:color="auto" w:fill="auto"/>
          </w:tcPr>
          <w:p w14:paraId="1F2F31D9" w14:textId="77777777" w:rsidR="00E819DF" w:rsidRPr="00A406E5" w:rsidRDefault="00E819DF" w:rsidP="00CD400E">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709820E1" w14:textId="77777777" w:rsidR="00E819DF" w:rsidRPr="00A406E5" w:rsidRDefault="00E819DF" w:rsidP="00CD400E">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173249C8" w14:textId="77777777" w:rsidR="00E819DF" w:rsidRPr="00A406E5" w:rsidRDefault="00E819DF" w:rsidP="00CD400E">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7F4542D0" w14:textId="77777777" w:rsidR="00E819DF" w:rsidRPr="00A406E5" w:rsidRDefault="00E819DF" w:rsidP="00CD400E">
            <w:pPr>
              <w:spacing w:before="120" w:after="120"/>
              <w:jc w:val="both"/>
              <w:rPr>
                <w:rFonts w:ascii="Arial" w:hAnsi="Arial" w:cs="Arial"/>
                <w:b/>
                <w:sz w:val="22"/>
                <w:szCs w:val="22"/>
              </w:rPr>
            </w:pPr>
            <w:r>
              <w:rPr>
                <w:rFonts w:ascii="Arial" w:hAnsi="Arial" w:cs="Arial"/>
                <w:b/>
                <w:sz w:val="22"/>
                <w:szCs w:val="22"/>
              </w:rPr>
              <w:t>5,000 or equivalent.</w:t>
            </w:r>
          </w:p>
        </w:tc>
      </w:tr>
      <w:tr w:rsidR="00E819DF" w:rsidRPr="00A406E5" w14:paraId="6E791B28" w14:textId="77777777" w:rsidTr="00E819DF">
        <w:tc>
          <w:tcPr>
            <w:tcW w:w="2093" w:type="dxa"/>
            <w:shd w:val="clear" w:color="auto" w:fill="auto"/>
          </w:tcPr>
          <w:p w14:paraId="53B5D8EA" w14:textId="77777777" w:rsidR="00E819DF" w:rsidRPr="00A406E5" w:rsidRDefault="00E819DF" w:rsidP="00CD400E">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024F70DD" w14:textId="77777777" w:rsidR="00E819DF" w:rsidRPr="00A406E5" w:rsidRDefault="00E819DF" w:rsidP="00CD400E">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 (23.59)</w:t>
            </w:r>
          </w:p>
          <w:p w14:paraId="3CA97852" w14:textId="77777777" w:rsidR="00E819DF" w:rsidRPr="00A406E5" w:rsidRDefault="00E819DF" w:rsidP="00CD400E">
            <w:pPr>
              <w:spacing w:before="120" w:after="120"/>
              <w:jc w:val="both"/>
              <w:rPr>
                <w:rFonts w:ascii="Arial" w:hAnsi="Arial" w:cs="Arial"/>
                <w:b/>
                <w:sz w:val="22"/>
                <w:szCs w:val="22"/>
              </w:rPr>
            </w:pPr>
          </w:p>
        </w:tc>
        <w:tc>
          <w:tcPr>
            <w:tcW w:w="2268" w:type="dxa"/>
            <w:shd w:val="clear" w:color="auto" w:fill="auto"/>
          </w:tcPr>
          <w:p w14:paraId="4C79B7CF" w14:textId="77777777" w:rsidR="00E819DF" w:rsidRPr="00A406E5" w:rsidRDefault="00E819DF" w:rsidP="00CD400E">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748D5EC1" w14:textId="77777777" w:rsidR="00E819DF" w:rsidRPr="00A406E5" w:rsidRDefault="00E819DF" w:rsidP="00CD400E">
            <w:pPr>
              <w:spacing w:before="120" w:after="120"/>
              <w:jc w:val="both"/>
              <w:rPr>
                <w:rFonts w:ascii="Arial" w:hAnsi="Arial" w:cs="Arial"/>
                <w:b/>
                <w:sz w:val="22"/>
                <w:szCs w:val="22"/>
              </w:rPr>
            </w:pPr>
            <w:r>
              <w:rPr>
                <w:rFonts w:ascii="Arial" w:hAnsi="Arial" w:cs="Arial"/>
                <w:b/>
                <w:sz w:val="22"/>
                <w:szCs w:val="22"/>
              </w:rPr>
              <w:t>14/11/18</w:t>
            </w:r>
          </w:p>
        </w:tc>
      </w:tr>
      <w:tr w:rsidR="00E819DF" w:rsidRPr="00A406E5" w14:paraId="7A036499" w14:textId="77777777" w:rsidTr="00E819DF">
        <w:tc>
          <w:tcPr>
            <w:tcW w:w="2093" w:type="dxa"/>
            <w:shd w:val="clear" w:color="auto" w:fill="auto"/>
          </w:tcPr>
          <w:p w14:paraId="3713AFEA" w14:textId="77777777" w:rsidR="00E819DF" w:rsidRPr="00A406E5" w:rsidRDefault="00E819DF" w:rsidP="00CD400E">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09506A85" w14:textId="77777777" w:rsidR="00E819DF" w:rsidRPr="00A406E5" w:rsidRDefault="00E819DF" w:rsidP="00CD400E">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1320DE" w14:textId="77777777" w:rsidR="00E819DF" w:rsidRPr="00A406E5" w:rsidRDefault="00E819DF" w:rsidP="00CD400E">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11E0D977" w14:textId="77777777" w:rsidR="00E819DF" w:rsidRPr="00A406E5" w:rsidRDefault="00E819DF" w:rsidP="00CD400E">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E819DF" w:rsidRPr="00A406E5" w14:paraId="41150A9B" w14:textId="77777777" w:rsidTr="00E819DF">
        <w:tc>
          <w:tcPr>
            <w:tcW w:w="2093" w:type="dxa"/>
            <w:shd w:val="clear" w:color="auto" w:fill="auto"/>
          </w:tcPr>
          <w:p w14:paraId="6F372E86" w14:textId="77777777" w:rsidR="00E819DF" w:rsidRPr="00A406E5" w:rsidRDefault="00E819DF" w:rsidP="00CD400E">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3300CF14" w14:textId="77777777" w:rsidR="00E819DF" w:rsidRPr="00A406E5" w:rsidRDefault="00E819DF" w:rsidP="00CD400E">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F44BC11" w14:textId="77777777" w:rsidR="00E819DF" w:rsidRPr="00A406E5" w:rsidRDefault="00E819DF" w:rsidP="00E819DF">
      <w:pPr>
        <w:rPr>
          <w:rFonts w:ascii="Arial" w:hAnsi="Arial" w:cs="Arial"/>
          <w:sz w:val="32"/>
        </w:rPr>
      </w:pPr>
    </w:p>
    <w:p w14:paraId="6AEFB742" w14:textId="77777777" w:rsidR="00E819DF" w:rsidRPr="00A406E5" w:rsidRDefault="00E819DF" w:rsidP="00E819DF">
      <w:pPr>
        <w:rPr>
          <w:rFonts w:ascii="Arial" w:hAnsi="Arial" w:cs="Arial"/>
          <w:sz w:val="32"/>
        </w:rPr>
      </w:pPr>
    </w:p>
    <w:p w14:paraId="09564C13" w14:textId="77777777" w:rsidR="00E819DF" w:rsidRDefault="00E819DF" w:rsidP="00E819DF">
      <w:pPr>
        <w:rPr>
          <w:rFonts w:ascii="Arial" w:hAnsi="Arial" w:cs="Arial"/>
          <w:sz w:val="32"/>
        </w:rPr>
      </w:pPr>
    </w:p>
    <w:tbl>
      <w:tblPr>
        <w:tblpPr w:leftFromText="180" w:rightFromText="180" w:vertAnchor="text" w:horzAnchor="margin" w:tblpY="271"/>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819DF" w:rsidRPr="00A406E5" w14:paraId="19E7593E" w14:textId="77777777" w:rsidTr="00E819DF">
        <w:tc>
          <w:tcPr>
            <w:tcW w:w="9747" w:type="dxa"/>
            <w:shd w:val="clear" w:color="auto" w:fill="auto"/>
          </w:tcPr>
          <w:p w14:paraId="598EA787" w14:textId="77777777" w:rsidR="00E819DF" w:rsidRPr="00A406E5" w:rsidRDefault="00E819DF" w:rsidP="00E819DF">
            <w:pPr>
              <w:rPr>
                <w:rFonts w:ascii="Arial" w:hAnsi="Arial" w:cs="Arial"/>
                <w:b/>
                <w:bCs/>
                <w:sz w:val="22"/>
                <w:szCs w:val="22"/>
              </w:rPr>
            </w:pPr>
            <w:r w:rsidRPr="6D4D0207">
              <w:rPr>
                <w:rFonts w:ascii="Arial" w:hAnsi="Arial" w:cs="Arial"/>
                <w:b/>
                <w:bCs/>
                <w:sz w:val="22"/>
                <w:szCs w:val="22"/>
              </w:rPr>
              <w:lastRenderedPageBreak/>
              <w:t xml:space="preserve">Module Learning Outcomes </w:t>
            </w:r>
          </w:p>
          <w:p w14:paraId="50BDBC23" w14:textId="77777777" w:rsidR="00E819DF" w:rsidRPr="00A406E5" w:rsidRDefault="00E819DF" w:rsidP="00E819DF">
            <w:pPr>
              <w:rPr>
                <w:rFonts w:ascii="Arial" w:hAnsi="Arial" w:cs="Arial"/>
                <w:sz w:val="22"/>
                <w:szCs w:val="22"/>
              </w:rPr>
            </w:pPr>
            <w:r w:rsidRPr="6D4D0207">
              <w:rPr>
                <w:rFonts w:ascii="Arial" w:hAnsi="Arial" w:cs="Arial"/>
                <w:b/>
                <w:bCs/>
                <w:sz w:val="22"/>
                <w:szCs w:val="22"/>
              </w:rPr>
              <w:t>(from module syllabus)</w:t>
            </w:r>
          </w:p>
        </w:tc>
      </w:tr>
      <w:tr w:rsidR="00E819DF" w:rsidRPr="00A406E5" w14:paraId="01A7E2CB" w14:textId="77777777" w:rsidTr="00E819DF">
        <w:tc>
          <w:tcPr>
            <w:tcW w:w="9747" w:type="dxa"/>
          </w:tcPr>
          <w:p w14:paraId="5B5760C9" w14:textId="77777777" w:rsidR="00E819DF" w:rsidRPr="00A406E5" w:rsidRDefault="00E819DF" w:rsidP="00E819DF">
            <w:pPr>
              <w:rPr>
                <w:rFonts w:ascii="Arial" w:hAnsi="Arial" w:cs="Arial"/>
                <w:sz w:val="22"/>
                <w:szCs w:val="22"/>
              </w:rPr>
            </w:pPr>
          </w:p>
          <w:p w14:paraId="4228E0E0" w14:textId="77777777" w:rsidR="00E819DF" w:rsidRPr="00C3119F" w:rsidRDefault="00E819DF" w:rsidP="00E819DF">
            <w:pPr>
              <w:ind w:left="360"/>
              <w:rPr>
                <w:rFonts w:ascii="Arial" w:hAnsi="Arial" w:cs="Arial"/>
                <w:sz w:val="22"/>
                <w:szCs w:val="22"/>
              </w:rPr>
            </w:pPr>
            <w:r w:rsidRPr="00C3119F">
              <w:rPr>
                <w:rFonts w:ascii="Arial" w:hAnsi="Arial" w:cs="Arial"/>
                <w:sz w:val="22"/>
                <w:szCs w:val="22"/>
              </w:rPr>
              <w:t>1.</w:t>
            </w:r>
            <w:r w:rsidRPr="00C3119F">
              <w:rPr>
                <w:rFonts w:ascii="Arial" w:hAnsi="Arial" w:cs="Arial"/>
                <w:sz w:val="22"/>
                <w:szCs w:val="22"/>
              </w:rPr>
              <w:tab/>
              <w:t>understand, synthesise and evaluate the main theories that underpinning learning, behaviour and assessment in the primary school</w:t>
            </w:r>
          </w:p>
          <w:p w14:paraId="3547D3C2" w14:textId="77777777" w:rsidR="00E819DF" w:rsidRPr="00C3119F" w:rsidRDefault="00E819DF" w:rsidP="00E819DF">
            <w:pPr>
              <w:ind w:left="360"/>
              <w:rPr>
                <w:rFonts w:ascii="Arial" w:hAnsi="Arial" w:cs="Arial"/>
                <w:sz w:val="22"/>
                <w:szCs w:val="22"/>
              </w:rPr>
            </w:pPr>
            <w:r w:rsidRPr="00C3119F">
              <w:rPr>
                <w:rFonts w:ascii="Arial" w:hAnsi="Arial" w:cs="Arial"/>
                <w:sz w:val="22"/>
                <w:szCs w:val="22"/>
              </w:rPr>
              <w:t>2.</w:t>
            </w:r>
            <w:r w:rsidRPr="00C3119F">
              <w:rPr>
                <w:rFonts w:ascii="Arial" w:hAnsi="Arial" w:cs="Arial"/>
                <w:sz w:val="22"/>
                <w:szCs w:val="22"/>
              </w:rPr>
              <w:tab/>
              <w:t>reflect critically on how learning theories inform the planning and provision of high quality learning environments, demonstrating a clear understanding of how theory and practice are interrelated</w:t>
            </w:r>
          </w:p>
          <w:p w14:paraId="1F937FE9" w14:textId="77777777" w:rsidR="00E819DF" w:rsidRPr="00A406E5" w:rsidRDefault="00E819DF" w:rsidP="00E819DF">
            <w:pPr>
              <w:ind w:left="360"/>
              <w:rPr>
                <w:rFonts w:ascii="Arial" w:hAnsi="Arial" w:cs="Arial"/>
                <w:sz w:val="22"/>
                <w:szCs w:val="22"/>
              </w:rPr>
            </w:pPr>
            <w:r w:rsidRPr="00C3119F">
              <w:rPr>
                <w:rFonts w:ascii="Arial" w:hAnsi="Arial" w:cs="Arial"/>
                <w:sz w:val="22"/>
                <w:szCs w:val="22"/>
              </w:rPr>
              <w:t>3.</w:t>
            </w:r>
            <w:r w:rsidRPr="00C3119F">
              <w:rPr>
                <w:rFonts w:ascii="Arial" w:hAnsi="Arial" w:cs="Arial"/>
                <w:sz w:val="22"/>
                <w:szCs w:val="22"/>
              </w:rPr>
              <w:tab/>
              <w:t>organise knowledge and learning through the use of a range of information sources, and present work appropriately.</w:t>
            </w:r>
          </w:p>
          <w:p w14:paraId="789EDD97" w14:textId="77777777" w:rsidR="00E819DF" w:rsidRPr="00A406E5" w:rsidRDefault="00E819DF" w:rsidP="00E819DF">
            <w:pPr>
              <w:rPr>
                <w:rFonts w:ascii="Arial" w:hAnsi="Arial" w:cs="Arial"/>
                <w:sz w:val="22"/>
                <w:szCs w:val="22"/>
              </w:rPr>
            </w:pPr>
          </w:p>
        </w:tc>
      </w:tr>
    </w:tbl>
    <w:p w14:paraId="4EB13A5C" w14:textId="77777777" w:rsidR="00E819DF" w:rsidRPr="00A406E5" w:rsidRDefault="00E819DF" w:rsidP="00E819DF">
      <w:pPr>
        <w:rPr>
          <w:rFonts w:ascii="Arial" w:hAnsi="Arial" w:cs="Arial"/>
          <w:sz w:val="32"/>
        </w:rPr>
      </w:pPr>
    </w:p>
    <w:p w14:paraId="6A954505" w14:textId="2F84773A" w:rsidR="0037258A" w:rsidRDefault="0037258A"/>
    <w:p w14:paraId="0932E39F" w14:textId="77777777" w:rsidR="00C703E7" w:rsidRPr="006779F9" w:rsidRDefault="00C703E7" w:rsidP="00C703E7">
      <w:pPr>
        <w:spacing w:line="480" w:lineRule="auto"/>
        <w:ind w:firstLine="720"/>
        <w:rPr>
          <w:rFonts w:ascii="Arial" w:hAnsi="Arial" w:cs="Arial"/>
          <w:sz w:val="24"/>
          <w:szCs w:val="24"/>
        </w:rPr>
      </w:pPr>
      <w:r w:rsidRPr="006779F9">
        <w:rPr>
          <w:rFonts w:ascii="Arial" w:hAnsi="Arial" w:cs="Arial"/>
          <w:sz w:val="24"/>
          <w:szCs w:val="24"/>
        </w:rPr>
        <w:t>Recently I undertook a classroom observation of current teaching practice at school X. From my observation I focused on questioning as my learning event as this was an effective strategy regularly used by the teacher. I will evaluate the effectiveness of questioning demonstrating how it impacted the children’s learning throughout. I will link my findings to wider reading: government documentations, journals and theorists work. Throughout my research I ensured consideration to ethical issues such as anonymity, consent and confidentiality by referring to the ethical guidelines created by ‘British Educational Research Association (BERA)’ (BERA, 2018 p.1). Occurrence of ethical issues could implicate my research findings.</w:t>
      </w:r>
    </w:p>
    <w:p w14:paraId="0052FB9F" w14:textId="77777777" w:rsidR="00C703E7" w:rsidRPr="006779F9" w:rsidRDefault="00C703E7" w:rsidP="00C703E7">
      <w:pPr>
        <w:spacing w:line="480" w:lineRule="auto"/>
        <w:ind w:firstLine="720"/>
        <w:rPr>
          <w:rFonts w:ascii="Arial" w:hAnsi="Arial" w:cs="Arial"/>
          <w:sz w:val="24"/>
          <w:szCs w:val="24"/>
        </w:rPr>
      </w:pPr>
      <w:r w:rsidRPr="006779F9">
        <w:rPr>
          <w:rFonts w:ascii="Arial" w:hAnsi="Arial" w:cs="Arial"/>
          <w:sz w:val="24"/>
          <w:szCs w:val="24"/>
        </w:rPr>
        <w:t>To ensure that the BERA guidelines were followed, I confirmed that School X could access my current DBS form using the updating service. This emphasises that I am safe and trusted to work within a child care environment. During bridging days, I had to sign in on entry where I retrieved a visitor’s landmark to visibly wear all day and had to sign out before leaving. I spoke with the headteacher and class teachers who stressed the importance of policies and procedures.  Informative information regarding safeguarding, the safeguarding officer and how to administer discloser of any sensitive information was understood. The importance of anonymity, confidentiality and the ethos of the school was discussed. Then I was introduced to the class and their teacher who was already expecting my attendance. Consent for observations and note-taking were provided verbally by teachers on behalf of the children due to restricted knowledge of research purpose (BERA, 2018). A consent sheet was signed allowing photos of class displays and resources to be taken, however it was emphasised that photos containing pupils were prohibited. This was essential to protect participants and their confidentiality. Having consent ensures that the research aims are understood and accepted by all necessary individuals (BERA, 2018).</w:t>
      </w:r>
    </w:p>
    <w:p w14:paraId="0A8BA05D" w14:textId="511C7A0C" w:rsidR="00C703E7" w:rsidRPr="006779F9" w:rsidRDefault="00C703E7" w:rsidP="00C703E7">
      <w:pPr>
        <w:spacing w:line="480" w:lineRule="auto"/>
        <w:ind w:firstLine="720"/>
        <w:rPr>
          <w:rFonts w:ascii="Arial" w:hAnsi="Arial" w:cs="Arial"/>
          <w:sz w:val="24"/>
          <w:szCs w:val="24"/>
        </w:rPr>
      </w:pPr>
      <w:r w:rsidRPr="006779F9">
        <w:rPr>
          <w:rFonts w:ascii="Arial" w:hAnsi="Arial" w:cs="Arial"/>
          <w:sz w:val="24"/>
          <w:szCs w:val="24"/>
        </w:rPr>
        <w:t xml:space="preserve">Maintaining confidentiality throughout research is a vital aspect to assure participants personal information were protected indefinitely (BERA, 2018). This was addressed as no names of children or teacher were included within my written notes. Instead individuals were referred to as the teacher or child A, B, C etc. This eradicates recognition of individuals by others (Cohen, Manion and Morrison, 2000) when reading about my learning event, demonstrating my awareness of the importance of anonymity and confidentiality. </w:t>
      </w:r>
      <w:r w:rsidR="00C05CD4" w:rsidRPr="006779F9">
        <w:rPr>
          <w:rFonts w:ascii="Arial" w:hAnsi="Arial" w:cs="Arial"/>
          <w:sz w:val="24"/>
          <w:szCs w:val="24"/>
        </w:rPr>
        <w:t>Also,</w:t>
      </w:r>
      <w:r w:rsidRPr="006779F9">
        <w:rPr>
          <w:rFonts w:ascii="Arial" w:hAnsi="Arial" w:cs="Arial"/>
          <w:sz w:val="24"/>
          <w:szCs w:val="24"/>
        </w:rPr>
        <w:t xml:space="preserve"> anything discussed or informed during bridging was not said again to others, maintaining confidentiality. </w:t>
      </w:r>
    </w:p>
    <w:p w14:paraId="48716D11" w14:textId="4603BF8E" w:rsidR="00E96DBD" w:rsidRDefault="00C703E7" w:rsidP="00C703E7">
      <w:pPr>
        <w:shd w:val="clear" w:color="auto" w:fill="FFFFFF"/>
        <w:spacing w:after="200" w:line="480" w:lineRule="auto"/>
        <w:rPr>
          <w:rFonts w:ascii="Arial" w:hAnsi="Arial" w:cs="Arial"/>
          <w:color w:val="222222"/>
          <w:sz w:val="24"/>
          <w:szCs w:val="24"/>
        </w:rPr>
      </w:pPr>
      <w:r w:rsidRPr="006779F9">
        <w:rPr>
          <w:rFonts w:ascii="Arial" w:hAnsi="Arial" w:cs="Arial"/>
          <w:color w:val="222222"/>
          <w:sz w:val="24"/>
          <w:szCs w:val="24"/>
        </w:rPr>
        <w:tab/>
        <w:t xml:space="preserve">Regarding research method I decided to use note-taking in an inconspicuous manner enabling me to actively understand and record my observation whilst they were happening (Cohen, Manion and Morrison, 2000). This allowed children to act naturally without being cautious of being judged for how they react, whereas interviewing children may cause them to act or respond in way typical ways (Cohen, Manion and Morrison, 2000). It enables me to gain awareness of children’s capabilities, personalities whilst they collaborate naturally, eradicating subjectivity. However, this research method may be time consuming where the observer must wait until their learning event occurs within the classroom before being able to evaluate its effectiveness (Cohen, Manion and Morrison, 2000). It may be challenging to make notes of every occurrence within the classroom, unconsciously resulting in missing key aspects of the learning event. To overcome this, in future practice I would either prepare a checklist before hand to note key aspects of my observations or use a video camera to record the learning event (Cohen, Manion and Morrison, 2000). However, due to my learning event being a class task associated with questioning I would not have been able to use video recordings as all visual recording such as photos were forbidden due to ethical reasoning and </w:t>
      </w:r>
      <w:r w:rsidR="00CC67E8">
        <w:rPr>
          <w:rFonts w:ascii="Arial" w:hAnsi="Arial" w:cs="Arial"/>
          <w:color w:val="222222"/>
          <w:sz w:val="24"/>
          <w:szCs w:val="24"/>
        </w:rPr>
        <w:t xml:space="preserve">safeguarding </w:t>
      </w:r>
      <w:r w:rsidRPr="006779F9">
        <w:rPr>
          <w:rFonts w:ascii="Arial" w:hAnsi="Arial" w:cs="Arial"/>
          <w:color w:val="222222"/>
          <w:sz w:val="24"/>
          <w:szCs w:val="24"/>
        </w:rPr>
        <w:t>p</w:t>
      </w:r>
      <w:r w:rsidR="00CC67E8">
        <w:rPr>
          <w:rFonts w:ascii="Arial" w:hAnsi="Arial" w:cs="Arial"/>
          <w:color w:val="222222"/>
          <w:sz w:val="24"/>
          <w:szCs w:val="24"/>
        </w:rPr>
        <w:t>upils</w:t>
      </w:r>
      <w:r w:rsidRPr="006779F9">
        <w:rPr>
          <w:rFonts w:ascii="Arial" w:hAnsi="Arial" w:cs="Arial"/>
          <w:color w:val="222222"/>
          <w:sz w:val="24"/>
          <w:szCs w:val="24"/>
        </w:rPr>
        <w:t xml:space="preserve"> (BERA, 2018).</w:t>
      </w:r>
    </w:p>
    <w:p w14:paraId="43605229" w14:textId="77777777" w:rsidR="00D640B2" w:rsidRPr="0048150C" w:rsidRDefault="00D640B2" w:rsidP="00D640B2">
      <w:pPr>
        <w:spacing w:line="480" w:lineRule="auto"/>
        <w:ind w:firstLine="720"/>
        <w:rPr>
          <w:rFonts w:ascii="Arial" w:hAnsi="Arial" w:cs="Arial"/>
          <w:sz w:val="24"/>
          <w:szCs w:val="24"/>
        </w:rPr>
      </w:pPr>
      <w:r w:rsidRPr="0048150C">
        <w:rPr>
          <w:rFonts w:ascii="Arial" w:hAnsi="Arial" w:cs="Arial"/>
          <w:sz w:val="24"/>
          <w:szCs w:val="24"/>
        </w:rPr>
        <w:t>The learning event which I have decided to analyse and reflect on is the effectiveness of questioning in the classroom and the impact it has on children’s learning. I will then demonstrate the significant impact questioning has on children’s learning, to emphasise reasoning for this chosen learning event. Questioning was used frequently and created social interaction, proving to be an essential strategy of teaching and learning (Zhang, 2018) within School X (name removed to maintain confidentiality). The year one class’s term topic was: All about me. Their weekly question being: How can we use our body senses to make sense of the world? The teacher used various effective questioning techniques during class story time on the interactive whiteboard as outlined below:</w:t>
      </w:r>
    </w:p>
    <w:p w14:paraId="613CC8CF"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Teacher: “What is happening here?” (Chooses volunteer).</w:t>
      </w:r>
      <w:r w:rsidRPr="0048150C">
        <w:rPr>
          <w:rFonts w:ascii="Arial" w:hAnsi="Arial" w:cs="Arial"/>
          <w:sz w:val="24"/>
          <w:szCs w:val="24"/>
        </w:rPr>
        <w:br/>
        <w:t>Child A: “He is tapping the tin”.</w:t>
      </w:r>
    </w:p>
    <w:p w14:paraId="73F085D6"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Teacher: “Is he using any of his senses?” (Chooses volunteer).</w:t>
      </w:r>
    </w:p>
    <w:p w14:paraId="6D4B5E5F"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Child B: “Yes!”</w:t>
      </w:r>
    </w:p>
    <w:p w14:paraId="7F70579F"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Teacher: “Okay good. What senses is he using?” (Chooses nominee without hand up).</w:t>
      </w:r>
    </w:p>
    <w:p w14:paraId="13DE6B5F"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 xml:space="preserve">Child C: “Making music.” </w:t>
      </w:r>
    </w:p>
    <w:p w14:paraId="56C9D1AF"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Teacher: “Not quite. I am really pleased that you tried your best and gave an answer to participate with the discussion Child C. (Pause) Is that one of our senses?”</w:t>
      </w:r>
    </w:p>
    <w:p w14:paraId="177E0CEE"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Class: “No.”</w:t>
      </w:r>
    </w:p>
    <w:p w14:paraId="59C2BE95"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 xml:space="preserve">Teacher: “Making music is one of our class activities so good thinking, but it is not one of our senses. Who can name our five senses? Have a chat with your thinking partners to try and find out”. </w:t>
      </w:r>
    </w:p>
    <w:p w14:paraId="1F1635D8"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 xml:space="preserve">(Child C appeared to be quiet and slightly nervous during the minute discussion time with their pair and appeared nervous to put their hand back up during this discussion). </w:t>
      </w:r>
    </w:p>
    <w:p w14:paraId="321C5F89"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Teacher: “I am going to use my coloured lolly pop sticks to nominate someone to answer. (Chooses lolly pop stick). Child D, can you name our five senses?”</w:t>
      </w:r>
    </w:p>
    <w:p w14:paraId="0589C9DD"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 xml:space="preserve">Child D: “Taste, smell, and to see”. </w:t>
      </w:r>
    </w:p>
    <w:p w14:paraId="1211D484"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 xml:space="preserve">Teacher: “Excellent. Pine cone for you! You’ve thought of three, who can think of the last two?” (Chooses volunteer). </w:t>
      </w:r>
    </w:p>
    <w:p w14:paraId="51128C64"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Child A:” Hearing and touching.”</w:t>
      </w:r>
    </w:p>
    <w:p w14:paraId="4FA0BA42"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Teacher: “Well done. Pine cone for you!”</w:t>
      </w:r>
    </w:p>
    <w:p w14:paraId="64165F53"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 xml:space="preserve">(Continuation of using lolly pop sticks but to nominate readers. Red lollies chosen for more challenging pages, blue lollies for middle ability and green lollies chosen for less challenging pages. The teacher questions class throughout storytelling, encouraging recapping of key information and development of empathy). </w:t>
      </w:r>
    </w:p>
    <w:p w14:paraId="4953DBD4"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Teacher: “Why is he asking that? Is nan in?” (Chooses volunteer).</w:t>
      </w:r>
    </w:p>
    <w:p w14:paraId="31252457"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Child B: “Because it is noisy”.</w:t>
      </w:r>
    </w:p>
    <w:p w14:paraId="78EFECA7"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Teacher: “Any other reason?”</w:t>
      </w:r>
    </w:p>
    <w:p w14:paraId="2756B4B6"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Child F: “Because he is worried”.</w:t>
      </w:r>
    </w:p>
    <w:p w14:paraId="445F6F47"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Teacher: “Good, why might he be worried?”</w:t>
      </w:r>
    </w:p>
    <w:p w14:paraId="1C3CC35F"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 xml:space="preserve">Child E: “Because he cannot see nan and he is starting to get scared because she is not there”. </w:t>
      </w:r>
    </w:p>
    <w:p w14:paraId="621FDF6A"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 xml:space="preserve">(Discussion continues). </w:t>
      </w:r>
    </w:p>
    <w:p w14:paraId="7BCABF6B"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ab/>
        <w:t xml:space="preserve">Questioning was emphasised throughout this discussion proving to be an essential strategy which promotes metacognition skills throughout children’s learning. It enables the teacher to assess the children’s existing knowledge of a topic and to receive instant feedback (Morgan and Saxton, 2006). This further allows a time efficient process of reflection for teachers (Morgan and Saxton, 2006). Children are encouraged to become inquisitive individuals through questioning (Morgan and Saxton, 2006). Questioning, especially open questioning empowers children’s brains to develop reasoning skills, empathy, curiosity and imagination unknowingly (Ginnis, 2002).  Children develop awareness of topic, others and their surrounding world through effective questioning, motivating them to become inquisitive learners to promote independent learning (Kerry, 2002). Donaldson supports questioning to be used frequently throughout teaching, as purposes outlined within his Successful Futures Report is for children to develop into capable and creative individuals (Donaldson, 2015). </w:t>
      </w:r>
    </w:p>
    <w:p w14:paraId="2C1E6AE0" w14:textId="77777777" w:rsidR="00D640B2" w:rsidRPr="0048150C" w:rsidRDefault="00D640B2" w:rsidP="00D640B2">
      <w:pPr>
        <w:spacing w:line="480" w:lineRule="auto"/>
        <w:ind w:firstLine="720"/>
        <w:rPr>
          <w:rFonts w:ascii="Arial" w:hAnsi="Arial" w:cs="Arial"/>
          <w:sz w:val="24"/>
          <w:szCs w:val="24"/>
        </w:rPr>
      </w:pPr>
      <w:r w:rsidRPr="0048150C">
        <w:rPr>
          <w:rFonts w:ascii="Arial" w:hAnsi="Arial" w:cs="Arial"/>
          <w:sz w:val="24"/>
          <w:szCs w:val="24"/>
        </w:rPr>
        <w:t xml:space="preserve">The teacher used both closed and open questions which in turn promoted metacognition, collaborative learning and scaffolding (Alexander, 2008). Questioning enables children to widen their views and knowledge by collaborating with others, sharing ideas, developing thinking skills and metacognition through continuous classroom discussion with the teacher and peers (Ginnis, 2002, Rogers and Cunningham, undated </w:t>
      </w:r>
      <w:r w:rsidRPr="0048150C">
        <w:rPr>
          <w:rFonts w:ascii="Arial" w:hAnsi="Arial" w:cs="Arial"/>
          <w:i/>
          <w:sz w:val="24"/>
          <w:szCs w:val="24"/>
        </w:rPr>
        <w:t>cited in</w:t>
      </w:r>
      <w:r w:rsidRPr="0048150C">
        <w:rPr>
          <w:rFonts w:ascii="Arial" w:hAnsi="Arial" w:cs="Arial"/>
          <w:sz w:val="24"/>
          <w:szCs w:val="24"/>
        </w:rPr>
        <w:t xml:space="preserve"> Kerry 2002) which is demonstrated throughout this learning event. Using questioning the teacher challenges children to provide answers to a high quality to demonstrate their understanding (Kerry, 2002). All types of questioning techniques encourage children to collaborate and co-operate within the classroom (Kerry, 2002).</w:t>
      </w:r>
    </w:p>
    <w:p w14:paraId="25F6E8B8" w14:textId="77777777" w:rsidR="00D640B2" w:rsidRPr="0048150C" w:rsidRDefault="00D640B2" w:rsidP="00D640B2">
      <w:pPr>
        <w:spacing w:line="480" w:lineRule="auto"/>
        <w:ind w:firstLine="720"/>
        <w:rPr>
          <w:rFonts w:ascii="Arial" w:hAnsi="Arial" w:cs="Arial"/>
          <w:color w:val="222222"/>
          <w:sz w:val="24"/>
          <w:szCs w:val="24"/>
        </w:rPr>
      </w:pPr>
      <w:r w:rsidRPr="0048150C">
        <w:rPr>
          <w:rFonts w:ascii="Arial" w:hAnsi="Arial" w:cs="Arial"/>
          <w:color w:val="222222"/>
          <w:sz w:val="24"/>
          <w:szCs w:val="24"/>
          <w:shd w:val="clear" w:color="auto" w:fill="FFFFFF"/>
        </w:rPr>
        <w:t>By the teacher asking volunteers, it is most likely those children will be confident in their provided answers due to having confidence in their knowledge around the topic. Professor Stenhouse supports this stating questioning enable children to use their existing knowledge (Kerry, 2002) to develop a broader meaning of the text (Morgan and Saxton, 2006). In this learning event the teacher is encouraging children to develop a sense of empathy with the characters within the story, to use their own imagination to understand reasoning and extend their thinking in consideration to characters’ emotions (Morgan and Saxton, 2006). By children developing a sense of empathy throughout their learning is vital to promoting their awareness and importance of consideration to others and how these could be positively or negatively impacted (Gardner, 2006).</w:t>
      </w:r>
    </w:p>
    <w:p w14:paraId="0C4AB06A" w14:textId="77777777" w:rsidR="00D640B2" w:rsidRPr="0048150C" w:rsidRDefault="00D640B2" w:rsidP="00D640B2">
      <w:pPr>
        <w:spacing w:line="480" w:lineRule="auto"/>
        <w:ind w:firstLine="720"/>
        <w:rPr>
          <w:rFonts w:ascii="Arial" w:hAnsi="Arial" w:cs="Arial"/>
          <w:color w:val="222222"/>
          <w:sz w:val="24"/>
          <w:szCs w:val="24"/>
          <w:shd w:val="clear" w:color="auto" w:fill="FFFFFF"/>
        </w:rPr>
      </w:pPr>
      <w:r w:rsidRPr="0048150C">
        <w:rPr>
          <w:rFonts w:ascii="Arial" w:hAnsi="Arial" w:cs="Arial"/>
          <w:color w:val="222222"/>
          <w:sz w:val="24"/>
          <w:szCs w:val="24"/>
          <w:shd w:val="clear" w:color="auto" w:fill="FFFFFF"/>
        </w:rPr>
        <w:t>It was demonstrated throughout this learning event that by other more confident students putting their hands up and answering enables those less confident to listen, consider and analyse other people's answers to develop or further their own knowledge and understanding of the story. This is known as scaffolding (Alexander, 2008) and Zone of Proximal Development (ZPD) which was created by Vygotsky (Daniels, 2005). This is when children enhance their own knowledge through collaborating with others and exchanging ideas through interaction (Alexander, 2008). It is implied that the child uses their peer as a scaffold, so they can solely accomplish corresponding tasks, improving their understanding and confidence in time to, which is shown through increased involvement in activities (Alexander, 2008).</w:t>
      </w:r>
    </w:p>
    <w:p w14:paraId="285E969F" w14:textId="77777777" w:rsidR="00D640B2" w:rsidRPr="0048150C" w:rsidRDefault="00D640B2" w:rsidP="00D640B2">
      <w:pPr>
        <w:spacing w:line="480" w:lineRule="auto"/>
        <w:ind w:firstLine="720"/>
        <w:rPr>
          <w:rFonts w:ascii="Arial" w:hAnsi="Arial" w:cs="Arial"/>
          <w:color w:val="222222"/>
          <w:sz w:val="24"/>
          <w:szCs w:val="24"/>
          <w:shd w:val="clear" w:color="auto" w:fill="FFFFFF"/>
        </w:rPr>
      </w:pPr>
      <w:r w:rsidRPr="0048150C">
        <w:rPr>
          <w:rFonts w:ascii="Arial" w:hAnsi="Arial" w:cs="Arial"/>
          <w:color w:val="222222"/>
          <w:sz w:val="24"/>
          <w:szCs w:val="24"/>
          <w:shd w:val="clear" w:color="auto" w:fill="FFFFFF"/>
        </w:rPr>
        <w:t xml:space="preserve">Through questioning the teacher acts as a facilitator and scaffolds children’s learning through social interaction (Zhang, 2018), especially those less confident pupils who may struggle to understand the concept of the story or what is being asked (Daniels, 2005). By choosing volunteers to answer questions they also act as a scaffold to the less confident student (Daniels, 2005). By the children volunteering to answer this implies that they are confident and motivated to learn, therefore this should not hinder their well-being if they were to make a mistake (Zhang, 2018). It is evident using effective questioning provides the less confident to have the courage to actively participate (Alexander, 2008). </w:t>
      </w:r>
    </w:p>
    <w:p w14:paraId="4FC50982" w14:textId="77777777" w:rsidR="00D640B2" w:rsidRPr="0048150C" w:rsidRDefault="00D640B2" w:rsidP="00D640B2">
      <w:pPr>
        <w:spacing w:line="480" w:lineRule="auto"/>
        <w:ind w:firstLine="720"/>
        <w:rPr>
          <w:rFonts w:ascii="Arial" w:hAnsi="Arial" w:cs="Arial"/>
          <w:color w:val="222222"/>
          <w:sz w:val="24"/>
          <w:szCs w:val="24"/>
          <w:shd w:val="clear" w:color="auto" w:fill="FFFFFF"/>
        </w:rPr>
      </w:pPr>
      <w:r w:rsidRPr="0048150C">
        <w:rPr>
          <w:rFonts w:ascii="Arial" w:hAnsi="Arial" w:cs="Arial"/>
          <w:color w:val="222222"/>
          <w:sz w:val="24"/>
          <w:szCs w:val="24"/>
          <w:shd w:val="clear" w:color="auto" w:fill="FFFFFF"/>
        </w:rPr>
        <w:t xml:space="preserve">The teacher used red, blue and green lollypop sticks in a pot, which had children’s names on. Colours differed based on ability. The teacher selected a lolly pop stick then asked a question to tailor the selected child’s ability. This is supported by Alexander who states that the questions asked should not surpass the children’s capability but challenge them to provide more analysed and thoughtful answers (Alexander, 2008). It was evident throughout this learning event that children who were asked questions tailored to their ability, developed a sense of well-being, increased confidence and accomplishment. The use of lollypop sticks in this learning event promoted inclusion as all pupils had an equal chance of being chosen to answer (Alexander, 2008). </w:t>
      </w:r>
      <w:r w:rsidRPr="0048150C">
        <w:rPr>
          <w:rFonts w:ascii="Arial" w:hAnsi="Arial" w:cs="Arial"/>
          <w:sz w:val="24"/>
          <w:szCs w:val="24"/>
        </w:rPr>
        <w:t>Within this learning event, questioning is completed orally, eradicating requirements to write the answer. This ensures that those less academic in written work will not be hindered by orally producing an answer (Ginnis, 2002). This provides them with an easier opportunity for success, conformity of the task and in turn high confidence and self-esteem in comparison to lack of interest or confidence if completed in a written format (Ginnis, 2002).</w:t>
      </w:r>
    </w:p>
    <w:p w14:paraId="550A9F76" w14:textId="77777777" w:rsidR="00D640B2" w:rsidRPr="0048150C" w:rsidRDefault="00D640B2" w:rsidP="00D640B2">
      <w:pPr>
        <w:spacing w:line="480" w:lineRule="auto"/>
        <w:rPr>
          <w:rFonts w:ascii="Arial" w:hAnsi="Arial" w:cs="Arial"/>
          <w:sz w:val="24"/>
          <w:szCs w:val="24"/>
        </w:rPr>
      </w:pPr>
      <w:r w:rsidRPr="0048150C">
        <w:rPr>
          <w:rFonts w:ascii="Arial" w:hAnsi="Arial" w:cs="Arial"/>
          <w:sz w:val="24"/>
          <w:szCs w:val="24"/>
        </w:rPr>
        <w:tab/>
        <w:t xml:space="preserve">However, despite outlining that questioning within the classroom provides a rich and purposeful learning environment some researchers argue that children are not given the opportunity to develop their own question techniques (Morgan and Saxton, 2006). It is usually the teacher who queries pupils (Morgan and Saxton, 2006). It is believed that teachers do not necessary ask efficient types of questions in accordance to context to enhance children’s learning and without using questions in the right context or strategy they will be ineffective in promoting learning (Kerry, 2002).  Instead of asking open questions to promote reasoning and contextual thinking, teachers ask questions which help children remember key facts or criteria to pass exams, due to significant pressure to maintain high scores (Zhang, 2018). Kerry argues that teacher’s questioning techniques must improve to empower children’s learning and thinking skills effectively (Kerry, 2002). According to Zhang (2018), the type of questioning asked can impact the learning environment. It is stated that children become disengaged and de-motivated to join in with class discussions if the questions do not interest them resulting in being ineffective to their learning and holistic development (Zhang, 2018). </w:t>
      </w:r>
    </w:p>
    <w:p w14:paraId="1394468A" w14:textId="6747B171" w:rsidR="00D640B2" w:rsidRPr="0048150C" w:rsidRDefault="00D640B2" w:rsidP="00D640B2">
      <w:pPr>
        <w:spacing w:line="480" w:lineRule="auto"/>
        <w:ind w:firstLine="720"/>
        <w:rPr>
          <w:rFonts w:ascii="Arial" w:hAnsi="Arial" w:cs="Arial"/>
          <w:sz w:val="24"/>
          <w:szCs w:val="24"/>
          <w:highlight w:val="yellow"/>
        </w:rPr>
      </w:pPr>
      <w:r w:rsidRPr="0048150C">
        <w:rPr>
          <w:rFonts w:ascii="Arial" w:hAnsi="Arial" w:cs="Arial"/>
          <w:sz w:val="24"/>
          <w:szCs w:val="24"/>
        </w:rPr>
        <w:t xml:space="preserve">The drawback with questioning is the thinking time children are given is inadequate (Alexander, 2008), and children’s response time should be expanded (Estyn, 2013). Regarding recommendations, when using questioning within my own learning environment I would use the Strategy ‘think, pair, share’ (Estyn, 2013: page 7 paragraph 2). This enables children to have time </w:t>
      </w:r>
      <w:r w:rsidR="00C05CD4" w:rsidRPr="0048150C">
        <w:rPr>
          <w:rFonts w:ascii="Arial" w:hAnsi="Arial" w:cs="Arial"/>
          <w:sz w:val="24"/>
          <w:szCs w:val="24"/>
        </w:rPr>
        <w:t>to think</w:t>
      </w:r>
      <w:r w:rsidRPr="0048150C">
        <w:rPr>
          <w:rFonts w:ascii="Arial" w:hAnsi="Arial" w:cs="Arial"/>
          <w:sz w:val="24"/>
          <w:szCs w:val="24"/>
        </w:rPr>
        <w:t xml:space="preserve"> unaided, then collaborate with a pair to discuss their views, allowing consideration and scaffolding with peers (Kaddoura, 2013). The pairs then will exchange their answers with the class through social interaction (Kaddoura, 2013). This is vital to promote children communication and speech and allows children to consider their own views and others to expand their reasoning skills </w:t>
      </w:r>
      <w:r w:rsidR="00C05CD4" w:rsidRPr="0048150C">
        <w:rPr>
          <w:rFonts w:ascii="Arial" w:hAnsi="Arial" w:cs="Arial"/>
          <w:sz w:val="24"/>
          <w:szCs w:val="24"/>
        </w:rPr>
        <w:t>and cognitive</w:t>
      </w:r>
      <w:r w:rsidRPr="0048150C">
        <w:rPr>
          <w:rFonts w:ascii="Arial" w:hAnsi="Arial" w:cs="Arial"/>
          <w:sz w:val="24"/>
          <w:szCs w:val="24"/>
        </w:rPr>
        <w:t xml:space="preserve"> thinking significantly (Kaddoura, 2013).</w:t>
      </w:r>
    </w:p>
    <w:p w14:paraId="3A62D95A" w14:textId="77777777" w:rsidR="00D640B2" w:rsidRPr="0048150C" w:rsidRDefault="00D640B2" w:rsidP="00D640B2">
      <w:pPr>
        <w:spacing w:line="480" w:lineRule="auto"/>
        <w:ind w:firstLine="720"/>
        <w:rPr>
          <w:rFonts w:ascii="Arial" w:hAnsi="Arial" w:cs="Arial"/>
          <w:color w:val="222222"/>
          <w:sz w:val="24"/>
          <w:szCs w:val="24"/>
        </w:rPr>
      </w:pPr>
      <w:r w:rsidRPr="0048150C">
        <w:rPr>
          <w:rFonts w:ascii="Arial" w:hAnsi="Arial" w:cs="Arial"/>
          <w:color w:val="222222"/>
          <w:sz w:val="24"/>
          <w:szCs w:val="24"/>
        </w:rPr>
        <w:t xml:space="preserve">Estyn (2013) highlights some drawbacks to both open and closed questioning. Some children may be unable to express their views verbally (Estyn, 2013). They emphasise that children with additional learning needs may lack confidence, trust or ability to efficiently communicate during questioning, negatively impact their holistic development (Estyn, 2013). Moreover, infants lack expressive vocabulary and can only communicate with limited understanding to make judgements or comparisons of a given topic without guidance from teachers (Estyn, 2013). </w:t>
      </w:r>
    </w:p>
    <w:p w14:paraId="7D391487" w14:textId="77777777" w:rsidR="00D640B2" w:rsidRPr="0048150C" w:rsidRDefault="00D640B2" w:rsidP="00D640B2">
      <w:pPr>
        <w:spacing w:line="480" w:lineRule="auto"/>
        <w:ind w:firstLine="720"/>
        <w:rPr>
          <w:rFonts w:ascii="Arial" w:hAnsi="Arial" w:cs="Arial"/>
          <w:color w:val="222222"/>
          <w:sz w:val="24"/>
          <w:szCs w:val="24"/>
        </w:rPr>
      </w:pPr>
      <w:r w:rsidRPr="0048150C">
        <w:rPr>
          <w:rFonts w:ascii="Arial" w:hAnsi="Arial" w:cs="Arial"/>
          <w:color w:val="222222"/>
          <w:sz w:val="24"/>
          <w:szCs w:val="24"/>
        </w:rPr>
        <w:t xml:space="preserve">Lastly, </w:t>
      </w:r>
      <w:r w:rsidRPr="003D462E">
        <w:rPr>
          <w:rFonts w:ascii="Arial" w:hAnsi="Arial" w:cs="Arial"/>
          <w:sz w:val="24"/>
          <w:szCs w:val="24"/>
        </w:rPr>
        <w:t>the drawback linked to nominee questioning is that the child either does not know the answer, has lack of or no confidence to raise their hand in class discussions in fear of making mistakes and getting embarrassed (Florescu and Pop-Păcurar, (2016). This could have a detrimental effect on their holistic development and mental state (Dweck, 2012).</w:t>
      </w:r>
    </w:p>
    <w:p w14:paraId="75EBB4CB" w14:textId="77777777" w:rsidR="0032697A" w:rsidRPr="00612023" w:rsidRDefault="0032697A" w:rsidP="0032697A">
      <w:pPr>
        <w:spacing w:line="480" w:lineRule="auto"/>
        <w:rPr>
          <w:rFonts w:ascii="Arial" w:hAnsi="Arial" w:cs="Arial"/>
          <w:sz w:val="24"/>
          <w:szCs w:val="24"/>
        </w:rPr>
      </w:pPr>
      <w:r w:rsidRPr="00612023">
        <w:rPr>
          <w:rFonts w:ascii="Arial" w:hAnsi="Arial" w:cs="Arial"/>
          <w:sz w:val="24"/>
          <w:szCs w:val="24"/>
        </w:rPr>
        <w:t xml:space="preserve">Despite the drawbacks to questioning outlined, it is still an essential aspect to promote children’s learning, in accordance to crucial educational theorists. Throughout my chosen learning event social interaction between teachers, pupils and peers were demonstrated through questioning to promote children’s cognitive development (Alexander, 2008). This emphasises the teacher undertook a social constructivism approach to learning, which was created by Lev Vygotsky (Vygotsky, 1978). He created the concept of ZPD (Daniels, 2005) which is the gap between the child’s independent academic ability to complete tasks and their potential achievable development of overcoming problems by collaborating or having support from those individuals who have higher capabilities (Daniels, 2005). This demonstrates children progressing by using others as a facilitator; a concept described as scaffolding (Daniels, 2005). Moreover, another theorist Bruner took interest in Vygotsky’s work, believing the teacher acting as a facilitator plays an integral role to scaffold the children’s learning (Bruner, 1960). He states questioning children empowers openly socialise, collaborate with others to form links with their existing knowledge and develop independent rational thoughts and evaluation skills (Bruner, 1960). This is a key necessity to learning, rather than being taught the correct answers by the teacher (Bruner, 1960). </w:t>
      </w:r>
    </w:p>
    <w:p w14:paraId="6E83D99D" w14:textId="33506CBB" w:rsidR="0032697A" w:rsidRPr="00612023" w:rsidRDefault="0032697A" w:rsidP="0032697A">
      <w:pPr>
        <w:spacing w:line="480" w:lineRule="auto"/>
        <w:rPr>
          <w:rFonts w:ascii="Arial" w:hAnsi="Arial" w:cs="Arial"/>
          <w:sz w:val="24"/>
          <w:szCs w:val="24"/>
        </w:rPr>
      </w:pPr>
      <w:r w:rsidRPr="00612023">
        <w:rPr>
          <w:rFonts w:ascii="Arial" w:hAnsi="Arial" w:cs="Arial"/>
          <w:sz w:val="24"/>
          <w:szCs w:val="24"/>
        </w:rPr>
        <w:t xml:space="preserve">             In this learning event the teacher was the facilitator, who used questioning to encourage collaboration and interaction to scaffold children’s learning. This emphasises that Vygotsky’s Social Constructivism was the main theory embedded within this learning event. It was evident that social interaction played an integral role to enhance children’s cognitive development and thinking skills within this learning event. Empathy with characters was developed through collaboration with peers which was shown within this discussion. Furthermore, Bloom’s Taxonomy theory would support questioning and Vygotsky’s emphasis on social constructivism as they both promote the development of metacognition through interaction (Morgan and Saxton, 2006). Questioning children enables them to develop analytic thoughts (Morgan and Saxton, 2006) and gain self-control (Kerry, 2002) during collaboration to become decisive learners (Morgan and Saxton, 2006). Children work out problems and clarify mistakes through social interaction with others, rather than allowing it to hinder their learning experience or ability which is a vital key skill in real life (Ginnis, 2002). This proves Vygotsky’s Social </w:t>
      </w:r>
      <w:r w:rsidR="00C05CD4" w:rsidRPr="00612023">
        <w:rPr>
          <w:rFonts w:ascii="Arial" w:hAnsi="Arial" w:cs="Arial"/>
          <w:sz w:val="24"/>
          <w:szCs w:val="24"/>
        </w:rPr>
        <w:t>Constructivism</w:t>
      </w:r>
      <w:r w:rsidRPr="00612023">
        <w:rPr>
          <w:rFonts w:ascii="Arial" w:hAnsi="Arial" w:cs="Arial"/>
          <w:sz w:val="24"/>
          <w:szCs w:val="24"/>
        </w:rPr>
        <w:t xml:space="preserve"> theory to be effective to learning. Donaldson Successful Future Report support this theory and emphasises the importance of children’s awareness of life skills and being capable of developing and applying them for future reference in line with the importance of learning core subjects (Donaldson, 2015). </w:t>
      </w:r>
    </w:p>
    <w:p w14:paraId="53403E44" w14:textId="77777777" w:rsidR="0032697A" w:rsidRPr="00612023" w:rsidRDefault="0032697A" w:rsidP="0032697A">
      <w:pPr>
        <w:spacing w:line="480" w:lineRule="auto"/>
        <w:ind w:firstLine="720"/>
        <w:rPr>
          <w:rFonts w:ascii="Arial" w:hAnsi="Arial" w:cs="Arial"/>
          <w:sz w:val="24"/>
          <w:szCs w:val="24"/>
        </w:rPr>
      </w:pPr>
      <w:r w:rsidRPr="00612023">
        <w:rPr>
          <w:rFonts w:ascii="Arial" w:hAnsi="Arial" w:cs="Arial"/>
          <w:sz w:val="24"/>
          <w:szCs w:val="24"/>
        </w:rPr>
        <w:t>One criticism linked to Vygotsky’s ZPD is that his focus was solely on social ways to promote children’s cognitive learning rather than considering the child and their needs (Chaiklin, 2003). This implies that the child’s well-being may be dismissed in this theory and understanding or considering any underlying reasons regarding why the child may be incapable of responding accurately and gaining accomplishment of task is not included (Chaiklin, 2003). Lack of consideration for the child’s needs can be emphasised by Lui and Matthews (2005) who imply that Vygotsky’s ZPD theory does not account for those children with additional learning needs (ALN) or learning difficulties. They state that due to these difficulties, specific children’s ZPD may not increase through socially collaborating with more academic children, through scaffolding (Lui and Matthews, 2005). It must be considered that this learning theory created by Vygotsky may not be as effective to certain pupils in comparison to others, dependant on their needs and capabilities (Lui and Matthews, 2005).</w:t>
      </w:r>
    </w:p>
    <w:p w14:paraId="62A195A3" w14:textId="77777777" w:rsidR="0032697A" w:rsidRPr="00612023" w:rsidRDefault="0032697A" w:rsidP="0032697A">
      <w:pPr>
        <w:spacing w:line="480" w:lineRule="auto"/>
        <w:ind w:firstLine="720"/>
        <w:rPr>
          <w:rFonts w:ascii="Arial" w:hAnsi="Arial" w:cs="Arial"/>
          <w:sz w:val="24"/>
          <w:szCs w:val="24"/>
        </w:rPr>
      </w:pPr>
      <w:r w:rsidRPr="00612023">
        <w:rPr>
          <w:rFonts w:ascii="Arial" w:hAnsi="Arial" w:cs="Arial"/>
          <w:sz w:val="24"/>
          <w:szCs w:val="24"/>
        </w:rPr>
        <w:t xml:space="preserve">It is believed that modern educators do not appear to use Vygotsky’s social constructivism theory as a process in learning with peers within the classroom environment (Singh and Richards, </w:t>
      </w:r>
      <w:r w:rsidRPr="00612023">
        <w:rPr>
          <w:rFonts w:ascii="Arial" w:hAnsi="Arial" w:cs="Arial"/>
          <w:i/>
          <w:sz w:val="24"/>
          <w:szCs w:val="24"/>
        </w:rPr>
        <w:t xml:space="preserve">cited in </w:t>
      </w:r>
      <w:r w:rsidRPr="00612023">
        <w:rPr>
          <w:rFonts w:ascii="Arial" w:hAnsi="Arial" w:cs="Arial"/>
          <w:sz w:val="24"/>
          <w:szCs w:val="24"/>
        </w:rPr>
        <w:t xml:space="preserve">Shabini et al, 2010). Instead vast amounts of learning rely on electronic appliances to replicate as the scaffold rather than teacher asking questions (Singh and Richards, 2006 </w:t>
      </w:r>
      <w:r w:rsidRPr="00612023">
        <w:rPr>
          <w:rFonts w:ascii="Arial" w:hAnsi="Arial" w:cs="Arial"/>
          <w:i/>
          <w:sz w:val="24"/>
          <w:szCs w:val="24"/>
        </w:rPr>
        <w:t>cited in</w:t>
      </w:r>
      <w:r w:rsidRPr="00612023">
        <w:rPr>
          <w:rFonts w:ascii="Arial" w:hAnsi="Arial" w:cs="Arial"/>
          <w:sz w:val="24"/>
          <w:szCs w:val="24"/>
        </w:rPr>
        <w:t xml:space="preserve"> Shabini et al, 2010). Examples of these scaffolds are computers, key information on worksheets, photo or video recordings (Singh and Richards, 2006 </w:t>
      </w:r>
      <w:r w:rsidRPr="00612023">
        <w:rPr>
          <w:rFonts w:ascii="Arial" w:hAnsi="Arial" w:cs="Arial"/>
          <w:i/>
          <w:sz w:val="24"/>
          <w:szCs w:val="24"/>
        </w:rPr>
        <w:t>cited in</w:t>
      </w:r>
      <w:r w:rsidRPr="00612023">
        <w:rPr>
          <w:rFonts w:ascii="Arial" w:hAnsi="Arial" w:cs="Arial"/>
          <w:sz w:val="24"/>
          <w:szCs w:val="24"/>
        </w:rPr>
        <w:t xml:space="preserve"> Shabini et al., 2010). Despite these devices benefiting and enhancing children’s knowledge, they eradicate the opportunity to socialise and collaborate their ideas with peers therefore contradicting the purpose for social interaction (Llantolf, 2004) which is vital to Vygotsky’s theory. Lack of socialisation with peers eliminates the opportunity for children to develop collaborative thinking and reasoning with the opportunity to actively express and compare their cognitive viewpoints with peers (Singh and Richardson, 2006 </w:t>
      </w:r>
      <w:r w:rsidRPr="00612023">
        <w:rPr>
          <w:rFonts w:ascii="Arial" w:hAnsi="Arial" w:cs="Arial"/>
          <w:i/>
          <w:sz w:val="24"/>
          <w:szCs w:val="24"/>
        </w:rPr>
        <w:t>cited in</w:t>
      </w:r>
      <w:r w:rsidRPr="00612023">
        <w:rPr>
          <w:rFonts w:ascii="Arial" w:hAnsi="Arial" w:cs="Arial"/>
          <w:sz w:val="24"/>
          <w:szCs w:val="24"/>
        </w:rPr>
        <w:t xml:space="preserve"> Shabini et al., 2010). Digital competency is expected to become a compulsory subject and will be incorporated with other subjects across the curriculum according to the Successful Futures Report (Donaldson, 2015). This demonstrates that technology will be one of the main focuses for teaching within the learning environment within the forthcoming future (Donaldson, 2015). Despite the importance of ICT and digital Competence within the curriculum, some argue that using technology appliances as scaffolders may delay the children’s learning (Pearman and Chang, 2010). It is stated that children may become more focused on the unique characteristics of these devices during learning, distracting them from understanding the moral of the lesson (Pearman and Chang, 2010). This shows technology devices can be ineffective to some individual’s learning through scaffolding and instead are labelled as an interference to learning (Pearman and Chang, 2010).</w:t>
      </w:r>
    </w:p>
    <w:p w14:paraId="6BF66D5F" w14:textId="77777777" w:rsidR="0032697A" w:rsidRPr="00612023" w:rsidRDefault="0032697A" w:rsidP="0032697A">
      <w:pPr>
        <w:spacing w:line="480" w:lineRule="auto"/>
        <w:ind w:firstLine="720"/>
        <w:rPr>
          <w:rFonts w:ascii="Arial" w:hAnsi="Arial" w:cs="Arial"/>
          <w:sz w:val="24"/>
          <w:szCs w:val="24"/>
        </w:rPr>
      </w:pPr>
      <w:r w:rsidRPr="00612023">
        <w:rPr>
          <w:rFonts w:ascii="Arial" w:hAnsi="Arial" w:cs="Arial"/>
          <w:sz w:val="24"/>
          <w:szCs w:val="24"/>
        </w:rPr>
        <w:t xml:space="preserve">Lastly, it is argued that Vygotsky’s theories remained unfinished and uncoherent due to his ideas being created when he was unwell (Daniel, 2005). Laird argued that Vygotsky lacked understanding of language and only had basic knowledge of the focus of his theory with limited mental perspective, therefore implying his findings lack validity (Daniels, 2005).  </w:t>
      </w:r>
    </w:p>
    <w:p w14:paraId="67CEC993" w14:textId="77777777" w:rsidR="0032697A" w:rsidRPr="00612023" w:rsidRDefault="0032697A" w:rsidP="0032697A">
      <w:pPr>
        <w:spacing w:line="480" w:lineRule="auto"/>
        <w:rPr>
          <w:rFonts w:ascii="Arial" w:hAnsi="Arial" w:cs="Arial"/>
          <w:color w:val="222222"/>
          <w:sz w:val="24"/>
          <w:szCs w:val="24"/>
          <w:shd w:val="clear" w:color="auto" w:fill="FFFFFF"/>
          <w:lang w:val="en-US"/>
        </w:rPr>
      </w:pPr>
      <w:r w:rsidRPr="00612023">
        <w:rPr>
          <w:rFonts w:ascii="Arial" w:hAnsi="Arial" w:cs="Arial"/>
          <w:sz w:val="24"/>
          <w:szCs w:val="24"/>
        </w:rPr>
        <w:tab/>
        <w:t>A learning theory which contradicts nominee questioning within the classroom would be Dweck theory of Fixed Mindset (Dweck, 2012). Using Child C as an example in the learning event who did not put their hand up to answer but were nominated, Dweck would imply that due to answering incorrectly this could have had a negatively prolonged impact on their well-being (Dweck, 2012). As Child C appeared quiet after and disengaged with task, Dweck would imply that Child C could have a fixed mindset resulting in her feeling low, and that her lack of ability to answer correctly is inborn (Dweck, 2012). Child C will think that their ability cannot be improved no matter how hard they focus their answer will always be wrong because of their fixed mindset (Dweck, 2012). During future class discussion the child may appear disengaged and have low self-esteem, negatively impacting their learning and life experiences (Dweck, 2012).</w:t>
      </w:r>
      <w:r w:rsidRPr="00612023">
        <w:rPr>
          <w:rFonts w:ascii="Arial" w:hAnsi="Arial" w:cs="Arial"/>
          <w:color w:val="222222"/>
          <w:sz w:val="24"/>
          <w:szCs w:val="24"/>
          <w:shd w:val="clear" w:color="auto" w:fill="FFFFFF"/>
        </w:rPr>
        <w:t xml:space="preserve"> However, children with growth mindset will not be phased by making mistakes when nominated (Dweck, 2012). They believe through determination and increased concentration they can improve their ability and knowledge encouraging the child to progress and participate to develop accurate understanding (Dweck, 2012). Dweck’s theory can be supported by Leuven’s scale, which states that a child’s well-being can impact their level of engagement within the lesson or discussion (Leaven, 2008). He implies that if a child’s demonstrated negative well-being he or she may withdraw from the lesson or discussion, hindering their holistic development (Leaven, 2008). </w:t>
      </w:r>
      <w:r w:rsidRPr="00612023">
        <w:rPr>
          <w:rFonts w:ascii="Arial" w:hAnsi="Arial" w:cs="Arial"/>
          <w:color w:val="222222"/>
          <w:sz w:val="24"/>
          <w:szCs w:val="24"/>
          <w:shd w:val="clear" w:color="auto" w:fill="FFFFFF"/>
          <w:lang w:val="en-US"/>
        </w:rPr>
        <w:t>Self-esteem is a vital to children’s well-being as it gives the child a sense of worth and importance (Roberts, 2006). As noted within the learning event, the teacher did not depreciate Child C’s effort by being wrong (Hook and Vass, 2004). Instead the teacher praised the child for having confidence to answer the question when nominated and then explained giving feedback on why the answer was not quite right, demonstrating good practice (Hook and Vass, 2004).</w:t>
      </w:r>
    </w:p>
    <w:p w14:paraId="0317F42F" w14:textId="77777777" w:rsidR="0032697A" w:rsidRPr="00612023" w:rsidRDefault="0032697A" w:rsidP="0032697A">
      <w:pPr>
        <w:spacing w:line="480" w:lineRule="auto"/>
        <w:rPr>
          <w:rFonts w:ascii="Arial" w:hAnsi="Arial" w:cs="Arial"/>
          <w:sz w:val="24"/>
          <w:szCs w:val="24"/>
        </w:rPr>
      </w:pPr>
      <w:r w:rsidRPr="00612023">
        <w:rPr>
          <w:rFonts w:ascii="Arial" w:hAnsi="Arial" w:cs="Arial"/>
          <w:sz w:val="24"/>
          <w:szCs w:val="24"/>
        </w:rPr>
        <w:t xml:space="preserve"> </w:t>
      </w:r>
      <w:r w:rsidRPr="00612023">
        <w:rPr>
          <w:rFonts w:ascii="Arial" w:hAnsi="Arial" w:cs="Arial"/>
          <w:sz w:val="24"/>
          <w:szCs w:val="24"/>
        </w:rPr>
        <w:tab/>
        <w:t xml:space="preserve">Vygotsky’s Social Constructivism theory and the importance of social interaction was the theory I observed within my learning event, in the form of questioning. It has been emphasised throughout this essay the positive impact socialisation and collaboration with peers has on children’s learning. I will be using this approach for future practise throughout my own teaching experience. I believe that using interaction between peers and teachers can be used through various effective strategies such as questioning, class discussions, group or pair work. An important aspect I would consider is modelling good question techniques to the class to encourage peers to use effective questioning techniques with one another throughout all forms of talk and language activities. This would in turn expand their social skills, cognition and learning holistically (Alexander, 2008). Implementing awareness of children resources such as the teacher, their peers and technology devices should be encouraged as they are evident of being efficient scaffolds to learning effectively, maintaining engagement and utilising holistic development (Daniels, 2005). Using questioning strategies through communicating and interaction children develop their own perspective of topics, empathise and consider other people viewpoints which they may incorporate into their own learning perspectives (Morgan and Saxton, 2006). Furthermore, I believe that the use of social interaction, especially questioning is a key necessity to promote children’s learning and holistic development (Zhang, 2018). </w:t>
      </w:r>
    </w:p>
    <w:p w14:paraId="48FF5224" w14:textId="77777777" w:rsidR="0032697A" w:rsidRPr="00612023" w:rsidRDefault="0032697A" w:rsidP="0032697A">
      <w:pPr>
        <w:spacing w:line="480" w:lineRule="auto"/>
        <w:rPr>
          <w:rFonts w:ascii="Arial" w:hAnsi="Arial" w:cs="Arial"/>
          <w:sz w:val="24"/>
          <w:szCs w:val="24"/>
        </w:rPr>
      </w:pPr>
    </w:p>
    <w:p w14:paraId="05FF0939" w14:textId="77777777" w:rsidR="0032697A" w:rsidRPr="00612023" w:rsidRDefault="0032697A" w:rsidP="0032697A">
      <w:pPr>
        <w:spacing w:line="480" w:lineRule="auto"/>
        <w:rPr>
          <w:rFonts w:ascii="Arial" w:hAnsi="Arial" w:cs="Arial"/>
          <w:sz w:val="24"/>
          <w:szCs w:val="24"/>
        </w:rPr>
      </w:pPr>
    </w:p>
    <w:p w14:paraId="24118788" w14:textId="77777777" w:rsidR="0032697A" w:rsidRPr="00612023" w:rsidRDefault="0032697A" w:rsidP="0032697A">
      <w:pPr>
        <w:spacing w:line="480" w:lineRule="auto"/>
        <w:rPr>
          <w:rFonts w:ascii="Arial" w:hAnsi="Arial" w:cs="Arial"/>
          <w:sz w:val="24"/>
          <w:szCs w:val="24"/>
        </w:rPr>
      </w:pPr>
    </w:p>
    <w:p w14:paraId="4F892C3F" w14:textId="77777777" w:rsidR="0032697A" w:rsidRPr="00612023" w:rsidRDefault="0032697A" w:rsidP="0032697A">
      <w:pPr>
        <w:spacing w:line="480" w:lineRule="auto"/>
        <w:rPr>
          <w:rFonts w:ascii="Arial" w:hAnsi="Arial" w:cs="Arial"/>
          <w:sz w:val="24"/>
          <w:szCs w:val="24"/>
        </w:rPr>
      </w:pPr>
    </w:p>
    <w:p w14:paraId="5C733D6F" w14:textId="77777777" w:rsidR="0032697A" w:rsidRPr="00612023" w:rsidRDefault="0032697A" w:rsidP="0032697A">
      <w:pPr>
        <w:spacing w:line="480" w:lineRule="auto"/>
        <w:rPr>
          <w:rFonts w:ascii="Arial" w:hAnsi="Arial" w:cs="Arial"/>
          <w:sz w:val="24"/>
          <w:szCs w:val="24"/>
        </w:rPr>
      </w:pPr>
    </w:p>
    <w:p w14:paraId="4C08AF47" w14:textId="77777777" w:rsidR="0032697A" w:rsidRPr="00612023" w:rsidRDefault="0032697A" w:rsidP="0032697A">
      <w:pPr>
        <w:spacing w:line="480" w:lineRule="auto"/>
        <w:rPr>
          <w:rFonts w:ascii="Arial" w:hAnsi="Arial" w:cs="Arial"/>
          <w:sz w:val="24"/>
          <w:szCs w:val="24"/>
        </w:rPr>
      </w:pPr>
      <w:bookmarkStart w:id="0" w:name="_Hlk527419250"/>
    </w:p>
    <w:bookmarkEnd w:id="0"/>
    <w:p w14:paraId="11D58026" w14:textId="77777777" w:rsidR="00D640B2" w:rsidRPr="0048150C" w:rsidRDefault="00D640B2" w:rsidP="00D640B2">
      <w:pPr>
        <w:spacing w:line="480" w:lineRule="auto"/>
        <w:rPr>
          <w:rFonts w:ascii="Arial" w:hAnsi="Arial" w:cs="Arial"/>
          <w:sz w:val="24"/>
          <w:szCs w:val="24"/>
          <w:highlight w:val="yellow"/>
        </w:rPr>
      </w:pPr>
    </w:p>
    <w:p w14:paraId="18D8772A" w14:textId="7400F7E0" w:rsidR="00D640B2" w:rsidRDefault="00D80BD0" w:rsidP="00C703E7">
      <w:pPr>
        <w:shd w:val="clear" w:color="auto" w:fill="FFFFFF"/>
        <w:spacing w:after="200" w:line="480" w:lineRule="auto"/>
        <w:rPr>
          <w:rFonts w:ascii="Arial" w:hAnsi="Arial" w:cs="Arial"/>
          <w:color w:val="222222"/>
          <w:sz w:val="24"/>
          <w:szCs w:val="24"/>
        </w:rPr>
      </w:pPr>
      <w:r>
        <w:rPr>
          <w:rFonts w:ascii="Arial" w:hAnsi="Arial" w:cs="Arial"/>
          <w:noProof/>
          <w:color w:val="222222"/>
          <w:sz w:val="24"/>
          <w:szCs w:val="24"/>
        </w:rPr>
        <w:drawing>
          <wp:anchor distT="0" distB="0" distL="114300" distR="114300" simplePos="0" relativeHeight="251659264" behindDoc="1" locked="0" layoutInCell="1" allowOverlap="1" wp14:anchorId="333F963B" wp14:editId="6CE5D0FA">
            <wp:simplePos x="0" y="0"/>
            <wp:positionH relativeFrom="column">
              <wp:posOffset>-613410</wp:posOffset>
            </wp:positionH>
            <wp:positionV relativeFrom="paragraph">
              <wp:posOffset>332213</wp:posOffset>
            </wp:positionV>
            <wp:extent cx="1890395" cy="1450340"/>
            <wp:effectExtent l="0" t="0" r="0" b="0"/>
            <wp:wrapTight wrapText="bothSides">
              <wp:wrapPolygon edited="0">
                <wp:start x="0" y="0"/>
                <wp:lineTo x="0" y="21278"/>
                <wp:lineTo x="21332" y="21278"/>
                <wp:lineTo x="2133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et area.png"/>
                    <pic:cNvPicPr/>
                  </pic:nvPicPr>
                  <pic:blipFill>
                    <a:blip r:embed="rId7">
                      <a:extLst>
                        <a:ext uri="{28A0092B-C50C-407E-A947-70E740481C1C}">
                          <a14:useLocalDpi xmlns:a14="http://schemas.microsoft.com/office/drawing/2010/main" val="0"/>
                        </a:ext>
                      </a:extLst>
                    </a:blip>
                    <a:stretch>
                      <a:fillRect/>
                    </a:stretch>
                  </pic:blipFill>
                  <pic:spPr>
                    <a:xfrm>
                      <a:off x="0" y="0"/>
                      <a:ext cx="1890395" cy="14503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color w:val="222222"/>
          <w:sz w:val="24"/>
          <w:szCs w:val="24"/>
        </w:rPr>
        <w:drawing>
          <wp:anchor distT="0" distB="0" distL="114300" distR="114300" simplePos="0" relativeHeight="251660288" behindDoc="1" locked="0" layoutInCell="1" allowOverlap="1" wp14:anchorId="51913565" wp14:editId="61FD5E2D">
            <wp:simplePos x="0" y="0"/>
            <wp:positionH relativeFrom="column">
              <wp:posOffset>1271795</wp:posOffset>
            </wp:positionH>
            <wp:positionV relativeFrom="paragraph">
              <wp:posOffset>188814</wp:posOffset>
            </wp:positionV>
            <wp:extent cx="4963160" cy="2806065"/>
            <wp:effectExtent l="0" t="0" r="8890" b="0"/>
            <wp:wrapTight wrapText="bothSides">
              <wp:wrapPolygon edited="0">
                <wp:start x="0" y="0"/>
                <wp:lineTo x="0" y="21409"/>
                <wp:lineTo x="21556" y="21409"/>
                <wp:lineTo x="2155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nside class final.png"/>
                    <pic:cNvPicPr/>
                  </pic:nvPicPr>
                  <pic:blipFill>
                    <a:blip r:embed="rId8">
                      <a:extLst>
                        <a:ext uri="{28A0092B-C50C-407E-A947-70E740481C1C}">
                          <a14:useLocalDpi xmlns:a14="http://schemas.microsoft.com/office/drawing/2010/main" val="0"/>
                        </a:ext>
                      </a:extLst>
                    </a:blip>
                    <a:stretch>
                      <a:fillRect/>
                    </a:stretch>
                  </pic:blipFill>
                  <pic:spPr>
                    <a:xfrm>
                      <a:off x="0" y="0"/>
                      <a:ext cx="4963160" cy="2806065"/>
                    </a:xfrm>
                    <a:prstGeom prst="rect">
                      <a:avLst/>
                    </a:prstGeom>
                  </pic:spPr>
                </pic:pic>
              </a:graphicData>
            </a:graphic>
            <wp14:sizeRelH relativeFrom="page">
              <wp14:pctWidth>0</wp14:pctWidth>
            </wp14:sizeRelH>
            <wp14:sizeRelV relativeFrom="page">
              <wp14:pctHeight>0</wp14:pctHeight>
            </wp14:sizeRelV>
          </wp:anchor>
        </w:drawing>
      </w:r>
    </w:p>
    <w:p w14:paraId="07DECB88" w14:textId="478F084C" w:rsidR="00C703E7" w:rsidRDefault="00C703E7"/>
    <w:p w14:paraId="553E20A7" w14:textId="40CC4EF8" w:rsidR="00D80BD0" w:rsidRDefault="00D80BD0"/>
    <w:p w14:paraId="78FE5A87" w14:textId="50E3F676" w:rsidR="00D80BD0" w:rsidRDefault="00D80BD0"/>
    <w:p w14:paraId="5472EBCD" w14:textId="57CCF6A1" w:rsidR="00D80BD0" w:rsidRDefault="00D80BD0"/>
    <w:p w14:paraId="6D1E728D" w14:textId="441D72EC" w:rsidR="00D80BD0" w:rsidRDefault="00D80BD0"/>
    <w:p w14:paraId="38CEB08F" w14:textId="6C583C35" w:rsidR="00D80BD0" w:rsidRDefault="00D80BD0"/>
    <w:p w14:paraId="100AAA6D" w14:textId="0438E41A" w:rsidR="00D80BD0" w:rsidRDefault="00D80BD0"/>
    <w:p w14:paraId="15937E62" w14:textId="56642D46" w:rsidR="00D80BD0" w:rsidRDefault="00D80BD0"/>
    <w:p w14:paraId="5C29AEB2" w14:textId="461FBB74" w:rsidR="00D80BD0" w:rsidRDefault="00D80BD0"/>
    <w:p w14:paraId="4A673458" w14:textId="745000B0" w:rsidR="00D80BD0" w:rsidRDefault="00D80BD0"/>
    <w:p w14:paraId="3C374F48" w14:textId="308246D0" w:rsidR="00D80BD0" w:rsidRDefault="00D80BD0"/>
    <w:p w14:paraId="02484B7C" w14:textId="33D54B8E" w:rsidR="00D80BD0" w:rsidRDefault="000F279F">
      <w:r>
        <w:rPr>
          <w:noProof/>
        </w:rPr>
        <w:drawing>
          <wp:anchor distT="0" distB="0" distL="114300" distR="114300" simplePos="0" relativeHeight="251661312" behindDoc="1" locked="0" layoutInCell="1" allowOverlap="1" wp14:anchorId="5294CD0A" wp14:editId="2C53B6F2">
            <wp:simplePos x="0" y="0"/>
            <wp:positionH relativeFrom="margin">
              <wp:align>right</wp:align>
            </wp:positionH>
            <wp:positionV relativeFrom="paragraph">
              <wp:posOffset>337426</wp:posOffset>
            </wp:positionV>
            <wp:extent cx="5731510" cy="3223895"/>
            <wp:effectExtent l="0" t="0" r="2540" b="0"/>
            <wp:wrapTight wrapText="bothSides">
              <wp:wrapPolygon edited="0">
                <wp:start x="0" y="0"/>
                <wp:lineTo x="0" y="21443"/>
                <wp:lineTo x="21538" y="21443"/>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utside area final.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18C04C0C" w14:textId="32060E94" w:rsidR="00256D50" w:rsidRPr="00256D50" w:rsidRDefault="00256D50" w:rsidP="00256D50"/>
    <w:p w14:paraId="2D6A0E52" w14:textId="58B42F5D" w:rsidR="00256D50" w:rsidRPr="00256D50" w:rsidRDefault="00256D50" w:rsidP="00256D50"/>
    <w:p w14:paraId="1389D8E1" w14:textId="2A51FE44" w:rsidR="00256D50" w:rsidRPr="00256D50" w:rsidRDefault="00256D50" w:rsidP="00256D50"/>
    <w:p w14:paraId="269437F8" w14:textId="1F33E097" w:rsidR="00256D50" w:rsidRPr="00256D50" w:rsidRDefault="00256D50" w:rsidP="00256D50"/>
    <w:p w14:paraId="243BBCE0" w14:textId="22C9A3CF" w:rsidR="00256D50" w:rsidRPr="00256D50" w:rsidRDefault="00256D50" w:rsidP="00256D50"/>
    <w:p w14:paraId="2C9E0C26" w14:textId="4644E060" w:rsidR="00256D50" w:rsidRPr="00256D50" w:rsidRDefault="00256D50" w:rsidP="00256D50"/>
    <w:p w14:paraId="0C120A54" w14:textId="2134B337" w:rsidR="00256D50" w:rsidRPr="00360857" w:rsidRDefault="00256D50" w:rsidP="00256D50">
      <w:pPr>
        <w:spacing w:line="480" w:lineRule="auto"/>
        <w:ind w:firstLine="720"/>
        <w:rPr>
          <w:rFonts w:ascii="Arial" w:hAnsi="Arial" w:cs="Arial"/>
          <w:sz w:val="24"/>
          <w:szCs w:val="24"/>
          <w:u w:val="single"/>
        </w:rPr>
      </w:pPr>
      <w:r w:rsidRPr="00360857">
        <w:rPr>
          <w:rFonts w:ascii="Arial" w:hAnsi="Arial" w:cs="Arial"/>
          <w:sz w:val="24"/>
          <w:szCs w:val="24"/>
        </w:rPr>
        <w:t xml:space="preserve">Effective learning environments differ within any setting with certain desired goals (Watkins, Carnell and Lodge, 2007). If the surroundings encourage engagement, metacognition and cater for all individual needs then this promotes a positive environment where learning can take place effectively (Watkins, Carnell and Lodge, 2007). Within my poster I have indicated how I would structure my classroom and </w:t>
      </w:r>
      <w:r w:rsidR="00C05CD4" w:rsidRPr="00360857">
        <w:rPr>
          <w:rFonts w:ascii="Arial" w:hAnsi="Arial" w:cs="Arial"/>
          <w:sz w:val="24"/>
          <w:szCs w:val="24"/>
        </w:rPr>
        <w:t>include</w:t>
      </w:r>
      <w:r w:rsidRPr="00360857">
        <w:rPr>
          <w:rFonts w:ascii="Arial" w:hAnsi="Arial" w:cs="Arial"/>
          <w:sz w:val="24"/>
          <w:szCs w:val="24"/>
        </w:rPr>
        <w:t xml:space="preserve"> desired designated areas within my year one class. All chosen designated areas been shown briefly within the poster. However, I will focus on three specific areas within my classroom which I feel are significant aspects to promote an inclusive and effective learning environment that encourages holistic development and meets all pupils’ needs. </w:t>
      </w:r>
    </w:p>
    <w:p w14:paraId="2B22FB6E" w14:textId="77777777" w:rsidR="00256D50" w:rsidRPr="00360857" w:rsidRDefault="00256D50" w:rsidP="00256D50">
      <w:pPr>
        <w:spacing w:line="480" w:lineRule="auto"/>
        <w:rPr>
          <w:rFonts w:ascii="Arial" w:hAnsi="Arial" w:cs="Arial"/>
          <w:sz w:val="24"/>
          <w:szCs w:val="24"/>
          <w:u w:val="single"/>
        </w:rPr>
      </w:pPr>
      <w:r w:rsidRPr="00360857">
        <w:rPr>
          <w:rFonts w:ascii="Arial" w:hAnsi="Arial" w:cs="Arial"/>
          <w:sz w:val="24"/>
          <w:szCs w:val="24"/>
          <w:u w:val="single"/>
        </w:rPr>
        <w:t>Outdoor Learning:</w:t>
      </w:r>
    </w:p>
    <w:p w14:paraId="7814664D" w14:textId="77777777" w:rsidR="00256D50" w:rsidRPr="00360857" w:rsidRDefault="00256D50" w:rsidP="00256D50">
      <w:pPr>
        <w:spacing w:line="480" w:lineRule="auto"/>
        <w:ind w:firstLine="720"/>
        <w:rPr>
          <w:rFonts w:ascii="Arial" w:hAnsi="Arial" w:cs="Arial"/>
          <w:sz w:val="24"/>
          <w:szCs w:val="24"/>
        </w:rPr>
      </w:pPr>
      <w:r w:rsidRPr="00360857">
        <w:rPr>
          <w:rFonts w:ascii="Arial" w:hAnsi="Arial" w:cs="Arial"/>
          <w:sz w:val="24"/>
          <w:szCs w:val="24"/>
        </w:rPr>
        <w:t>I would have an outdoor learning area within the yard consisting of a water tray, mud kitchen, a shed (which changes depending on term topic) and garden area. There will be different sensory trays where children will be encouraged to use to practice letter or number formations. I would then question the children asking, “What senses are you using?” or “Describe how the material feels?” This demonstrates that sensory learning can be promoted in outdoor environments, encouraging children to investigate and become experiential learners (</w:t>
      </w:r>
      <w:r w:rsidRPr="00360857">
        <w:rPr>
          <w:rFonts w:ascii="Arial" w:hAnsi="Arial" w:cs="Arial"/>
          <w:sz w:val="24"/>
          <w:szCs w:val="24"/>
          <w:shd w:val="clear" w:color="auto" w:fill="FFFFFF"/>
        </w:rPr>
        <w:t>Bruce, 1987)</w:t>
      </w:r>
      <w:r w:rsidRPr="00360857">
        <w:rPr>
          <w:rFonts w:ascii="Arial" w:hAnsi="Arial" w:cs="Arial"/>
          <w:sz w:val="24"/>
          <w:szCs w:val="24"/>
        </w:rPr>
        <w:t>. I would encourage children to participate in experiential learning outdoors enabling children to broaden their cognitive thinking skills, use initiative and gain awareness of instincts and morals (Montessori, 1995).</w:t>
      </w:r>
    </w:p>
    <w:p w14:paraId="41A592C8" w14:textId="77777777" w:rsidR="00256D50" w:rsidRPr="00360857" w:rsidRDefault="00256D50" w:rsidP="00256D50">
      <w:pPr>
        <w:spacing w:line="480" w:lineRule="auto"/>
        <w:ind w:firstLine="720"/>
        <w:rPr>
          <w:rFonts w:ascii="Arial" w:hAnsi="Arial" w:cs="Arial"/>
          <w:sz w:val="24"/>
          <w:szCs w:val="24"/>
        </w:rPr>
      </w:pPr>
      <w:r w:rsidRPr="00360857">
        <w:rPr>
          <w:rFonts w:ascii="Arial" w:hAnsi="Arial" w:cs="Arial"/>
          <w:sz w:val="24"/>
          <w:szCs w:val="24"/>
        </w:rPr>
        <w:t xml:space="preserve">I believe that outdoor learning plays an essential element to children’s’ holistic development. Several versatile resources can be used outdoors to encourage children to become motivated and attentive learners where they develop interest and determination to find information and answers in a natural and independent manner, unknowingly enhancing their learning (Grigg, 2015) This is supported by the constructivist theory (Grigg, 2015). Outdoor learning is significant in providing refreshing learning opportunities to children where children develop conclusions of self and a sense of the surrounding world (Grigg, 2015 Isaacs, 1971). This, in turn improves their confidence and self-esteem, this being essential to their wellbeing (Mountney, 2009). </w:t>
      </w:r>
    </w:p>
    <w:p w14:paraId="07FCD169" w14:textId="77777777" w:rsidR="00256D50" w:rsidRPr="00360857" w:rsidRDefault="00256D50" w:rsidP="00256D50">
      <w:pPr>
        <w:spacing w:line="480" w:lineRule="auto"/>
        <w:ind w:firstLine="720"/>
        <w:rPr>
          <w:rFonts w:ascii="Arial" w:hAnsi="Arial" w:cs="Arial"/>
          <w:sz w:val="24"/>
          <w:szCs w:val="24"/>
          <w:highlight w:val="yellow"/>
        </w:rPr>
      </w:pPr>
      <w:r w:rsidRPr="00360857">
        <w:rPr>
          <w:rFonts w:ascii="Arial" w:hAnsi="Arial" w:cs="Arial"/>
          <w:sz w:val="24"/>
          <w:szCs w:val="24"/>
        </w:rPr>
        <w:tab/>
        <w:t xml:space="preserve">It is evident that learning outdoors stimulates children’s learning, providing regular challenges for all abilities promoting differentiation (Welsh Assembly Government (WAG), undated). Within the chosen outdoor activity ideas outlined above children can be in control and develop acceptance of their surroundings and peers which is vital according to Rogers (Grigg, 2015) as children develop into non-judgmental citizens (Grigg, 2015). Children appear more interested and engaged within the outdoors as they do not distinguish outdoors with working, unknowingly children are and enhancing their understanding about real life situations with there can later transfer into the real world (Freire, 1970). Children develop basic life skills and increase confidence through undertaking risks outdoors; a key purpose highlighted in the Successful Futures Report (Donaldson, 2015). </w:t>
      </w:r>
      <w:r w:rsidRPr="00360857">
        <w:rPr>
          <w:rFonts w:ascii="Arial" w:hAnsi="Arial" w:cs="Arial"/>
          <w:sz w:val="24"/>
          <w:szCs w:val="24"/>
          <w:shd w:val="clear" w:color="auto" w:fill="FFFFFF"/>
        </w:rPr>
        <w:t xml:space="preserve">Estyn (2016) supports outdoor learning expressing the benefit it has on children holistically, as they develop life skills which they can use and incorporate in the future situations. </w:t>
      </w:r>
      <w:r w:rsidRPr="00360857">
        <w:rPr>
          <w:rFonts w:ascii="Arial" w:hAnsi="Arial" w:cs="Arial"/>
          <w:sz w:val="24"/>
          <w:szCs w:val="24"/>
        </w:rPr>
        <w:t xml:space="preserve">This allows the learning to have purpose making it noteworthy for children (Holt, 1984). </w:t>
      </w:r>
    </w:p>
    <w:p w14:paraId="08FA58F4" w14:textId="77777777" w:rsidR="00256D50" w:rsidRPr="00360857" w:rsidRDefault="00256D50" w:rsidP="00256D50">
      <w:pPr>
        <w:spacing w:line="480" w:lineRule="auto"/>
        <w:ind w:firstLine="720"/>
        <w:rPr>
          <w:rFonts w:ascii="Arial" w:hAnsi="Arial" w:cs="Arial"/>
          <w:sz w:val="24"/>
          <w:szCs w:val="24"/>
        </w:rPr>
      </w:pPr>
      <w:r w:rsidRPr="00360857">
        <w:rPr>
          <w:rFonts w:ascii="Arial" w:hAnsi="Arial" w:cs="Arial"/>
          <w:sz w:val="24"/>
          <w:szCs w:val="24"/>
        </w:rPr>
        <w:t>However, unpredictable weather can limit the opportunities children have to use the outdoors (WAG, undated). Despite this, encouragement from teachers to children to bring in suitable clothing for all weathers overcomes this issue (WAG, undated).</w:t>
      </w:r>
    </w:p>
    <w:p w14:paraId="073337C6" w14:textId="77777777" w:rsidR="00256D50" w:rsidRPr="00360857" w:rsidRDefault="00256D50" w:rsidP="00256D50">
      <w:pPr>
        <w:spacing w:line="480" w:lineRule="auto"/>
        <w:rPr>
          <w:rFonts w:ascii="Arial" w:hAnsi="Arial" w:cs="Arial"/>
          <w:sz w:val="24"/>
          <w:szCs w:val="24"/>
          <w:u w:val="single"/>
        </w:rPr>
      </w:pPr>
      <w:r w:rsidRPr="00360857">
        <w:rPr>
          <w:rFonts w:ascii="Arial" w:hAnsi="Arial" w:cs="Arial"/>
          <w:sz w:val="24"/>
          <w:szCs w:val="24"/>
          <w:u w:val="single"/>
        </w:rPr>
        <w:t>Role Play:</w:t>
      </w:r>
    </w:p>
    <w:p w14:paraId="52EF6412" w14:textId="3215B625" w:rsidR="00256D50" w:rsidRPr="00360857" w:rsidRDefault="00256D50" w:rsidP="00256D50">
      <w:pPr>
        <w:spacing w:line="480" w:lineRule="auto"/>
        <w:ind w:firstLine="720"/>
        <w:rPr>
          <w:rFonts w:ascii="Arial" w:hAnsi="Arial" w:cs="Arial"/>
          <w:sz w:val="24"/>
          <w:szCs w:val="24"/>
        </w:rPr>
      </w:pPr>
      <w:r w:rsidRPr="00360857">
        <w:rPr>
          <w:rFonts w:ascii="Arial" w:hAnsi="Arial" w:cs="Arial"/>
          <w:sz w:val="24"/>
          <w:szCs w:val="24"/>
        </w:rPr>
        <w:t xml:space="preserve">Role play is significant to promoting an effective learning environment. The Role Play Area will be versatile and will change termly dependant on class topic e.g. vets, shop etc. Role play is </w:t>
      </w:r>
      <w:r w:rsidR="00C05CD4" w:rsidRPr="00360857">
        <w:rPr>
          <w:rFonts w:ascii="Arial" w:hAnsi="Arial" w:cs="Arial"/>
          <w:sz w:val="24"/>
          <w:szCs w:val="24"/>
        </w:rPr>
        <w:t>an</w:t>
      </w:r>
      <w:r w:rsidRPr="00360857">
        <w:rPr>
          <w:rFonts w:ascii="Arial" w:hAnsi="Arial" w:cs="Arial"/>
          <w:sz w:val="24"/>
          <w:szCs w:val="24"/>
        </w:rPr>
        <w:t xml:space="preserve"> enjoyable and stimulating activity where children can actively re-create their learning, to expand and demonstrate how their understanding has been incorporated (Harries, 2003). Children may imitate and innovate characters within the topic or even the teacher (Harries, 2003) by using their creativity and expression through experiential learning heightening engagement (Dewey, 1959). Children appear to maintain interaction and retain memorable moments by gaining first hand experiences and by actively controlling their learning according to Montessori (Lillard, 1996). Froebel states that independent learning is encouraged in role play and creates an engaging environment where children are stimulated (Barlett, Burton and Peim, 2012). Role Play promotes independence, group work and socialisation skills which as highlighted previously through Vygotsky implying that these concepts are necessities to children’s holistic development (Vygotsky, 1978). Questioning will be encouraged regularly during role play promoting social interactions between peers when imitating various characters. Current Curriculum for Wales (CfW) (2015) and Donaldson’s Successful Futures Report (2015) emphasises plays significance to learning. Role play promotes peer compassion; respect to form relationships; development of creativity; exploration skills and awareness of surroundings (CfW, 2015 and Shipley, 2008). Moreover, children’s language capabilities can be promoted through role play by interacting with others (Shipley, 2008). Role play encourages children to gain relationships with peers, collaborate and use initiative to conform or overcome disputes (Bodrova and Leong, 2005) Therefore developing resilience and becoming decisive individuals (Bodrova and Leong, 2005). Donaldson supports role play as it promotes high levels of self-expectations and confidence; children become ethical citizens by developing empathy and respect to others through communicating and develop wider understanding of expertise to defeat real life problems which are key desired outcomes to his Successful Future Report (Donaldson, 2015). </w:t>
      </w:r>
    </w:p>
    <w:p w14:paraId="44DEE8C5" w14:textId="77777777" w:rsidR="00256D50" w:rsidRPr="00360857" w:rsidRDefault="00256D50" w:rsidP="00256D50">
      <w:pPr>
        <w:spacing w:line="480" w:lineRule="auto"/>
        <w:ind w:firstLine="720"/>
        <w:rPr>
          <w:rFonts w:ascii="Arial" w:hAnsi="Arial" w:cs="Arial"/>
          <w:sz w:val="24"/>
          <w:szCs w:val="24"/>
        </w:rPr>
      </w:pPr>
      <w:r w:rsidRPr="00360857">
        <w:rPr>
          <w:rFonts w:ascii="Arial" w:hAnsi="Arial" w:cs="Arial"/>
          <w:sz w:val="24"/>
          <w:szCs w:val="24"/>
        </w:rPr>
        <w:t xml:space="preserve">However, some pupils may display low level of comfort and may lack confidence to participate in role play (Woodhouse, 2007). Others may behave inappropriately or disruptively within role play due to feeling uncomfortable or knowing the teacher will not be closely monitoring this area (Woodhouse, 2007). Lack of control or guidance from the teacher may hinder the child’s learning due to unawareness of its purpose, therefore modelling role play or informing children of expectation within role place is essential to promoting an effective learning environment (Woodhouse, 2007). </w:t>
      </w:r>
    </w:p>
    <w:p w14:paraId="3694AC6D" w14:textId="77777777" w:rsidR="00256D50" w:rsidRPr="00360857" w:rsidRDefault="00256D50" w:rsidP="00256D50">
      <w:pPr>
        <w:spacing w:line="480" w:lineRule="auto"/>
        <w:rPr>
          <w:rFonts w:ascii="Arial" w:hAnsi="Arial" w:cs="Arial"/>
          <w:sz w:val="24"/>
          <w:szCs w:val="24"/>
          <w:u w:val="single"/>
        </w:rPr>
      </w:pPr>
      <w:r w:rsidRPr="00360857">
        <w:rPr>
          <w:rFonts w:ascii="Arial" w:hAnsi="Arial" w:cs="Arial"/>
          <w:sz w:val="24"/>
          <w:szCs w:val="24"/>
          <w:u w:val="single"/>
        </w:rPr>
        <w:t>Sensory Room:</w:t>
      </w:r>
    </w:p>
    <w:p w14:paraId="00A7A9CB" w14:textId="77777777" w:rsidR="00256D50" w:rsidRPr="00360857" w:rsidRDefault="00256D50" w:rsidP="00256D50">
      <w:pPr>
        <w:spacing w:line="480" w:lineRule="auto"/>
        <w:ind w:firstLine="720"/>
        <w:rPr>
          <w:rFonts w:ascii="Arial" w:hAnsi="Arial" w:cs="Arial"/>
          <w:sz w:val="24"/>
          <w:szCs w:val="24"/>
        </w:rPr>
      </w:pPr>
      <w:r w:rsidRPr="00360857">
        <w:rPr>
          <w:rFonts w:ascii="Arial" w:hAnsi="Arial" w:cs="Arial"/>
          <w:sz w:val="24"/>
          <w:szCs w:val="24"/>
        </w:rPr>
        <w:t xml:space="preserve">Children with Additional Learning Needs (ALN) may have difficulty within a mainstream classroom due to being over or under sensitive to the environment, significantly impacting their holistic development according to Ayres sensory integration theory (Ayres, 2005). To make my learning environment inclusive for children with ALN I would have a soundproof quiet room with no background noise (Morris, 2003). This will benefit children, especially those with ALN. This room could be used when the classroom becomes overwhelming for specific individuals and they demonstrate heightened distress (Ayres, 2005). The relaxing environment will encourage the child release stress before being accompanied. Questions could be used regarding children’s emotions and attempt to restore positive well-being (Scott, 2009) of the child by providing re-assurance. Furthermore, children with ALN or small intervention groups can work here to ensure other classroom distractions are eradicated (Scott, 2009). </w:t>
      </w:r>
    </w:p>
    <w:p w14:paraId="3B297C35" w14:textId="77777777" w:rsidR="00256D50" w:rsidRPr="00360857" w:rsidRDefault="00256D50" w:rsidP="00256D50">
      <w:pPr>
        <w:spacing w:line="480" w:lineRule="auto"/>
        <w:ind w:firstLine="720"/>
        <w:rPr>
          <w:rFonts w:ascii="Arial" w:hAnsi="Arial" w:cs="Arial"/>
          <w:sz w:val="24"/>
          <w:szCs w:val="24"/>
        </w:rPr>
      </w:pPr>
      <w:r w:rsidRPr="00360857">
        <w:rPr>
          <w:rFonts w:ascii="Arial" w:hAnsi="Arial" w:cs="Arial"/>
          <w:sz w:val="24"/>
          <w:szCs w:val="24"/>
        </w:rPr>
        <w:t xml:space="preserve">The room will have neutral colours with limited wall displays and natural lighting provided from outside through windows (Connor, 2010). Bright colours or lights could have a damaging effect on ALN children’s anxiety levels and emotion (Connor, 2010). This emphasises that my quiet room characteristics consisting of neutral colours, natural lighting and a peaceful ambience will create a positive stimulating environment where children can develop the correct mindset to maintain engagement and be motivated to learn (Connor, 2010). Being soundproof obstructs noise from negatively impacting children’s well-being therefore promoting an inclusive, positive and stimulating learning environment which is essential for meeting the needs of children with specific ALN (Morris, 2003). Maslow hierarchy of needs will support the use of a quiet room to create an effective learning environment (Hagerty, 1999). His model emphasises that children’s basic needs must be met first, the child must feel safe and gain a sense of belonging with positive self-esteem before being capable of achieving their full potential in learning (Hagerty, 1999). Therefore, this quiet room will be essential in creating an effective learning environment for those with ALN by ensuring they are safe and can restore the correct mindset within a stimulating environment where they are going to be motivated to learn without distraction (Connor, 2010). </w:t>
      </w:r>
    </w:p>
    <w:p w14:paraId="418EBE38" w14:textId="77777777" w:rsidR="00256D50" w:rsidRPr="00360857" w:rsidRDefault="00256D50" w:rsidP="00256D50">
      <w:pPr>
        <w:spacing w:line="480" w:lineRule="auto"/>
        <w:rPr>
          <w:rFonts w:ascii="Arial" w:hAnsi="Arial" w:cs="Arial"/>
          <w:sz w:val="24"/>
          <w:szCs w:val="24"/>
        </w:rPr>
      </w:pPr>
      <w:r w:rsidRPr="00360857">
        <w:rPr>
          <w:rFonts w:ascii="Arial" w:hAnsi="Arial" w:cs="Arial"/>
          <w:sz w:val="24"/>
          <w:szCs w:val="24"/>
        </w:rPr>
        <w:tab/>
        <w:t xml:space="preserve">However, due to children accessing this quiet room regularly they may be discriminated for appearing different or vulnerable by their peers which could cause them to be victims of bullying (Majoko, 2016).To overcome this, I would encourage children with ALN to use this room with peers for learning tasks where they can build confidence whilst forming positive relationships with peers. This room ensures children’s needs are met within an inclusive environment where learners feel acknowledged which promote positive wellbeing (Lage et al, 2000). </w:t>
      </w:r>
    </w:p>
    <w:p w14:paraId="1C243BCB" w14:textId="77777777" w:rsidR="00256D50" w:rsidRPr="00360857" w:rsidRDefault="00256D50" w:rsidP="00256D50">
      <w:pPr>
        <w:spacing w:line="480" w:lineRule="auto"/>
        <w:rPr>
          <w:rFonts w:ascii="Arial" w:hAnsi="Arial" w:cs="Arial"/>
          <w:sz w:val="24"/>
          <w:szCs w:val="24"/>
        </w:rPr>
      </w:pPr>
      <w:r w:rsidRPr="00360857">
        <w:rPr>
          <w:rFonts w:ascii="Arial" w:hAnsi="Arial" w:cs="Arial"/>
          <w:sz w:val="24"/>
          <w:szCs w:val="24"/>
        </w:rPr>
        <w:tab/>
        <w:t>In conclusion creating effective learning environments to cater all individuals’ needs is an essential but challenging key role of the teacher. There are various efficient strategies which can be used to maintain engagement, promote holistic development and increase well-being. One effective strategy is questioning through socialisation, which has been analysed and supported by key theorists Vygotsky and Bruner. From consideration of this learning event and wider reading it is evident that student collaboration and questioning can promote effective learning, in versatile environments. It is a strategy which I will use in the future to help promote effective learning environments where children are stimulated. Allowance of thinking time to develop analytical reasoning from collaboration with peers is recommended (Estyn, 2013) and will be incorporated within my teaching experience.</w:t>
      </w:r>
    </w:p>
    <w:p w14:paraId="5B60A328" w14:textId="2D8131CF" w:rsidR="00256D50" w:rsidRDefault="00256D50" w:rsidP="00256D50"/>
    <w:p w14:paraId="5060A8BE" w14:textId="273652FF" w:rsidR="00256D50" w:rsidRDefault="00256D50" w:rsidP="00256D50"/>
    <w:p w14:paraId="6A1ACF89" w14:textId="21989EE0" w:rsidR="00256D50" w:rsidRDefault="00256D50" w:rsidP="00256D50"/>
    <w:p w14:paraId="7713C49F" w14:textId="4C6B1261" w:rsidR="00256D50" w:rsidRDefault="00256D50" w:rsidP="00256D50"/>
    <w:p w14:paraId="42ACEE93" w14:textId="7F496759" w:rsidR="00256D50" w:rsidRDefault="00256D50" w:rsidP="00256D50"/>
    <w:p w14:paraId="3E0EBB64" w14:textId="5637C11F" w:rsidR="00256D50" w:rsidRDefault="00256D50" w:rsidP="00256D50"/>
    <w:p w14:paraId="33F89B47" w14:textId="6369C48A" w:rsidR="00256D50" w:rsidRDefault="00256D50" w:rsidP="00256D50"/>
    <w:p w14:paraId="6BA5C27D" w14:textId="512325E0" w:rsidR="00256D50" w:rsidRDefault="00256D50" w:rsidP="00256D50"/>
    <w:p w14:paraId="4C70F4F1" w14:textId="247190FA" w:rsidR="00256D50" w:rsidRDefault="00256D50" w:rsidP="00256D50"/>
    <w:p w14:paraId="33D38EFA" w14:textId="5620E396" w:rsidR="00256D50" w:rsidRDefault="00256D50" w:rsidP="00256D50"/>
    <w:p w14:paraId="46C7D85E" w14:textId="7BC4770B" w:rsidR="00256D50" w:rsidRDefault="00256D50" w:rsidP="00256D50"/>
    <w:p w14:paraId="3B17EC97" w14:textId="1FDC1F9E" w:rsidR="00256D50" w:rsidRDefault="00256D50" w:rsidP="00256D50"/>
    <w:p w14:paraId="5AB5C42B" w14:textId="0A338250" w:rsidR="00256D50" w:rsidRDefault="00256D50" w:rsidP="00256D50"/>
    <w:p w14:paraId="751ADE9F" w14:textId="22DB765F" w:rsidR="00256D50" w:rsidRDefault="00256D50" w:rsidP="00256D50"/>
    <w:p w14:paraId="5858D0AF" w14:textId="624AAFED" w:rsidR="00256D50" w:rsidRDefault="00256D50" w:rsidP="00256D50"/>
    <w:p w14:paraId="664BF595" w14:textId="0B1930D8" w:rsidR="00256D50" w:rsidRDefault="00256D50" w:rsidP="00256D50"/>
    <w:p w14:paraId="60738E88" w14:textId="4C2FDCDC" w:rsidR="00256D50" w:rsidRDefault="00256D50" w:rsidP="00256D50"/>
    <w:p w14:paraId="6338BB83" w14:textId="127E7765" w:rsidR="00256D50" w:rsidRDefault="00256D50" w:rsidP="00256D50"/>
    <w:p w14:paraId="18B71943" w14:textId="4350E253" w:rsidR="00256D50" w:rsidRDefault="00256D50" w:rsidP="00256D50"/>
    <w:p w14:paraId="110772D5" w14:textId="65CCFF56" w:rsidR="00256D50" w:rsidRDefault="00256D50" w:rsidP="00256D50"/>
    <w:p w14:paraId="046C7BA9" w14:textId="50D0A7B5" w:rsidR="00256D50" w:rsidRDefault="00256D50" w:rsidP="00256D50"/>
    <w:p w14:paraId="6FBEB620" w14:textId="025DCEA2" w:rsidR="00256D50" w:rsidRDefault="00256D50" w:rsidP="00256D50"/>
    <w:p w14:paraId="63CCCAA2" w14:textId="42868205" w:rsidR="00256D50" w:rsidRDefault="00256D50" w:rsidP="00256D50"/>
    <w:p w14:paraId="3D36CA24" w14:textId="79F59620" w:rsidR="00256D50" w:rsidRDefault="00256D50" w:rsidP="00256D50"/>
    <w:p w14:paraId="5D8D3BAA" w14:textId="0E36D449" w:rsidR="00256D50" w:rsidRDefault="00256D50" w:rsidP="00256D50"/>
    <w:p w14:paraId="687A9ABB" w14:textId="428EEA33" w:rsidR="00256D50" w:rsidRDefault="00256D50" w:rsidP="00256D50"/>
    <w:p w14:paraId="7FBB8070" w14:textId="573B47B1" w:rsidR="00256D50" w:rsidRDefault="00256D50" w:rsidP="00256D50"/>
    <w:p w14:paraId="183A26A6" w14:textId="09E95D83" w:rsidR="00256D50" w:rsidRDefault="00256D50" w:rsidP="00256D50"/>
    <w:p w14:paraId="58B52EB3" w14:textId="39CD6723" w:rsidR="00256D50" w:rsidRDefault="00256D50" w:rsidP="00256D50"/>
    <w:p w14:paraId="17FA88F4" w14:textId="0164A6F3" w:rsidR="00256D50" w:rsidRDefault="00256D50" w:rsidP="00256D50"/>
    <w:p w14:paraId="0D65757F" w14:textId="08594BFA" w:rsidR="00256D50" w:rsidRDefault="00256D50" w:rsidP="00256D50"/>
    <w:p w14:paraId="64C475B2" w14:textId="5FE414E0" w:rsidR="00256D50" w:rsidRDefault="00256D50" w:rsidP="00256D50"/>
    <w:p w14:paraId="4C01CA6A" w14:textId="7BBF13B4" w:rsidR="00256D50" w:rsidRDefault="00256D50" w:rsidP="00256D50"/>
    <w:p w14:paraId="6C63E05E" w14:textId="4EA35947" w:rsidR="00256D50" w:rsidRDefault="00256D50" w:rsidP="00256D50"/>
    <w:p w14:paraId="60E959DA" w14:textId="77777777" w:rsidR="0051578C" w:rsidRPr="00550C77" w:rsidRDefault="0051578C" w:rsidP="0051578C">
      <w:pPr>
        <w:shd w:val="clear" w:color="auto" w:fill="FFFFFF"/>
        <w:spacing w:line="480" w:lineRule="auto"/>
        <w:rPr>
          <w:rFonts w:ascii="Arial" w:hAnsi="Arial" w:cs="Arial"/>
          <w:sz w:val="24"/>
          <w:szCs w:val="24"/>
          <w:u w:val="single"/>
        </w:rPr>
      </w:pPr>
      <w:r w:rsidRPr="00550C77">
        <w:rPr>
          <w:rFonts w:ascii="Arial" w:hAnsi="Arial" w:cs="Arial"/>
          <w:sz w:val="24"/>
          <w:szCs w:val="24"/>
          <w:u w:val="single"/>
        </w:rPr>
        <w:t>References:</w:t>
      </w:r>
    </w:p>
    <w:p w14:paraId="7328F3F5" w14:textId="77777777" w:rsidR="0051578C" w:rsidRPr="00550C77" w:rsidRDefault="0051578C" w:rsidP="0051578C">
      <w:pPr>
        <w:shd w:val="clear" w:color="auto" w:fill="FFFFFF"/>
        <w:spacing w:line="480" w:lineRule="auto"/>
        <w:rPr>
          <w:rFonts w:ascii="Arial" w:hAnsi="Arial" w:cs="Arial"/>
          <w:color w:val="222222"/>
          <w:sz w:val="24"/>
          <w:szCs w:val="24"/>
        </w:rPr>
      </w:pPr>
    </w:p>
    <w:p w14:paraId="0523F033" w14:textId="77777777" w:rsidR="0051578C" w:rsidRPr="00550C77" w:rsidRDefault="0051578C" w:rsidP="0051578C">
      <w:pPr>
        <w:pStyle w:val="ListParagraph"/>
        <w:numPr>
          <w:ilvl w:val="0"/>
          <w:numId w:val="1"/>
        </w:numPr>
        <w:spacing w:line="480" w:lineRule="auto"/>
        <w:rPr>
          <w:rFonts w:ascii="Arial" w:hAnsi="Arial" w:cs="Arial"/>
          <w:sz w:val="24"/>
          <w:szCs w:val="24"/>
        </w:rPr>
      </w:pPr>
      <w:r w:rsidRPr="00550C77">
        <w:rPr>
          <w:rFonts w:ascii="Arial" w:hAnsi="Arial" w:cs="Arial"/>
          <w:sz w:val="24"/>
          <w:szCs w:val="24"/>
        </w:rPr>
        <w:t xml:space="preserve">Alexander, R. (2008) </w:t>
      </w:r>
      <w:r w:rsidRPr="00550C77">
        <w:rPr>
          <w:rFonts w:ascii="Arial" w:hAnsi="Arial" w:cs="Arial"/>
          <w:i/>
          <w:sz w:val="24"/>
          <w:szCs w:val="24"/>
        </w:rPr>
        <w:t xml:space="preserve">Towards Dialogic Teaching. </w:t>
      </w:r>
      <w:r w:rsidRPr="00550C77">
        <w:rPr>
          <w:rFonts w:ascii="Arial" w:hAnsi="Arial" w:cs="Arial"/>
          <w:sz w:val="24"/>
          <w:szCs w:val="24"/>
        </w:rPr>
        <w:t>4</w:t>
      </w:r>
      <w:r w:rsidRPr="00550C77">
        <w:rPr>
          <w:rFonts w:ascii="Arial" w:hAnsi="Arial" w:cs="Arial"/>
          <w:sz w:val="24"/>
          <w:szCs w:val="24"/>
          <w:vertAlign w:val="superscript"/>
        </w:rPr>
        <w:t>th</w:t>
      </w:r>
      <w:r w:rsidRPr="00550C77">
        <w:rPr>
          <w:rFonts w:ascii="Arial" w:hAnsi="Arial" w:cs="Arial"/>
          <w:sz w:val="24"/>
          <w:szCs w:val="24"/>
        </w:rPr>
        <w:t xml:space="preserve"> Ed. University of Cambridge: Dialogos UK Ltd </w:t>
      </w:r>
    </w:p>
    <w:p w14:paraId="4EC2811C" w14:textId="77777777" w:rsidR="0051578C" w:rsidRPr="00550C77" w:rsidRDefault="0051578C" w:rsidP="0051578C">
      <w:pPr>
        <w:pStyle w:val="ListParagraph"/>
        <w:numPr>
          <w:ilvl w:val="0"/>
          <w:numId w:val="1"/>
        </w:numPr>
        <w:spacing w:line="480" w:lineRule="auto"/>
        <w:rPr>
          <w:rFonts w:ascii="Arial" w:hAnsi="Arial" w:cs="Arial"/>
          <w:sz w:val="24"/>
          <w:szCs w:val="24"/>
        </w:rPr>
      </w:pPr>
      <w:r w:rsidRPr="00550C77">
        <w:rPr>
          <w:rFonts w:ascii="Arial" w:hAnsi="Arial" w:cs="Arial"/>
          <w:sz w:val="24"/>
          <w:szCs w:val="24"/>
        </w:rPr>
        <w:t xml:space="preserve">Ayres, A.J. (2005) </w:t>
      </w:r>
      <w:r w:rsidRPr="00550C77">
        <w:rPr>
          <w:rFonts w:ascii="Arial" w:hAnsi="Arial" w:cs="Arial"/>
          <w:i/>
          <w:sz w:val="24"/>
          <w:szCs w:val="24"/>
        </w:rPr>
        <w:t xml:space="preserve">Sensory Integration and the Child. </w:t>
      </w:r>
      <w:r w:rsidRPr="00550C77">
        <w:rPr>
          <w:rFonts w:ascii="Arial" w:hAnsi="Arial" w:cs="Arial"/>
          <w:sz w:val="24"/>
          <w:szCs w:val="24"/>
        </w:rPr>
        <w:t>United States of America: Western Psychological Services.</w:t>
      </w:r>
    </w:p>
    <w:p w14:paraId="16DFEBF0" w14:textId="77777777" w:rsidR="0051578C" w:rsidRPr="00550C77" w:rsidRDefault="0051578C" w:rsidP="0051578C">
      <w:pPr>
        <w:pStyle w:val="ListParagraph"/>
        <w:numPr>
          <w:ilvl w:val="0"/>
          <w:numId w:val="1"/>
        </w:numPr>
        <w:spacing w:line="480" w:lineRule="auto"/>
        <w:rPr>
          <w:rFonts w:ascii="Arial" w:eastAsia="Arial" w:hAnsi="Arial" w:cs="Arial"/>
          <w:sz w:val="24"/>
          <w:szCs w:val="24"/>
        </w:rPr>
      </w:pPr>
      <w:r w:rsidRPr="00550C77">
        <w:rPr>
          <w:rFonts w:ascii="Arial" w:eastAsia="Arial" w:hAnsi="Arial" w:cs="Arial"/>
          <w:sz w:val="24"/>
          <w:szCs w:val="24"/>
        </w:rPr>
        <w:t xml:space="preserve">Bartlett, S., Burton, D.M., &amp; Peim, N. (2012) </w:t>
      </w:r>
      <w:r w:rsidRPr="00550C77">
        <w:rPr>
          <w:rFonts w:ascii="Arial" w:eastAsia="Arial" w:hAnsi="Arial" w:cs="Arial"/>
          <w:i/>
          <w:sz w:val="24"/>
          <w:szCs w:val="24"/>
        </w:rPr>
        <w:t xml:space="preserve">Introduction to Education Studies </w:t>
      </w:r>
      <w:r w:rsidRPr="00550C77">
        <w:rPr>
          <w:rFonts w:ascii="Arial" w:eastAsia="Arial" w:hAnsi="Arial" w:cs="Arial"/>
          <w:sz w:val="24"/>
          <w:szCs w:val="24"/>
        </w:rPr>
        <w:t>3</w:t>
      </w:r>
      <w:r w:rsidRPr="00550C77">
        <w:rPr>
          <w:rFonts w:ascii="Arial" w:eastAsia="Arial" w:hAnsi="Arial" w:cs="Arial"/>
          <w:sz w:val="24"/>
          <w:szCs w:val="24"/>
          <w:vertAlign w:val="superscript"/>
        </w:rPr>
        <w:t>rd</w:t>
      </w:r>
      <w:r w:rsidRPr="00550C77">
        <w:rPr>
          <w:rFonts w:ascii="Arial" w:eastAsia="Arial" w:hAnsi="Arial" w:cs="Arial"/>
          <w:sz w:val="24"/>
          <w:szCs w:val="24"/>
        </w:rPr>
        <w:t xml:space="preserve"> ed. London: Paul Chapman Publishers. </w:t>
      </w:r>
    </w:p>
    <w:p w14:paraId="276B04B8" w14:textId="77777777" w:rsidR="0051578C" w:rsidRPr="00550C77" w:rsidRDefault="0051578C" w:rsidP="0051578C">
      <w:pPr>
        <w:pStyle w:val="ListParagraph"/>
        <w:numPr>
          <w:ilvl w:val="0"/>
          <w:numId w:val="1"/>
        </w:numPr>
        <w:shd w:val="clear" w:color="auto" w:fill="FFFFFF"/>
        <w:spacing w:after="0" w:line="480" w:lineRule="auto"/>
        <w:rPr>
          <w:rFonts w:ascii="Arial" w:eastAsia="Times New Roman" w:hAnsi="Arial" w:cs="Arial"/>
          <w:sz w:val="24"/>
          <w:szCs w:val="24"/>
          <w:lang w:eastAsia="en-GB"/>
        </w:rPr>
      </w:pPr>
      <w:r w:rsidRPr="00550C77">
        <w:rPr>
          <w:rFonts w:ascii="Arial" w:eastAsia="Times New Roman" w:hAnsi="Arial" w:cs="Arial"/>
          <w:sz w:val="24"/>
          <w:szCs w:val="24"/>
          <w:lang w:eastAsia="en-GB"/>
        </w:rPr>
        <w:t xml:space="preserve">Bodrova, E. &amp; Leong, D. J. (2005). ‘Uniquely preschool: What research tells us about the ways young children learn’ </w:t>
      </w:r>
      <w:r w:rsidRPr="00550C77">
        <w:rPr>
          <w:rFonts w:ascii="Arial" w:eastAsia="Times New Roman" w:hAnsi="Arial" w:cs="Arial"/>
          <w:i/>
          <w:iCs/>
          <w:sz w:val="24"/>
          <w:szCs w:val="24"/>
          <w:lang w:eastAsia="en-GB"/>
        </w:rPr>
        <w:t>Educational Leadership,</w:t>
      </w:r>
      <w:r w:rsidRPr="00550C77">
        <w:rPr>
          <w:rFonts w:ascii="Arial" w:eastAsia="Times New Roman" w:hAnsi="Arial" w:cs="Arial"/>
          <w:sz w:val="24"/>
          <w:szCs w:val="24"/>
          <w:lang w:eastAsia="en-GB"/>
        </w:rPr>
        <w:t> 63(1), pp. 44-47.  </w:t>
      </w:r>
    </w:p>
    <w:p w14:paraId="4FA0D8F7" w14:textId="77777777" w:rsidR="0051578C" w:rsidRPr="00550C77" w:rsidRDefault="0051578C" w:rsidP="0051578C">
      <w:pPr>
        <w:pStyle w:val="ListParagraph"/>
        <w:numPr>
          <w:ilvl w:val="0"/>
          <w:numId w:val="2"/>
        </w:numPr>
        <w:spacing w:line="480" w:lineRule="auto"/>
        <w:rPr>
          <w:rFonts w:ascii="Arial" w:hAnsi="Arial" w:cs="Arial"/>
          <w:sz w:val="24"/>
          <w:szCs w:val="24"/>
        </w:rPr>
      </w:pPr>
      <w:r w:rsidRPr="00550C77">
        <w:rPr>
          <w:rFonts w:ascii="Arial" w:hAnsi="Arial" w:cs="Arial"/>
          <w:sz w:val="24"/>
          <w:szCs w:val="24"/>
        </w:rPr>
        <w:t xml:space="preserve">British Educational Research Association [BERA] (2018) </w:t>
      </w:r>
      <w:r w:rsidRPr="00550C77">
        <w:rPr>
          <w:rFonts w:ascii="Arial" w:hAnsi="Arial" w:cs="Arial"/>
          <w:i/>
          <w:sz w:val="24"/>
          <w:szCs w:val="24"/>
        </w:rPr>
        <w:t>Ethical Guidelines for Educational Research.</w:t>
      </w:r>
      <w:r w:rsidRPr="00550C77">
        <w:rPr>
          <w:rFonts w:ascii="Arial" w:hAnsi="Arial" w:cs="Arial"/>
          <w:sz w:val="24"/>
          <w:szCs w:val="24"/>
        </w:rPr>
        <w:t xml:space="preserve"> 4</w:t>
      </w:r>
      <w:r w:rsidRPr="00550C77">
        <w:rPr>
          <w:rFonts w:ascii="Arial" w:hAnsi="Arial" w:cs="Arial"/>
          <w:sz w:val="24"/>
          <w:szCs w:val="24"/>
          <w:vertAlign w:val="superscript"/>
        </w:rPr>
        <w:t>th</w:t>
      </w:r>
      <w:r w:rsidRPr="00550C77">
        <w:rPr>
          <w:rFonts w:ascii="Arial" w:hAnsi="Arial" w:cs="Arial"/>
          <w:sz w:val="24"/>
          <w:szCs w:val="24"/>
        </w:rPr>
        <w:t xml:space="preserve"> Ed. Available at: </w:t>
      </w:r>
      <w:hyperlink r:id="rId10" w:history="1">
        <w:r w:rsidRPr="00550C77">
          <w:rPr>
            <w:rStyle w:val="Hyperlink"/>
            <w:rFonts w:ascii="Arial" w:hAnsi="Arial" w:cs="Arial"/>
            <w:sz w:val="24"/>
            <w:szCs w:val="24"/>
          </w:rPr>
          <w:t>https://www.bera.ac.uk/wp-content/uploads/2018/06/BERA-Ethical-Guidelines-for-Educational-Research_4thEdn_2018.pdf?noredirect=1</w:t>
        </w:r>
      </w:hyperlink>
      <w:r w:rsidRPr="00550C77">
        <w:rPr>
          <w:rFonts w:ascii="Arial" w:hAnsi="Arial" w:cs="Arial"/>
          <w:sz w:val="24"/>
          <w:szCs w:val="24"/>
        </w:rPr>
        <w:t xml:space="preserve"> (Accessed: 28</w:t>
      </w:r>
      <w:r w:rsidRPr="00550C77">
        <w:rPr>
          <w:rFonts w:ascii="Arial" w:hAnsi="Arial" w:cs="Arial"/>
          <w:sz w:val="24"/>
          <w:szCs w:val="24"/>
          <w:vertAlign w:val="superscript"/>
        </w:rPr>
        <w:t>th</w:t>
      </w:r>
      <w:r w:rsidRPr="00550C77">
        <w:rPr>
          <w:rFonts w:ascii="Arial" w:hAnsi="Arial" w:cs="Arial"/>
          <w:sz w:val="24"/>
          <w:szCs w:val="24"/>
        </w:rPr>
        <w:t xml:space="preserve"> September 2018). </w:t>
      </w:r>
    </w:p>
    <w:p w14:paraId="68B05891" w14:textId="77777777" w:rsidR="0051578C" w:rsidRPr="00CB7889" w:rsidRDefault="0051578C" w:rsidP="0051578C">
      <w:pPr>
        <w:pStyle w:val="ListParagraph"/>
        <w:numPr>
          <w:ilvl w:val="0"/>
          <w:numId w:val="1"/>
        </w:numPr>
        <w:spacing w:before="100" w:after="100" w:line="480" w:lineRule="auto"/>
        <w:rPr>
          <w:rFonts w:ascii="Arial" w:eastAsia="Arial" w:hAnsi="Arial" w:cs="Arial"/>
          <w:sz w:val="24"/>
          <w:szCs w:val="24"/>
        </w:rPr>
      </w:pPr>
      <w:r w:rsidRPr="00CB7889">
        <w:rPr>
          <w:rFonts w:ascii="Arial" w:eastAsia="Arial" w:hAnsi="Arial" w:cs="Arial"/>
          <w:sz w:val="24"/>
          <w:szCs w:val="24"/>
        </w:rPr>
        <w:t xml:space="preserve">Bruce, T. (1987) </w:t>
      </w:r>
      <w:r w:rsidRPr="00CB7889">
        <w:rPr>
          <w:rFonts w:ascii="Arial" w:eastAsia="Arial" w:hAnsi="Arial" w:cs="Arial"/>
          <w:i/>
          <w:sz w:val="24"/>
          <w:szCs w:val="24"/>
        </w:rPr>
        <w:t xml:space="preserve">Early Childhood Education. </w:t>
      </w:r>
      <w:r w:rsidRPr="00CB7889">
        <w:rPr>
          <w:rFonts w:ascii="Arial" w:eastAsia="Arial" w:hAnsi="Arial" w:cs="Arial"/>
          <w:sz w:val="24"/>
          <w:szCs w:val="24"/>
        </w:rPr>
        <w:t>London: Hodder and Stroughton.</w:t>
      </w:r>
    </w:p>
    <w:p w14:paraId="50428E8A" w14:textId="0F67E0D5" w:rsidR="0051578C" w:rsidRPr="00CB7889" w:rsidRDefault="0051578C" w:rsidP="0051578C">
      <w:pPr>
        <w:pStyle w:val="ListParagraph"/>
        <w:numPr>
          <w:ilvl w:val="0"/>
          <w:numId w:val="1"/>
        </w:numPr>
        <w:spacing w:line="480" w:lineRule="auto"/>
        <w:rPr>
          <w:rFonts w:ascii="Arial" w:hAnsi="Arial" w:cs="Arial"/>
          <w:sz w:val="24"/>
          <w:szCs w:val="24"/>
        </w:rPr>
      </w:pPr>
      <w:r w:rsidRPr="00CB7889">
        <w:rPr>
          <w:rFonts w:ascii="Arial" w:hAnsi="Arial" w:cs="Arial"/>
          <w:sz w:val="24"/>
          <w:szCs w:val="24"/>
        </w:rPr>
        <w:t xml:space="preserve">Bruner, J. (1960) </w:t>
      </w:r>
      <w:r w:rsidRPr="00CB7889">
        <w:rPr>
          <w:rFonts w:ascii="Arial" w:hAnsi="Arial" w:cs="Arial"/>
          <w:i/>
          <w:sz w:val="24"/>
          <w:szCs w:val="24"/>
        </w:rPr>
        <w:t xml:space="preserve">The Process of Education. </w:t>
      </w:r>
      <w:r w:rsidRPr="00CB7889">
        <w:rPr>
          <w:rFonts w:ascii="Arial" w:hAnsi="Arial" w:cs="Arial"/>
          <w:sz w:val="24"/>
          <w:szCs w:val="24"/>
        </w:rPr>
        <w:t xml:space="preserve">Cambridge, Mass: </w:t>
      </w:r>
      <w:r w:rsidR="00C05CD4" w:rsidRPr="00CB7889">
        <w:rPr>
          <w:rFonts w:ascii="Arial" w:hAnsi="Arial" w:cs="Arial"/>
          <w:sz w:val="24"/>
          <w:szCs w:val="24"/>
        </w:rPr>
        <w:t>Harvard</w:t>
      </w:r>
      <w:r w:rsidRPr="00CB7889">
        <w:rPr>
          <w:rFonts w:ascii="Arial" w:hAnsi="Arial" w:cs="Arial"/>
          <w:sz w:val="24"/>
          <w:szCs w:val="24"/>
        </w:rPr>
        <w:t xml:space="preserve"> University Press</w:t>
      </w:r>
    </w:p>
    <w:p w14:paraId="24631223" w14:textId="77777777" w:rsidR="0051578C" w:rsidRPr="00CB7889" w:rsidRDefault="0051578C" w:rsidP="0051578C">
      <w:pPr>
        <w:pStyle w:val="ListParagraph"/>
        <w:numPr>
          <w:ilvl w:val="0"/>
          <w:numId w:val="1"/>
        </w:numPr>
        <w:spacing w:line="480" w:lineRule="auto"/>
        <w:rPr>
          <w:rFonts w:ascii="Arial" w:hAnsi="Arial" w:cs="Arial"/>
          <w:sz w:val="24"/>
          <w:szCs w:val="24"/>
        </w:rPr>
      </w:pPr>
      <w:r w:rsidRPr="00CB7889">
        <w:rPr>
          <w:rFonts w:ascii="Arial" w:hAnsi="Arial" w:cs="Arial"/>
          <w:sz w:val="24"/>
          <w:szCs w:val="24"/>
          <w:shd w:val="clear" w:color="auto" w:fill="FFFFFF"/>
        </w:rPr>
        <w:t>Chaiklin, S. (2003), The zone of proximal development in Vygotsky's theory of learning and school instruction. in A Kozulin, B Gindis, VS Ageyev &amp; SM Miller (eds), </w:t>
      </w:r>
      <w:r w:rsidRPr="00CB7889">
        <w:rPr>
          <w:rStyle w:val="Emphasis"/>
          <w:rFonts w:ascii="Arial" w:hAnsi="Arial" w:cs="Arial"/>
          <w:sz w:val="24"/>
          <w:szCs w:val="24"/>
          <w:shd w:val="clear" w:color="auto" w:fill="FFFFFF"/>
        </w:rPr>
        <w:t>Vygotsky's educational theory in cultural context.</w:t>
      </w:r>
      <w:r w:rsidRPr="00CB7889">
        <w:rPr>
          <w:rFonts w:ascii="Arial" w:hAnsi="Arial" w:cs="Arial"/>
          <w:sz w:val="24"/>
          <w:szCs w:val="24"/>
          <w:shd w:val="clear" w:color="auto" w:fill="FFFFFF"/>
        </w:rPr>
        <w:t xml:space="preserve"> Cambridge University Press, Cambridge, pp. 39-64. </w:t>
      </w:r>
    </w:p>
    <w:p w14:paraId="07BB7F91" w14:textId="77777777" w:rsidR="0051578C" w:rsidRPr="00550C77" w:rsidRDefault="0051578C" w:rsidP="0051578C">
      <w:pPr>
        <w:pStyle w:val="ListParagraph"/>
        <w:numPr>
          <w:ilvl w:val="0"/>
          <w:numId w:val="2"/>
        </w:numPr>
        <w:spacing w:line="480" w:lineRule="auto"/>
        <w:rPr>
          <w:rFonts w:ascii="Arial" w:hAnsi="Arial" w:cs="Arial"/>
          <w:sz w:val="24"/>
          <w:szCs w:val="24"/>
        </w:rPr>
      </w:pPr>
      <w:r w:rsidRPr="00550C77">
        <w:rPr>
          <w:rFonts w:ascii="Arial" w:hAnsi="Arial" w:cs="Arial"/>
          <w:sz w:val="24"/>
          <w:szCs w:val="24"/>
        </w:rPr>
        <w:t xml:space="preserve">Cohen, L., Manion, L. and Morrison, K. (2000) </w:t>
      </w:r>
      <w:r w:rsidRPr="00550C77">
        <w:rPr>
          <w:rFonts w:ascii="Arial" w:hAnsi="Arial" w:cs="Arial"/>
          <w:i/>
          <w:sz w:val="24"/>
          <w:szCs w:val="24"/>
        </w:rPr>
        <w:t xml:space="preserve">Research Methods in Education. </w:t>
      </w:r>
      <w:r w:rsidRPr="00550C77">
        <w:rPr>
          <w:rFonts w:ascii="Arial" w:hAnsi="Arial" w:cs="Arial"/>
          <w:sz w:val="24"/>
          <w:szCs w:val="24"/>
        </w:rPr>
        <w:t>5</w:t>
      </w:r>
      <w:r w:rsidRPr="00550C77">
        <w:rPr>
          <w:rFonts w:ascii="Arial" w:hAnsi="Arial" w:cs="Arial"/>
          <w:sz w:val="24"/>
          <w:szCs w:val="24"/>
          <w:vertAlign w:val="superscript"/>
        </w:rPr>
        <w:t>th</w:t>
      </w:r>
      <w:r w:rsidRPr="00550C77">
        <w:rPr>
          <w:rFonts w:ascii="Arial" w:hAnsi="Arial" w:cs="Arial"/>
          <w:sz w:val="24"/>
          <w:szCs w:val="24"/>
        </w:rPr>
        <w:t xml:space="preserve"> Ed. London and New York: RoutledgeFalmer</w:t>
      </w:r>
    </w:p>
    <w:p w14:paraId="3F198FA7" w14:textId="77777777" w:rsidR="0051578C" w:rsidRPr="00CB7889" w:rsidRDefault="0051578C" w:rsidP="0051578C">
      <w:pPr>
        <w:pStyle w:val="ListParagraph"/>
        <w:numPr>
          <w:ilvl w:val="0"/>
          <w:numId w:val="1"/>
        </w:numPr>
        <w:spacing w:line="480" w:lineRule="auto"/>
        <w:rPr>
          <w:rFonts w:ascii="Arial" w:hAnsi="Arial" w:cs="Arial"/>
          <w:sz w:val="24"/>
          <w:szCs w:val="24"/>
        </w:rPr>
      </w:pPr>
      <w:r w:rsidRPr="00CB7889">
        <w:rPr>
          <w:rFonts w:ascii="Arial" w:hAnsi="Arial" w:cs="Arial"/>
          <w:sz w:val="24"/>
          <w:szCs w:val="24"/>
        </w:rPr>
        <w:t xml:space="preserve">Connor, A. (2010) </w:t>
      </w:r>
      <w:r w:rsidRPr="00CB7889">
        <w:rPr>
          <w:rFonts w:ascii="Arial" w:hAnsi="Arial" w:cs="Arial"/>
          <w:i/>
          <w:iCs/>
          <w:sz w:val="24"/>
          <w:szCs w:val="24"/>
        </w:rPr>
        <w:t xml:space="preserve">Creating an Enabling Environment. </w:t>
      </w:r>
      <w:r w:rsidRPr="00CB7889">
        <w:rPr>
          <w:rFonts w:ascii="Arial" w:hAnsi="Arial" w:cs="Arial"/>
          <w:sz w:val="24"/>
          <w:szCs w:val="24"/>
        </w:rPr>
        <w:t>Wrexham: Wrexham County Council</w:t>
      </w:r>
    </w:p>
    <w:p w14:paraId="52A8D96D" w14:textId="77777777" w:rsidR="0051578C" w:rsidRPr="00550C77" w:rsidRDefault="0051578C" w:rsidP="0051578C">
      <w:pPr>
        <w:pStyle w:val="ListParagraph"/>
        <w:numPr>
          <w:ilvl w:val="0"/>
          <w:numId w:val="1"/>
        </w:numPr>
        <w:spacing w:after="200" w:line="480" w:lineRule="auto"/>
        <w:rPr>
          <w:rFonts w:ascii="Arial" w:hAnsi="Arial" w:cs="Arial"/>
          <w:sz w:val="24"/>
          <w:szCs w:val="24"/>
        </w:rPr>
      </w:pPr>
      <w:r w:rsidRPr="00CB7889">
        <w:rPr>
          <w:rFonts w:ascii="Arial" w:hAnsi="Arial" w:cs="Arial"/>
          <w:sz w:val="24"/>
          <w:szCs w:val="24"/>
        </w:rPr>
        <w:t xml:space="preserve">Curriculum for Wales (CfW), (2015) </w:t>
      </w:r>
      <w:r w:rsidRPr="00CB7889">
        <w:rPr>
          <w:rFonts w:ascii="Arial" w:hAnsi="Arial" w:cs="Arial"/>
          <w:i/>
          <w:sz w:val="24"/>
          <w:szCs w:val="24"/>
        </w:rPr>
        <w:t xml:space="preserve">Curriculum for Wales. Foundation Phase Framework. </w:t>
      </w:r>
      <w:r w:rsidRPr="00CB7889">
        <w:rPr>
          <w:rFonts w:ascii="Arial" w:hAnsi="Arial" w:cs="Arial"/>
          <w:sz w:val="24"/>
          <w:szCs w:val="24"/>
        </w:rPr>
        <w:t xml:space="preserve">Cardiff: Welsh Assembly Government. [Online]. Available at: </w:t>
      </w:r>
      <w:hyperlink r:id="rId11" w:history="1">
        <w:r w:rsidRPr="00550C77">
          <w:rPr>
            <w:rStyle w:val="Hyperlink"/>
            <w:rFonts w:ascii="Arial" w:hAnsi="Arial" w:cs="Arial"/>
            <w:sz w:val="24"/>
            <w:szCs w:val="24"/>
          </w:rPr>
          <w:t>http://learning.gov.wales/docs/learningwales/publications/150803-fp-framework-en.pdf</w:t>
        </w:r>
      </w:hyperlink>
      <w:r w:rsidRPr="00550C77">
        <w:rPr>
          <w:rFonts w:ascii="Arial" w:hAnsi="Arial" w:cs="Arial"/>
          <w:sz w:val="24"/>
          <w:szCs w:val="24"/>
        </w:rPr>
        <w:t xml:space="preserve"> (Accessed: 11th October 2018).</w:t>
      </w:r>
    </w:p>
    <w:p w14:paraId="32AA09AF" w14:textId="77777777" w:rsidR="0051578C" w:rsidRPr="00550C77" w:rsidRDefault="0051578C" w:rsidP="0051578C">
      <w:pPr>
        <w:pStyle w:val="ListParagraph"/>
        <w:numPr>
          <w:ilvl w:val="0"/>
          <w:numId w:val="1"/>
        </w:numPr>
        <w:spacing w:line="480" w:lineRule="auto"/>
        <w:rPr>
          <w:rFonts w:ascii="Arial" w:hAnsi="Arial" w:cs="Arial"/>
          <w:sz w:val="24"/>
          <w:szCs w:val="24"/>
        </w:rPr>
      </w:pPr>
      <w:r w:rsidRPr="00550C77">
        <w:rPr>
          <w:rFonts w:ascii="Arial" w:hAnsi="Arial" w:cs="Arial"/>
          <w:sz w:val="24"/>
          <w:szCs w:val="24"/>
        </w:rPr>
        <w:t xml:space="preserve">Daniels, H. (2005). </w:t>
      </w:r>
      <w:r w:rsidRPr="00550C77">
        <w:rPr>
          <w:rFonts w:ascii="Arial" w:hAnsi="Arial" w:cs="Arial"/>
          <w:i/>
          <w:iCs/>
          <w:sz w:val="24"/>
          <w:szCs w:val="24"/>
        </w:rPr>
        <w:t>An introduction to Vygotsky</w:t>
      </w:r>
      <w:r w:rsidRPr="00550C77">
        <w:rPr>
          <w:rFonts w:ascii="Arial" w:hAnsi="Arial" w:cs="Arial"/>
          <w:sz w:val="24"/>
          <w:szCs w:val="24"/>
        </w:rPr>
        <w:t>. 2nd ed. London: Routledge.</w:t>
      </w:r>
    </w:p>
    <w:p w14:paraId="4042454F" w14:textId="77777777" w:rsidR="0051578C" w:rsidRPr="00550C77" w:rsidRDefault="0051578C" w:rsidP="0051578C">
      <w:pPr>
        <w:pStyle w:val="ListParagraph"/>
        <w:numPr>
          <w:ilvl w:val="0"/>
          <w:numId w:val="1"/>
        </w:numPr>
        <w:spacing w:line="480" w:lineRule="auto"/>
        <w:rPr>
          <w:rFonts w:ascii="Arial" w:eastAsia="Arial" w:hAnsi="Arial" w:cs="Arial"/>
          <w:sz w:val="24"/>
          <w:szCs w:val="24"/>
        </w:rPr>
      </w:pPr>
      <w:r w:rsidRPr="00550C77">
        <w:rPr>
          <w:rFonts w:ascii="Arial" w:eastAsia="Arial" w:hAnsi="Arial" w:cs="Arial"/>
          <w:sz w:val="24"/>
          <w:szCs w:val="24"/>
        </w:rPr>
        <w:t xml:space="preserve">Dewey, J. (1959) </w:t>
      </w:r>
      <w:r w:rsidRPr="00550C77">
        <w:rPr>
          <w:rFonts w:ascii="Arial" w:eastAsia="Arial" w:hAnsi="Arial" w:cs="Arial"/>
          <w:i/>
          <w:sz w:val="24"/>
          <w:szCs w:val="24"/>
        </w:rPr>
        <w:t xml:space="preserve">Dewey on Education. </w:t>
      </w:r>
      <w:r w:rsidRPr="00550C77">
        <w:rPr>
          <w:rFonts w:ascii="Arial" w:eastAsia="Arial" w:hAnsi="Arial" w:cs="Arial"/>
          <w:sz w:val="24"/>
          <w:szCs w:val="24"/>
        </w:rPr>
        <w:t>New York: Teachers College Press.</w:t>
      </w:r>
    </w:p>
    <w:p w14:paraId="4969AD28" w14:textId="77777777" w:rsidR="0051578C" w:rsidRPr="00550C77" w:rsidRDefault="0051578C" w:rsidP="0051578C">
      <w:pPr>
        <w:pStyle w:val="ListParagraph"/>
        <w:numPr>
          <w:ilvl w:val="0"/>
          <w:numId w:val="1"/>
        </w:numPr>
        <w:spacing w:line="480" w:lineRule="auto"/>
        <w:rPr>
          <w:rFonts w:ascii="Arial" w:hAnsi="Arial" w:cs="Arial"/>
          <w:sz w:val="24"/>
          <w:szCs w:val="24"/>
        </w:rPr>
      </w:pPr>
      <w:r w:rsidRPr="00550C77">
        <w:rPr>
          <w:rFonts w:ascii="Arial" w:hAnsi="Arial" w:cs="Arial"/>
          <w:sz w:val="24"/>
          <w:szCs w:val="24"/>
        </w:rPr>
        <w:t xml:space="preserve">Dweck, C. (2012) </w:t>
      </w:r>
      <w:r w:rsidRPr="00550C77">
        <w:rPr>
          <w:rFonts w:ascii="Arial" w:hAnsi="Arial" w:cs="Arial"/>
          <w:i/>
          <w:sz w:val="24"/>
          <w:szCs w:val="24"/>
        </w:rPr>
        <w:t xml:space="preserve">Mindset: How you can fulfil your potential. </w:t>
      </w:r>
      <w:r w:rsidRPr="00550C77">
        <w:rPr>
          <w:rFonts w:ascii="Arial" w:hAnsi="Arial" w:cs="Arial"/>
          <w:sz w:val="24"/>
          <w:szCs w:val="24"/>
        </w:rPr>
        <w:t>New York: Ballantine Books.</w:t>
      </w:r>
    </w:p>
    <w:p w14:paraId="7624BFFA" w14:textId="77777777" w:rsidR="0051578C" w:rsidRPr="00550C77" w:rsidRDefault="0051578C" w:rsidP="0051578C">
      <w:pPr>
        <w:pStyle w:val="ListParagraph"/>
        <w:numPr>
          <w:ilvl w:val="0"/>
          <w:numId w:val="1"/>
        </w:numPr>
        <w:spacing w:line="480" w:lineRule="auto"/>
        <w:rPr>
          <w:rFonts w:ascii="Arial" w:hAnsi="Arial" w:cs="Arial"/>
          <w:sz w:val="24"/>
          <w:szCs w:val="24"/>
        </w:rPr>
      </w:pPr>
      <w:r w:rsidRPr="00550C77">
        <w:rPr>
          <w:rFonts w:ascii="Arial" w:hAnsi="Arial" w:cs="Arial"/>
          <w:sz w:val="24"/>
          <w:szCs w:val="24"/>
        </w:rPr>
        <w:t xml:space="preserve">Estyn, (2013) </w:t>
      </w:r>
      <w:r w:rsidRPr="00550C77">
        <w:rPr>
          <w:rFonts w:ascii="Arial" w:hAnsi="Arial" w:cs="Arial"/>
          <w:i/>
          <w:sz w:val="24"/>
          <w:szCs w:val="24"/>
        </w:rPr>
        <w:t xml:space="preserve">Supplementary guidance: listening to learners. </w:t>
      </w:r>
      <w:r w:rsidRPr="00550C77">
        <w:rPr>
          <w:rFonts w:ascii="Arial" w:hAnsi="Arial" w:cs="Arial"/>
          <w:sz w:val="24"/>
          <w:szCs w:val="24"/>
        </w:rPr>
        <w:t xml:space="preserve">Available at: </w:t>
      </w:r>
      <w:hyperlink r:id="rId12" w:history="1">
        <w:r w:rsidRPr="00550C77">
          <w:rPr>
            <w:rStyle w:val="Hyperlink"/>
            <w:rFonts w:ascii="Arial" w:hAnsi="Arial" w:cs="Arial"/>
            <w:sz w:val="24"/>
            <w:szCs w:val="24"/>
          </w:rPr>
          <w:t>https://www.estyn.gov.wales/sites/default/files/documents/Supplementary%20guidance%20-%20listening%20to%20learners.pdf</w:t>
        </w:r>
      </w:hyperlink>
      <w:r w:rsidRPr="00550C77">
        <w:rPr>
          <w:rFonts w:ascii="Arial" w:hAnsi="Arial" w:cs="Arial"/>
          <w:sz w:val="24"/>
          <w:szCs w:val="24"/>
        </w:rPr>
        <w:t xml:space="preserve"> (Accessed: 13</w:t>
      </w:r>
      <w:r w:rsidRPr="00550C77">
        <w:rPr>
          <w:rFonts w:ascii="Arial" w:hAnsi="Arial" w:cs="Arial"/>
          <w:sz w:val="24"/>
          <w:szCs w:val="24"/>
          <w:vertAlign w:val="superscript"/>
        </w:rPr>
        <w:t>th</w:t>
      </w:r>
      <w:r w:rsidRPr="00550C77">
        <w:rPr>
          <w:rFonts w:ascii="Arial" w:hAnsi="Arial" w:cs="Arial"/>
          <w:sz w:val="24"/>
          <w:szCs w:val="24"/>
        </w:rPr>
        <w:t xml:space="preserve"> October 2018). </w:t>
      </w:r>
    </w:p>
    <w:p w14:paraId="7AE5E1F6" w14:textId="7F357538" w:rsidR="0051578C" w:rsidRPr="00550C77" w:rsidRDefault="0051578C" w:rsidP="0051578C">
      <w:pPr>
        <w:pStyle w:val="ListParagraph"/>
        <w:numPr>
          <w:ilvl w:val="0"/>
          <w:numId w:val="1"/>
        </w:numPr>
        <w:spacing w:after="200" w:line="480" w:lineRule="auto"/>
        <w:rPr>
          <w:rFonts w:ascii="Arial" w:hAnsi="Arial" w:cs="Arial"/>
          <w:sz w:val="24"/>
          <w:szCs w:val="24"/>
        </w:rPr>
      </w:pPr>
      <w:r w:rsidRPr="00550C77">
        <w:rPr>
          <w:rFonts w:ascii="Arial" w:hAnsi="Arial" w:cs="Arial"/>
          <w:sz w:val="24"/>
          <w:szCs w:val="24"/>
        </w:rPr>
        <w:t xml:space="preserve">Estyn. (2016) </w:t>
      </w:r>
      <w:r w:rsidRPr="00550C77">
        <w:rPr>
          <w:rFonts w:ascii="Arial" w:hAnsi="Arial" w:cs="Arial"/>
          <w:i/>
          <w:sz w:val="24"/>
          <w:szCs w:val="24"/>
        </w:rPr>
        <w:t xml:space="preserve">Exploring and Learning Outdoors. </w:t>
      </w:r>
      <w:r w:rsidRPr="00550C77">
        <w:rPr>
          <w:rFonts w:ascii="Arial" w:hAnsi="Arial" w:cs="Arial"/>
          <w:sz w:val="24"/>
          <w:szCs w:val="24"/>
        </w:rPr>
        <w:t xml:space="preserve">Available at: </w:t>
      </w:r>
      <w:hyperlink r:id="rId13" w:history="1">
        <w:r w:rsidRPr="00550C77">
          <w:rPr>
            <w:rStyle w:val="Hyperlink"/>
            <w:rFonts w:ascii="Arial" w:hAnsi="Arial" w:cs="Arial"/>
            <w:sz w:val="24"/>
            <w:szCs w:val="24"/>
          </w:rPr>
          <w:t>https://www.estyn.gov.wales/best-practice/exploring-and-learning-outdoors</w:t>
        </w:r>
      </w:hyperlink>
      <w:r w:rsidRPr="00550C77">
        <w:rPr>
          <w:rFonts w:ascii="Arial" w:hAnsi="Arial" w:cs="Arial"/>
          <w:sz w:val="24"/>
          <w:szCs w:val="24"/>
        </w:rPr>
        <w:t xml:space="preserve"> </w:t>
      </w:r>
      <w:r w:rsidR="00CB7889">
        <w:rPr>
          <w:rFonts w:ascii="Arial" w:hAnsi="Arial" w:cs="Arial"/>
          <w:sz w:val="24"/>
          <w:szCs w:val="24"/>
        </w:rPr>
        <w:t>(</w:t>
      </w:r>
      <w:r w:rsidRPr="00550C77">
        <w:rPr>
          <w:rFonts w:ascii="Arial" w:hAnsi="Arial" w:cs="Arial"/>
          <w:sz w:val="24"/>
          <w:szCs w:val="24"/>
        </w:rPr>
        <w:t>Accessed: 11</w:t>
      </w:r>
      <w:r w:rsidRPr="00550C77">
        <w:rPr>
          <w:rFonts w:ascii="Arial" w:hAnsi="Arial" w:cs="Arial"/>
          <w:sz w:val="24"/>
          <w:szCs w:val="24"/>
          <w:vertAlign w:val="superscript"/>
        </w:rPr>
        <w:t>th</w:t>
      </w:r>
      <w:r w:rsidRPr="00550C77">
        <w:rPr>
          <w:rFonts w:ascii="Arial" w:hAnsi="Arial" w:cs="Arial"/>
          <w:sz w:val="24"/>
          <w:szCs w:val="24"/>
        </w:rPr>
        <w:t xml:space="preserve"> October 2018</w:t>
      </w:r>
      <w:r w:rsidR="00CB7889">
        <w:rPr>
          <w:rFonts w:ascii="Arial" w:hAnsi="Arial" w:cs="Arial"/>
          <w:sz w:val="24"/>
          <w:szCs w:val="24"/>
        </w:rPr>
        <w:t>)</w:t>
      </w:r>
      <w:r w:rsidRPr="00550C77">
        <w:rPr>
          <w:rFonts w:ascii="Arial" w:hAnsi="Arial" w:cs="Arial"/>
          <w:sz w:val="24"/>
          <w:szCs w:val="24"/>
        </w:rPr>
        <w:t>.</w:t>
      </w:r>
    </w:p>
    <w:p w14:paraId="601A9C37" w14:textId="77777777" w:rsidR="0051578C" w:rsidRPr="00550C77" w:rsidRDefault="0051578C" w:rsidP="0051578C">
      <w:pPr>
        <w:pStyle w:val="ListParagraph"/>
        <w:numPr>
          <w:ilvl w:val="0"/>
          <w:numId w:val="1"/>
        </w:numPr>
        <w:spacing w:line="480" w:lineRule="auto"/>
        <w:rPr>
          <w:rFonts w:ascii="Arial" w:hAnsi="Arial" w:cs="Arial"/>
          <w:sz w:val="24"/>
          <w:szCs w:val="24"/>
        </w:rPr>
      </w:pPr>
      <w:r w:rsidRPr="00550C77">
        <w:rPr>
          <w:rFonts w:ascii="Arial" w:hAnsi="Arial" w:cs="Arial"/>
          <w:sz w:val="24"/>
          <w:szCs w:val="24"/>
        </w:rPr>
        <w:t xml:space="preserve">Florescu, M.H. and Pop-Păcurar, I. (2016) ‘Is the Fear of ‘Being Wrong’ a Barrier for Effective Communication between Students and Professors? A survey study at babes-bolyai University Romania’, </w:t>
      </w:r>
      <w:r w:rsidRPr="00550C77">
        <w:rPr>
          <w:rFonts w:ascii="Arial" w:hAnsi="Arial" w:cs="Arial"/>
          <w:i/>
          <w:sz w:val="24"/>
          <w:szCs w:val="24"/>
        </w:rPr>
        <w:t xml:space="preserve">Acta Didactica Napocensia, </w:t>
      </w:r>
      <w:r w:rsidRPr="00550C77">
        <w:rPr>
          <w:rFonts w:ascii="Arial" w:hAnsi="Arial" w:cs="Arial"/>
          <w:sz w:val="24"/>
          <w:szCs w:val="24"/>
        </w:rPr>
        <w:t xml:space="preserve">9(2), pp. 47-65. Available at: </w:t>
      </w:r>
      <w:hyperlink r:id="rId14" w:history="1">
        <w:r w:rsidRPr="00550C77">
          <w:rPr>
            <w:rStyle w:val="Hyperlink"/>
            <w:rFonts w:ascii="Arial" w:hAnsi="Arial" w:cs="Arial"/>
            <w:sz w:val="24"/>
            <w:szCs w:val="24"/>
            <w:shd w:val="clear" w:color="auto" w:fill="F5F5F5"/>
          </w:rPr>
          <w:t>https://ezproxy.uwtsd.ac.uk/login?url=https://search.ebscohost.com/login.aspx?direct=true&amp;db=eue&amp;AN=119107940&amp;site=ehost-live</w:t>
        </w:r>
      </w:hyperlink>
      <w:r w:rsidRPr="00550C77">
        <w:rPr>
          <w:rFonts w:ascii="Arial" w:hAnsi="Arial" w:cs="Arial"/>
          <w:color w:val="333333"/>
          <w:sz w:val="24"/>
          <w:szCs w:val="24"/>
          <w:shd w:val="clear" w:color="auto" w:fill="F5F5F5"/>
        </w:rPr>
        <w:t xml:space="preserve"> (Accessed: 16 October 2018)</w:t>
      </w:r>
    </w:p>
    <w:p w14:paraId="77E7E1F0" w14:textId="77777777" w:rsidR="0051578C" w:rsidRPr="00550C77" w:rsidRDefault="0051578C" w:rsidP="0051578C">
      <w:pPr>
        <w:pStyle w:val="ListParagraph"/>
        <w:numPr>
          <w:ilvl w:val="0"/>
          <w:numId w:val="1"/>
        </w:numPr>
        <w:spacing w:after="200" w:line="480" w:lineRule="auto"/>
        <w:rPr>
          <w:rFonts w:ascii="Arial" w:hAnsi="Arial" w:cs="Arial"/>
          <w:sz w:val="24"/>
          <w:szCs w:val="24"/>
        </w:rPr>
      </w:pPr>
      <w:r w:rsidRPr="00550C77">
        <w:rPr>
          <w:rFonts w:ascii="Arial" w:hAnsi="Arial" w:cs="Arial"/>
          <w:sz w:val="24"/>
          <w:szCs w:val="24"/>
        </w:rPr>
        <w:t xml:space="preserve">Freire, P. (1970) </w:t>
      </w:r>
      <w:r w:rsidRPr="00550C77">
        <w:rPr>
          <w:rFonts w:ascii="Arial" w:hAnsi="Arial" w:cs="Arial"/>
          <w:i/>
          <w:sz w:val="24"/>
          <w:szCs w:val="24"/>
        </w:rPr>
        <w:t xml:space="preserve">Pedagogy of the Oppressed. </w:t>
      </w:r>
      <w:r w:rsidRPr="00550C77">
        <w:rPr>
          <w:rFonts w:ascii="Arial" w:hAnsi="Arial" w:cs="Arial"/>
          <w:sz w:val="24"/>
          <w:szCs w:val="24"/>
        </w:rPr>
        <w:t xml:space="preserve">New York: Herder and Herder. </w:t>
      </w:r>
    </w:p>
    <w:p w14:paraId="15D3ACFA" w14:textId="77777777" w:rsidR="0051578C" w:rsidRPr="00CB7889" w:rsidRDefault="0051578C" w:rsidP="0051578C">
      <w:pPr>
        <w:pStyle w:val="ListParagraph"/>
        <w:numPr>
          <w:ilvl w:val="0"/>
          <w:numId w:val="1"/>
        </w:numPr>
        <w:spacing w:line="480" w:lineRule="auto"/>
        <w:rPr>
          <w:rFonts w:ascii="Arial" w:hAnsi="Arial" w:cs="Arial"/>
          <w:sz w:val="24"/>
          <w:szCs w:val="24"/>
        </w:rPr>
      </w:pPr>
      <w:r w:rsidRPr="00550C77">
        <w:rPr>
          <w:rFonts w:ascii="Arial" w:hAnsi="Arial" w:cs="Arial"/>
          <w:sz w:val="24"/>
          <w:szCs w:val="24"/>
        </w:rPr>
        <w:t>Ga</w:t>
      </w:r>
      <w:r w:rsidRPr="00CB7889">
        <w:rPr>
          <w:rFonts w:ascii="Arial" w:hAnsi="Arial" w:cs="Arial"/>
          <w:sz w:val="24"/>
          <w:szCs w:val="24"/>
        </w:rPr>
        <w:t xml:space="preserve">rdner, H. (2006) </w:t>
      </w:r>
      <w:r w:rsidRPr="00CB7889">
        <w:rPr>
          <w:rFonts w:ascii="Arial" w:hAnsi="Arial" w:cs="Arial"/>
          <w:i/>
          <w:sz w:val="24"/>
          <w:szCs w:val="24"/>
        </w:rPr>
        <w:t xml:space="preserve">Frames of Mind The Theory of Multiple Intelligences. </w:t>
      </w:r>
      <w:r w:rsidRPr="00CB7889">
        <w:rPr>
          <w:rFonts w:ascii="Arial" w:hAnsi="Arial" w:cs="Arial"/>
          <w:sz w:val="24"/>
          <w:szCs w:val="24"/>
        </w:rPr>
        <w:t>United States: Ingram Publisher Services US</w:t>
      </w:r>
    </w:p>
    <w:p w14:paraId="749F9ECD" w14:textId="77777777" w:rsidR="0051578C" w:rsidRPr="00CB7889" w:rsidRDefault="0051578C" w:rsidP="0051578C">
      <w:pPr>
        <w:pStyle w:val="ListParagraph"/>
        <w:numPr>
          <w:ilvl w:val="0"/>
          <w:numId w:val="1"/>
        </w:numPr>
        <w:shd w:val="clear" w:color="auto" w:fill="FFFFFF"/>
        <w:spacing w:after="0" w:line="480" w:lineRule="auto"/>
        <w:rPr>
          <w:rFonts w:ascii="Arial" w:eastAsia="Times New Roman" w:hAnsi="Arial" w:cs="Arial"/>
          <w:sz w:val="24"/>
          <w:szCs w:val="24"/>
          <w:lang w:eastAsia="en-GB"/>
        </w:rPr>
      </w:pPr>
      <w:r w:rsidRPr="00CB7889">
        <w:rPr>
          <w:rFonts w:ascii="Arial" w:eastAsia="Times New Roman" w:hAnsi="Arial" w:cs="Arial"/>
          <w:sz w:val="24"/>
          <w:szCs w:val="24"/>
          <w:lang w:eastAsia="en-GB"/>
        </w:rPr>
        <w:t xml:space="preserve">Ginnis, P. (2002) </w:t>
      </w:r>
      <w:r w:rsidRPr="00CB7889">
        <w:rPr>
          <w:rFonts w:ascii="Arial" w:eastAsia="Times New Roman" w:hAnsi="Arial" w:cs="Arial"/>
          <w:i/>
          <w:sz w:val="24"/>
          <w:szCs w:val="24"/>
          <w:lang w:eastAsia="en-GB"/>
        </w:rPr>
        <w:t>The TEACHER'S TOOLKIT. Raise Classroom Achievement with Strategies for Every Learner.</w:t>
      </w:r>
      <w:r w:rsidRPr="00CB7889">
        <w:rPr>
          <w:rFonts w:ascii="Arial" w:eastAsia="Times New Roman" w:hAnsi="Arial" w:cs="Arial"/>
          <w:sz w:val="24"/>
          <w:szCs w:val="24"/>
          <w:lang w:eastAsia="en-GB"/>
        </w:rPr>
        <w:t xml:space="preserve"> Carmarthen, Wales: Crown House Publishing Ltd. </w:t>
      </w:r>
    </w:p>
    <w:p w14:paraId="2A9C1037" w14:textId="77777777" w:rsidR="0051578C" w:rsidRPr="00CB7889" w:rsidRDefault="0051578C" w:rsidP="0051578C">
      <w:pPr>
        <w:pStyle w:val="ListParagraph"/>
        <w:numPr>
          <w:ilvl w:val="0"/>
          <w:numId w:val="1"/>
        </w:numPr>
        <w:shd w:val="clear" w:color="auto" w:fill="FFFFFF"/>
        <w:spacing w:after="0" w:line="480" w:lineRule="auto"/>
        <w:rPr>
          <w:rFonts w:ascii="Arial" w:eastAsia="Times New Roman" w:hAnsi="Arial" w:cs="Arial"/>
          <w:sz w:val="24"/>
          <w:szCs w:val="24"/>
          <w:lang w:eastAsia="en-GB"/>
        </w:rPr>
      </w:pPr>
      <w:r w:rsidRPr="00CB7889">
        <w:rPr>
          <w:rFonts w:ascii="Arial" w:eastAsia="Times New Roman" w:hAnsi="Arial" w:cs="Arial"/>
          <w:sz w:val="24"/>
          <w:szCs w:val="24"/>
          <w:lang w:eastAsia="en-GB"/>
        </w:rPr>
        <w:t xml:space="preserve">Grigg, R. (2015) </w:t>
      </w:r>
      <w:r w:rsidRPr="00CB7889">
        <w:rPr>
          <w:rFonts w:ascii="Arial" w:eastAsia="Times New Roman" w:hAnsi="Arial" w:cs="Arial"/>
          <w:i/>
          <w:sz w:val="24"/>
          <w:szCs w:val="24"/>
          <w:lang w:eastAsia="en-GB"/>
        </w:rPr>
        <w:t>BECOMING AN OUTSTANDING PRIMARY SCHOOL TEACHER. 2nd</w:t>
      </w:r>
      <w:r w:rsidRPr="00CB7889">
        <w:rPr>
          <w:rFonts w:ascii="Arial" w:eastAsia="Times New Roman" w:hAnsi="Arial" w:cs="Arial"/>
          <w:sz w:val="24"/>
          <w:szCs w:val="24"/>
          <w:lang w:eastAsia="en-GB"/>
        </w:rPr>
        <w:t xml:space="preserve"> ed. Abington, Oxon: Routledge. </w:t>
      </w:r>
    </w:p>
    <w:p w14:paraId="4026DDA1" w14:textId="77777777" w:rsidR="0051578C" w:rsidRPr="00CB7889" w:rsidRDefault="0051578C" w:rsidP="0051578C">
      <w:pPr>
        <w:pStyle w:val="ListParagraph"/>
        <w:numPr>
          <w:ilvl w:val="0"/>
          <w:numId w:val="1"/>
        </w:numPr>
        <w:spacing w:line="480" w:lineRule="auto"/>
        <w:rPr>
          <w:rFonts w:ascii="Arial" w:hAnsi="Arial" w:cs="Arial"/>
          <w:sz w:val="24"/>
          <w:szCs w:val="24"/>
        </w:rPr>
      </w:pPr>
      <w:r w:rsidRPr="00CB7889">
        <w:rPr>
          <w:rFonts w:ascii="Arial" w:hAnsi="Arial" w:cs="Arial"/>
          <w:sz w:val="24"/>
          <w:szCs w:val="24"/>
        </w:rPr>
        <w:t xml:space="preserve">Hagerty, M.R. (1999) ‘Testing Maslow’s Hierarchy of Needs: National Quality-Of-Life Across Time’, </w:t>
      </w:r>
      <w:r w:rsidRPr="00CB7889">
        <w:rPr>
          <w:rFonts w:ascii="Arial" w:hAnsi="Arial" w:cs="Arial"/>
          <w:i/>
          <w:sz w:val="24"/>
          <w:szCs w:val="24"/>
        </w:rPr>
        <w:t xml:space="preserve">Social Indicators Research, </w:t>
      </w:r>
      <w:r w:rsidRPr="00CB7889">
        <w:rPr>
          <w:rFonts w:ascii="Arial" w:hAnsi="Arial" w:cs="Arial"/>
          <w:sz w:val="24"/>
          <w:szCs w:val="24"/>
        </w:rPr>
        <w:t xml:space="preserve">46(3), pp.249-271. </w:t>
      </w:r>
    </w:p>
    <w:p w14:paraId="2E11468D" w14:textId="77777777" w:rsidR="0051578C" w:rsidRPr="00CB7889" w:rsidRDefault="0051578C" w:rsidP="0051578C">
      <w:pPr>
        <w:pStyle w:val="ListParagraph"/>
        <w:numPr>
          <w:ilvl w:val="0"/>
          <w:numId w:val="1"/>
        </w:numPr>
        <w:shd w:val="clear" w:color="auto" w:fill="FFFFFF"/>
        <w:spacing w:after="0" w:line="480" w:lineRule="auto"/>
        <w:rPr>
          <w:rFonts w:ascii="Arial" w:eastAsia="Times New Roman" w:hAnsi="Arial" w:cs="Arial"/>
          <w:sz w:val="24"/>
          <w:szCs w:val="24"/>
          <w:lang w:eastAsia="en-GB"/>
        </w:rPr>
      </w:pPr>
      <w:r w:rsidRPr="00CB7889">
        <w:rPr>
          <w:rFonts w:ascii="Arial" w:eastAsia="Times New Roman" w:hAnsi="Arial" w:cs="Arial"/>
          <w:sz w:val="24"/>
          <w:szCs w:val="24"/>
          <w:lang w:eastAsia="en-GB"/>
        </w:rPr>
        <w:t xml:space="preserve">Harries, J. (2003) </w:t>
      </w:r>
      <w:r w:rsidRPr="00CB7889">
        <w:rPr>
          <w:rFonts w:ascii="Arial" w:eastAsia="Times New Roman" w:hAnsi="Arial" w:cs="Arial"/>
          <w:i/>
          <w:sz w:val="24"/>
          <w:szCs w:val="24"/>
          <w:lang w:eastAsia="en-GB"/>
        </w:rPr>
        <w:t xml:space="preserve">Role Play. </w:t>
      </w:r>
      <w:r w:rsidRPr="00CB7889">
        <w:rPr>
          <w:rFonts w:ascii="Arial" w:eastAsia="Times New Roman" w:hAnsi="Arial" w:cs="Arial"/>
          <w:sz w:val="24"/>
          <w:szCs w:val="24"/>
          <w:lang w:eastAsia="en-GB"/>
        </w:rPr>
        <w:t>Lemington Spa: Step Forward.</w:t>
      </w:r>
    </w:p>
    <w:p w14:paraId="67CC59A0" w14:textId="77777777" w:rsidR="0051578C" w:rsidRPr="00CB7889" w:rsidRDefault="0051578C" w:rsidP="0051578C">
      <w:pPr>
        <w:pStyle w:val="ListParagraph"/>
        <w:numPr>
          <w:ilvl w:val="0"/>
          <w:numId w:val="1"/>
        </w:numPr>
        <w:spacing w:after="200" w:line="480" w:lineRule="auto"/>
        <w:rPr>
          <w:rFonts w:ascii="Arial" w:hAnsi="Arial" w:cs="Arial"/>
          <w:sz w:val="24"/>
          <w:szCs w:val="24"/>
        </w:rPr>
      </w:pPr>
      <w:r w:rsidRPr="00CB7889">
        <w:rPr>
          <w:rFonts w:ascii="Arial" w:eastAsia="Arial" w:hAnsi="Arial" w:cs="Arial"/>
          <w:sz w:val="24"/>
          <w:szCs w:val="24"/>
        </w:rPr>
        <w:t xml:space="preserve">Holt, J. (1984) </w:t>
      </w:r>
      <w:r w:rsidRPr="00CB7889">
        <w:rPr>
          <w:rFonts w:ascii="Arial" w:eastAsia="Arial" w:hAnsi="Arial" w:cs="Arial"/>
          <w:i/>
          <w:iCs/>
          <w:sz w:val="24"/>
          <w:szCs w:val="24"/>
        </w:rPr>
        <w:t xml:space="preserve">How Children Learn. </w:t>
      </w:r>
      <w:r w:rsidRPr="00CB7889">
        <w:rPr>
          <w:rFonts w:ascii="Arial" w:eastAsia="Arial" w:hAnsi="Arial" w:cs="Arial"/>
          <w:sz w:val="24"/>
          <w:szCs w:val="24"/>
        </w:rPr>
        <w:t>Harmondsworth: Penguin Books</w:t>
      </w:r>
    </w:p>
    <w:p w14:paraId="25973721" w14:textId="77777777" w:rsidR="0051578C" w:rsidRPr="00CB7889" w:rsidRDefault="0051578C" w:rsidP="0051578C">
      <w:pPr>
        <w:pStyle w:val="ListParagraph"/>
        <w:numPr>
          <w:ilvl w:val="0"/>
          <w:numId w:val="1"/>
        </w:numPr>
        <w:spacing w:after="200" w:line="480" w:lineRule="auto"/>
        <w:rPr>
          <w:rFonts w:ascii="Arial" w:hAnsi="Arial" w:cs="Arial"/>
          <w:sz w:val="24"/>
          <w:szCs w:val="24"/>
        </w:rPr>
      </w:pPr>
      <w:r w:rsidRPr="00CB7889">
        <w:rPr>
          <w:rFonts w:ascii="Arial" w:hAnsi="Arial" w:cs="Arial"/>
          <w:sz w:val="24"/>
          <w:szCs w:val="24"/>
        </w:rPr>
        <w:t xml:space="preserve">Hook, P. &amp; Vass, A. (2004) </w:t>
      </w:r>
      <w:r w:rsidRPr="00CB7889">
        <w:rPr>
          <w:rFonts w:ascii="Arial" w:hAnsi="Arial" w:cs="Arial"/>
          <w:i/>
          <w:sz w:val="24"/>
          <w:szCs w:val="24"/>
        </w:rPr>
        <w:t xml:space="preserve">Behaviour Management Pocketbooklet. </w:t>
      </w:r>
      <w:r w:rsidRPr="00CB7889">
        <w:rPr>
          <w:rFonts w:ascii="Arial" w:hAnsi="Arial" w:cs="Arial"/>
          <w:sz w:val="24"/>
          <w:szCs w:val="24"/>
        </w:rPr>
        <w:t>Hampshire: Teacher’s Pocketbooks.</w:t>
      </w:r>
    </w:p>
    <w:p w14:paraId="352AA4F6" w14:textId="77777777" w:rsidR="0051578C" w:rsidRPr="00CB7889" w:rsidRDefault="0051578C" w:rsidP="0051578C">
      <w:pPr>
        <w:pStyle w:val="ListParagraph"/>
        <w:numPr>
          <w:ilvl w:val="0"/>
          <w:numId w:val="1"/>
        </w:numPr>
        <w:spacing w:after="200" w:line="480" w:lineRule="auto"/>
        <w:rPr>
          <w:rFonts w:ascii="Arial" w:eastAsia="Arial" w:hAnsi="Arial" w:cs="Arial"/>
          <w:sz w:val="24"/>
          <w:szCs w:val="24"/>
        </w:rPr>
      </w:pPr>
      <w:r w:rsidRPr="00CB7889">
        <w:rPr>
          <w:rFonts w:ascii="Arial" w:eastAsia="Arial" w:hAnsi="Arial" w:cs="Arial"/>
          <w:sz w:val="24"/>
          <w:szCs w:val="24"/>
        </w:rPr>
        <w:t xml:space="preserve">Isaacs, S. (1971) </w:t>
      </w:r>
      <w:r w:rsidRPr="00CB7889">
        <w:rPr>
          <w:rFonts w:ascii="Arial" w:eastAsia="Arial" w:hAnsi="Arial" w:cs="Arial"/>
          <w:i/>
          <w:sz w:val="24"/>
          <w:szCs w:val="24"/>
        </w:rPr>
        <w:t xml:space="preserve">The Nursery Years: The mind of the child from birth to sixth years. </w:t>
      </w:r>
      <w:r w:rsidRPr="00CB7889">
        <w:rPr>
          <w:rFonts w:ascii="Arial" w:eastAsia="Arial" w:hAnsi="Arial" w:cs="Arial"/>
          <w:sz w:val="24"/>
          <w:szCs w:val="24"/>
        </w:rPr>
        <w:t>London: Routledge.</w:t>
      </w:r>
    </w:p>
    <w:p w14:paraId="40073F25" w14:textId="77777777" w:rsidR="0051578C" w:rsidRPr="00CB7889" w:rsidRDefault="0051578C" w:rsidP="0051578C">
      <w:pPr>
        <w:pStyle w:val="ListParagraph"/>
        <w:numPr>
          <w:ilvl w:val="0"/>
          <w:numId w:val="1"/>
        </w:numPr>
        <w:spacing w:after="200" w:line="480" w:lineRule="auto"/>
        <w:rPr>
          <w:rFonts w:ascii="Arial" w:eastAsia="Arial" w:hAnsi="Arial" w:cs="Arial"/>
          <w:sz w:val="24"/>
          <w:szCs w:val="24"/>
        </w:rPr>
      </w:pPr>
      <w:r w:rsidRPr="00CB7889">
        <w:rPr>
          <w:rFonts w:ascii="Arial" w:eastAsia="Arial" w:hAnsi="Arial" w:cs="Arial"/>
          <w:sz w:val="24"/>
          <w:szCs w:val="24"/>
        </w:rPr>
        <w:t>Kad</w:t>
      </w:r>
      <w:bookmarkStart w:id="1" w:name="_GoBack"/>
      <w:bookmarkEnd w:id="1"/>
      <w:r w:rsidRPr="00CB7889">
        <w:rPr>
          <w:rFonts w:ascii="Arial" w:eastAsia="Arial" w:hAnsi="Arial" w:cs="Arial"/>
          <w:sz w:val="24"/>
          <w:szCs w:val="24"/>
        </w:rPr>
        <w:t xml:space="preserve">doura, M. (2013) ‘Think Pair Share: A teaching Learning Strategy to Enhance Students’ Critical Thinking’, </w:t>
      </w:r>
      <w:r w:rsidRPr="00CB7889">
        <w:rPr>
          <w:rFonts w:ascii="Arial" w:eastAsia="Arial" w:hAnsi="Arial" w:cs="Arial"/>
          <w:i/>
          <w:sz w:val="24"/>
          <w:szCs w:val="24"/>
        </w:rPr>
        <w:t xml:space="preserve">Educational Research Quartly, </w:t>
      </w:r>
      <w:r w:rsidRPr="00CB7889">
        <w:rPr>
          <w:rFonts w:ascii="Arial" w:eastAsia="Arial" w:hAnsi="Arial" w:cs="Arial"/>
          <w:sz w:val="24"/>
          <w:szCs w:val="24"/>
        </w:rPr>
        <w:t>36(4), pp. 3-24.</w:t>
      </w:r>
    </w:p>
    <w:p w14:paraId="710E36BF" w14:textId="77777777" w:rsidR="0051578C" w:rsidRPr="00CB7889" w:rsidRDefault="0051578C" w:rsidP="0051578C">
      <w:pPr>
        <w:pStyle w:val="ListParagraph"/>
        <w:numPr>
          <w:ilvl w:val="0"/>
          <w:numId w:val="1"/>
        </w:numPr>
        <w:spacing w:after="0" w:line="480" w:lineRule="auto"/>
        <w:rPr>
          <w:rFonts w:ascii="Arial" w:eastAsia="Times New Roman" w:hAnsi="Arial" w:cs="Arial"/>
          <w:sz w:val="24"/>
          <w:szCs w:val="24"/>
          <w:lang w:eastAsia="en-GB"/>
        </w:rPr>
      </w:pPr>
      <w:r w:rsidRPr="00CB7889">
        <w:rPr>
          <w:rFonts w:ascii="Arial" w:eastAsia="Times New Roman" w:hAnsi="Arial" w:cs="Arial"/>
          <w:sz w:val="24"/>
          <w:szCs w:val="24"/>
          <w:shd w:val="clear" w:color="auto" w:fill="FFFFFF"/>
          <w:lang w:eastAsia="en-GB"/>
        </w:rPr>
        <w:t xml:space="preserve">Kerry, T. (2002) </w:t>
      </w:r>
      <w:r w:rsidRPr="00CB7889">
        <w:rPr>
          <w:rFonts w:ascii="Arial" w:eastAsia="Times New Roman" w:hAnsi="Arial" w:cs="Arial"/>
          <w:i/>
          <w:sz w:val="24"/>
          <w:szCs w:val="24"/>
          <w:shd w:val="clear" w:color="auto" w:fill="FFFFFF"/>
          <w:lang w:eastAsia="en-GB"/>
        </w:rPr>
        <w:t>Explaining and Questioning.</w:t>
      </w:r>
      <w:r w:rsidRPr="00CB7889">
        <w:rPr>
          <w:rFonts w:ascii="Arial" w:eastAsia="Times New Roman" w:hAnsi="Arial" w:cs="Arial"/>
          <w:sz w:val="24"/>
          <w:szCs w:val="24"/>
          <w:shd w:val="clear" w:color="auto" w:fill="FFFFFF"/>
          <w:lang w:eastAsia="en-GB"/>
        </w:rPr>
        <w:t xml:space="preserve"> Cheltenham, United Kingdom: Nelson Thornes Ltd. </w:t>
      </w:r>
    </w:p>
    <w:p w14:paraId="49572217" w14:textId="5EF211F1" w:rsidR="0051578C" w:rsidRPr="00CB7889" w:rsidRDefault="0051578C" w:rsidP="0051578C">
      <w:pPr>
        <w:pStyle w:val="ListParagraph"/>
        <w:numPr>
          <w:ilvl w:val="0"/>
          <w:numId w:val="1"/>
        </w:numPr>
        <w:spacing w:line="480" w:lineRule="auto"/>
        <w:rPr>
          <w:rFonts w:ascii="Arial" w:hAnsi="Arial" w:cs="Arial"/>
          <w:sz w:val="24"/>
          <w:szCs w:val="24"/>
        </w:rPr>
      </w:pPr>
      <w:r w:rsidRPr="00CB7889">
        <w:rPr>
          <w:rFonts w:ascii="Arial" w:hAnsi="Arial" w:cs="Arial"/>
          <w:sz w:val="24"/>
          <w:szCs w:val="24"/>
        </w:rPr>
        <w:t xml:space="preserve">Lage, M.J., Platt, G.J. and Treglia, M. (2000) ‘Inverting the Classroom: A Gateway to Creating an Inclusive Learning Environment’, </w:t>
      </w:r>
      <w:r w:rsidRPr="00CB7889">
        <w:rPr>
          <w:rFonts w:ascii="Arial" w:hAnsi="Arial" w:cs="Arial"/>
          <w:i/>
          <w:sz w:val="24"/>
          <w:szCs w:val="24"/>
        </w:rPr>
        <w:t xml:space="preserve">Journal of Economic Education, </w:t>
      </w:r>
      <w:r w:rsidRPr="00CB7889">
        <w:rPr>
          <w:rFonts w:ascii="Arial" w:hAnsi="Arial" w:cs="Arial"/>
          <w:sz w:val="24"/>
          <w:szCs w:val="24"/>
        </w:rPr>
        <w:t>31(3), pp.30-43.</w:t>
      </w:r>
    </w:p>
    <w:p w14:paraId="2EC3AAFE" w14:textId="77777777" w:rsidR="0051578C" w:rsidRPr="00CB7889" w:rsidRDefault="0051578C" w:rsidP="0051578C">
      <w:pPr>
        <w:pStyle w:val="ListParagraph"/>
        <w:numPr>
          <w:ilvl w:val="0"/>
          <w:numId w:val="1"/>
        </w:numPr>
        <w:spacing w:line="480" w:lineRule="auto"/>
        <w:rPr>
          <w:rFonts w:ascii="Arial" w:hAnsi="Arial" w:cs="Arial"/>
          <w:sz w:val="24"/>
          <w:szCs w:val="24"/>
        </w:rPr>
      </w:pPr>
      <w:r w:rsidRPr="00CB7889">
        <w:rPr>
          <w:rFonts w:ascii="Arial" w:hAnsi="Arial" w:cs="Arial"/>
          <w:sz w:val="24"/>
          <w:szCs w:val="24"/>
        </w:rPr>
        <w:t xml:space="preserve">Lantolf, J. P., and Aljaafreh, A. (1996). ‘Second Language learning in the zone of proximal development: A revolutionary experience’. </w:t>
      </w:r>
      <w:r w:rsidRPr="00CB7889">
        <w:rPr>
          <w:rFonts w:ascii="Arial" w:hAnsi="Arial" w:cs="Arial"/>
          <w:i/>
          <w:sz w:val="24"/>
          <w:szCs w:val="24"/>
        </w:rPr>
        <w:t xml:space="preserve">International Journal of Educational Research, 23, </w:t>
      </w:r>
      <w:r w:rsidRPr="00CB7889">
        <w:rPr>
          <w:rFonts w:ascii="Arial" w:hAnsi="Arial" w:cs="Arial"/>
          <w:sz w:val="24"/>
          <w:szCs w:val="24"/>
        </w:rPr>
        <w:t>pp. 619-632.</w:t>
      </w:r>
    </w:p>
    <w:p w14:paraId="23839590" w14:textId="77777777" w:rsidR="0051578C" w:rsidRPr="00CB7889" w:rsidRDefault="0051578C" w:rsidP="0051578C">
      <w:pPr>
        <w:pStyle w:val="ListParagraph"/>
        <w:numPr>
          <w:ilvl w:val="0"/>
          <w:numId w:val="1"/>
        </w:numPr>
        <w:spacing w:line="480" w:lineRule="auto"/>
        <w:rPr>
          <w:rFonts w:ascii="Arial" w:hAnsi="Arial" w:cs="Arial"/>
          <w:sz w:val="24"/>
          <w:szCs w:val="24"/>
        </w:rPr>
      </w:pPr>
      <w:r w:rsidRPr="00CB7889">
        <w:rPr>
          <w:rFonts w:ascii="Arial" w:hAnsi="Arial" w:cs="Arial"/>
          <w:sz w:val="24"/>
          <w:szCs w:val="24"/>
        </w:rPr>
        <w:t xml:space="preserve">Leavers, F. (2008) </w:t>
      </w:r>
      <w:r w:rsidRPr="00CB7889">
        <w:rPr>
          <w:rFonts w:ascii="Arial" w:hAnsi="Arial" w:cs="Arial"/>
          <w:i/>
          <w:sz w:val="24"/>
          <w:szCs w:val="24"/>
        </w:rPr>
        <w:t xml:space="preserve">The Leuven involvement scale for young children: IS-YC (3-6 year olds). </w:t>
      </w:r>
      <w:r w:rsidRPr="00CB7889">
        <w:rPr>
          <w:rFonts w:ascii="Arial" w:hAnsi="Arial" w:cs="Arial"/>
          <w:sz w:val="24"/>
          <w:szCs w:val="24"/>
        </w:rPr>
        <w:t>Leuven: CEGO.</w:t>
      </w:r>
    </w:p>
    <w:p w14:paraId="0A0D6D23" w14:textId="77777777" w:rsidR="0051578C" w:rsidRPr="00CB7889" w:rsidRDefault="0051578C" w:rsidP="0051578C">
      <w:pPr>
        <w:pStyle w:val="ListParagraph"/>
        <w:numPr>
          <w:ilvl w:val="0"/>
          <w:numId w:val="1"/>
        </w:numPr>
        <w:spacing w:line="480" w:lineRule="auto"/>
        <w:rPr>
          <w:rFonts w:ascii="Arial" w:eastAsia="Arial" w:hAnsi="Arial" w:cs="Arial"/>
          <w:sz w:val="24"/>
          <w:szCs w:val="24"/>
        </w:rPr>
      </w:pPr>
      <w:r w:rsidRPr="00CB7889">
        <w:rPr>
          <w:rFonts w:ascii="Arial" w:eastAsia="Arial" w:hAnsi="Arial" w:cs="Arial"/>
          <w:sz w:val="24"/>
          <w:szCs w:val="24"/>
        </w:rPr>
        <w:t xml:space="preserve">Lillard, P. (1996). </w:t>
      </w:r>
      <w:r w:rsidRPr="00CB7889">
        <w:rPr>
          <w:rFonts w:ascii="Arial" w:eastAsia="Arial" w:hAnsi="Arial" w:cs="Arial"/>
          <w:i/>
          <w:sz w:val="24"/>
          <w:szCs w:val="24"/>
        </w:rPr>
        <w:t>Montessori Today</w:t>
      </w:r>
      <w:r w:rsidRPr="00CB7889">
        <w:rPr>
          <w:rFonts w:ascii="Arial" w:eastAsia="Arial" w:hAnsi="Arial" w:cs="Arial"/>
          <w:sz w:val="24"/>
          <w:szCs w:val="24"/>
        </w:rPr>
        <w:t>. New York: Schocken Books.</w:t>
      </w:r>
    </w:p>
    <w:p w14:paraId="4020978E" w14:textId="77777777" w:rsidR="0051578C" w:rsidRPr="00CB7889" w:rsidRDefault="0051578C" w:rsidP="0051578C">
      <w:pPr>
        <w:pStyle w:val="ListParagraph"/>
        <w:numPr>
          <w:ilvl w:val="0"/>
          <w:numId w:val="1"/>
        </w:numPr>
        <w:spacing w:line="480" w:lineRule="auto"/>
        <w:rPr>
          <w:rFonts w:ascii="Arial" w:hAnsi="Arial" w:cs="Arial"/>
          <w:sz w:val="24"/>
          <w:szCs w:val="24"/>
        </w:rPr>
      </w:pPr>
      <w:r w:rsidRPr="00CB7889">
        <w:rPr>
          <w:rFonts w:ascii="Arial" w:hAnsi="Arial" w:cs="Arial"/>
          <w:sz w:val="24"/>
          <w:szCs w:val="24"/>
          <w:shd w:val="clear" w:color="auto" w:fill="FFFFFF"/>
        </w:rPr>
        <w:t>Lui, C.H.  &amp; Matthews, R. (2005). ‘Vygotsky’s philosophy: Constructivism and its criticisms examined’. </w:t>
      </w:r>
      <w:r w:rsidRPr="00CB7889">
        <w:rPr>
          <w:rStyle w:val="Emphasis"/>
          <w:rFonts w:ascii="Arial" w:hAnsi="Arial" w:cs="Arial"/>
          <w:sz w:val="24"/>
          <w:szCs w:val="24"/>
          <w:shd w:val="clear" w:color="auto" w:fill="FFFFFF"/>
        </w:rPr>
        <w:t>International Educational Journal, </w:t>
      </w:r>
      <w:r w:rsidRPr="00CB7889">
        <w:rPr>
          <w:rFonts w:ascii="Arial" w:hAnsi="Arial" w:cs="Arial"/>
          <w:sz w:val="24"/>
          <w:szCs w:val="24"/>
          <w:shd w:val="clear" w:color="auto" w:fill="FFFFFF"/>
        </w:rPr>
        <w:t>6 (3), pp. 386-399. </w:t>
      </w:r>
    </w:p>
    <w:p w14:paraId="3D62F322" w14:textId="77777777" w:rsidR="0051578C" w:rsidRPr="00CB7889" w:rsidRDefault="0051578C" w:rsidP="0051578C">
      <w:pPr>
        <w:pStyle w:val="ListParagraph"/>
        <w:numPr>
          <w:ilvl w:val="0"/>
          <w:numId w:val="1"/>
        </w:numPr>
        <w:spacing w:line="480" w:lineRule="auto"/>
        <w:rPr>
          <w:rFonts w:ascii="Arial" w:hAnsi="Arial" w:cs="Arial"/>
          <w:sz w:val="24"/>
          <w:szCs w:val="24"/>
        </w:rPr>
      </w:pPr>
      <w:r w:rsidRPr="00CB7889">
        <w:rPr>
          <w:rFonts w:ascii="Arial" w:hAnsi="Arial" w:cs="Arial"/>
          <w:sz w:val="24"/>
          <w:szCs w:val="24"/>
        </w:rPr>
        <w:t xml:space="preserve">Majoko, T. (2016) ‘Inclusion of Children with Autism Spectrum Disorders: Listening and Hearing to Voices from the Grassroots’, </w:t>
      </w:r>
      <w:r w:rsidRPr="00CB7889">
        <w:rPr>
          <w:rFonts w:ascii="Arial" w:hAnsi="Arial" w:cs="Arial"/>
          <w:i/>
          <w:sz w:val="24"/>
          <w:szCs w:val="24"/>
        </w:rPr>
        <w:t xml:space="preserve">Journal of Autism &amp; Developmental Disorders, </w:t>
      </w:r>
      <w:r w:rsidRPr="00CB7889">
        <w:rPr>
          <w:rFonts w:ascii="Arial" w:hAnsi="Arial" w:cs="Arial"/>
          <w:sz w:val="24"/>
          <w:szCs w:val="24"/>
        </w:rPr>
        <w:t>46(4), pp. 1429-1440.</w:t>
      </w:r>
    </w:p>
    <w:p w14:paraId="1816434F" w14:textId="77777777" w:rsidR="0051578C" w:rsidRPr="00CB7889" w:rsidRDefault="0051578C" w:rsidP="0051578C">
      <w:pPr>
        <w:pStyle w:val="ListParagraph"/>
        <w:numPr>
          <w:ilvl w:val="0"/>
          <w:numId w:val="1"/>
        </w:numPr>
        <w:spacing w:after="200" w:line="480" w:lineRule="auto"/>
        <w:rPr>
          <w:rFonts w:ascii="Arial" w:eastAsia="Arial" w:hAnsi="Arial" w:cs="Arial"/>
          <w:sz w:val="24"/>
          <w:szCs w:val="24"/>
        </w:rPr>
      </w:pPr>
      <w:r w:rsidRPr="00CB7889">
        <w:rPr>
          <w:rFonts w:ascii="Arial" w:hAnsi="Arial" w:cs="Arial"/>
          <w:sz w:val="24"/>
          <w:szCs w:val="24"/>
          <w:shd w:val="clear" w:color="auto" w:fill="FFFFFF"/>
        </w:rPr>
        <w:t>Montessori, M. (1995)</w:t>
      </w:r>
      <w:r w:rsidRPr="00CB7889">
        <w:rPr>
          <w:rStyle w:val="apple-converted-space"/>
          <w:rFonts w:ascii="Arial" w:hAnsi="Arial" w:cs="Arial"/>
          <w:sz w:val="24"/>
          <w:szCs w:val="24"/>
          <w:shd w:val="clear" w:color="auto" w:fill="FFFFFF"/>
        </w:rPr>
        <w:t> </w:t>
      </w:r>
      <w:r w:rsidRPr="00CB7889">
        <w:rPr>
          <w:rFonts w:ascii="Arial" w:hAnsi="Arial" w:cs="Arial"/>
          <w:i/>
          <w:iCs/>
          <w:sz w:val="24"/>
          <w:szCs w:val="24"/>
          <w:shd w:val="clear" w:color="auto" w:fill="FFFFFF"/>
        </w:rPr>
        <w:t>The Absorbent Mind</w:t>
      </w:r>
      <w:r w:rsidRPr="00CB7889">
        <w:rPr>
          <w:rStyle w:val="apple-converted-space"/>
          <w:rFonts w:ascii="Arial" w:hAnsi="Arial" w:cs="Arial"/>
          <w:sz w:val="24"/>
          <w:szCs w:val="24"/>
          <w:shd w:val="clear" w:color="auto" w:fill="FFFFFF"/>
        </w:rPr>
        <w:t> </w:t>
      </w:r>
      <w:r w:rsidRPr="00CB7889">
        <w:rPr>
          <w:rFonts w:ascii="Arial" w:hAnsi="Arial" w:cs="Arial"/>
          <w:sz w:val="24"/>
          <w:szCs w:val="24"/>
          <w:shd w:val="clear" w:color="auto" w:fill="FFFFFF"/>
        </w:rPr>
        <w:t>London: Henry Holt &amp; Co.</w:t>
      </w:r>
    </w:p>
    <w:p w14:paraId="2920ED04" w14:textId="77777777" w:rsidR="0051578C" w:rsidRPr="00CB7889" w:rsidRDefault="0051578C" w:rsidP="0051578C">
      <w:pPr>
        <w:pStyle w:val="ListParagraph"/>
        <w:numPr>
          <w:ilvl w:val="0"/>
          <w:numId w:val="1"/>
        </w:numPr>
        <w:shd w:val="clear" w:color="auto" w:fill="FFFFFF"/>
        <w:spacing w:after="0" w:line="480" w:lineRule="auto"/>
        <w:rPr>
          <w:rFonts w:ascii="Arial" w:eastAsia="Times New Roman" w:hAnsi="Arial" w:cs="Arial"/>
          <w:sz w:val="24"/>
          <w:szCs w:val="24"/>
          <w:lang w:eastAsia="en-GB"/>
        </w:rPr>
      </w:pPr>
      <w:r w:rsidRPr="00CB7889">
        <w:rPr>
          <w:rFonts w:ascii="Arial" w:eastAsia="Times New Roman" w:hAnsi="Arial" w:cs="Arial"/>
          <w:sz w:val="24"/>
          <w:szCs w:val="24"/>
          <w:lang w:eastAsia="en-GB"/>
        </w:rPr>
        <w:t>Morgan, S. And Saxton, J. (2006)</w:t>
      </w:r>
      <w:r w:rsidRPr="00CB7889">
        <w:rPr>
          <w:rFonts w:ascii="Arial" w:eastAsia="Times New Roman" w:hAnsi="Arial" w:cs="Arial"/>
          <w:i/>
          <w:sz w:val="24"/>
          <w:szCs w:val="24"/>
          <w:lang w:eastAsia="en-GB"/>
        </w:rPr>
        <w:t xml:space="preserve"> Asking Better Questions.</w:t>
      </w:r>
      <w:r w:rsidRPr="00CB7889">
        <w:rPr>
          <w:rFonts w:ascii="Arial" w:eastAsia="Times New Roman" w:hAnsi="Arial" w:cs="Arial"/>
          <w:sz w:val="24"/>
          <w:szCs w:val="24"/>
          <w:lang w:eastAsia="en-GB"/>
        </w:rPr>
        <w:t xml:space="preserve"> 2nd ed. Canada: Pembroke Publishers Ltd.</w:t>
      </w:r>
    </w:p>
    <w:p w14:paraId="6F317895" w14:textId="77777777" w:rsidR="0051578C" w:rsidRPr="00550C77" w:rsidRDefault="0051578C" w:rsidP="0051578C">
      <w:pPr>
        <w:pStyle w:val="ListParagraph"/>
        <w:numPr>
          <w:ilvl w:val="0"/>
          <w:numId w:val="1"/>
        </w:numPr>
        <w:spacing w:line="480" w:lineRule="auto"/>
        <w:rPr>
          <w:rFonts w:ascii="Arial" w:hAnsi="Arial" w:cs="Arial"/>
          <w:sz w:val="24"/>
          <w:szCs w:val="24"/>
        </w:rPr>
      </w:pPr>
      <w:r w:rsidRPr="00CB7889">
        <w:rPr>
          <w:rFonts w:ascii="Arial" w:hAnsi="Arial" w:cs="Arial"/>
          <w:sz w:val="24"/>
          <w:szCs w:val="24"/>
        </w:rPr>
        <w:t xml:space="preserve">Morris, R. (2003) </w:t>
      </w:r>
      <w:r w:rsidRPr="00CB7889">
        <w:rPr>
          <w:rFonts w:ascii="Arial" w:hAnsi="Arial" w:cs="Arial"/>
          <w:i/>
          <w:sz w:val="24"/>
          <w:szCs w:val="24"/>
        </w:rPr>
        <w:t xml:space="preserve">Managing Sound Sensitivity in Autism Spectrum Disorder: New Technologies for Customized Interventions. </w:t>
      </w:r>
      <w:r w:rsidRPr="00CB7889">
        <w:rPr>
          <w:rFonts w:ascii="Arial" w:hAnsi="Arial" w:cs="Arial"/>
          <w:sz w:val="24"/>
          <w:szCs w:val="24"/>
        </w:rPr>
        <w:t xml:space="preserve">Available at: </w:t>
      </w:r>
      <w:hyperlink r:id="rId15" w:history="1">
        <w:r w:rsidRPr="00550C77">
          <w:rPr>
            <w:rStyle w:val="Hyperlink"/>
            <w:rFonts w:ascii="Arial" w:hAnsi="Arial" w:cs="Arial"/>
            <w:sz w:val="24"/>
            <w:szCs w:val="24"/>
          </w:rPr>
          <w:t>http://affect.media.mit.edu/pdfs/09.Morris-thesis.pdf</w:t>
        </w:r>
      </w:hyperlink>
      <w:r w:rsidRPr="00550C77">
        <w:rPr>
          <w:rFonts w:ascii="Arial" w:hAnsi="Arial" w:cs="Arial"/>
          <w:sz w:val="24"/>
          <w:szCs w:val="24"/>
        </w:rPr>
        <w:t xml:space="preserve"> (Accessed: 2nd October 2018).</w:t>
      </w:r>
    </w:p>
    <w:p w14:paraId="57EBECEE" w14:textId="77777777" w:rsidR="0051578C" w:rsidRPr="00550C77" w:rsidRDefault="0051578C" w:rsidP="0051578C">
      <w:pPr>
        <w:pStyle w:val="ListParagraph"/>
        <w:numPr>
          <w:ilvl w:val="0"/>
          <w:numId w:val="1"/>
        </w:numPr>
        <w:spacing w:after="200" w:line="480" w:lineRule="auto"/>
        <w:rPr>
          <w:rFonts w:ascii="Arial" w:eastAsia="Arial" w:hAnsi="Arial" w:cs="Arial"/>
          <w:sz w:val="24"/>
          <w:szCs w:val="24"/>
        </w:rPr>
      </w:pPr>
      <w:r w:rsidRPr="00550C77">
        <w:rPr>
          <w:rFonts w:ascii="Arial" w:eastAsia="Arial" w:hAnsi="Arial" w:cs="Arial"/>
          <w:sz w:val="24"/>
          <w:szCs w:val="24"/>
        </w:rPr>
        <w:t xml:space="preserve">Mountney, R. (2009) </w:t>
      </w:r>
      <w:r w:rsidRPr="00550C77">
        <w:rPr>
          <w:rFonts w:ascii="Arial" w:eastAsia="Arial" w:hAnsi="Arial" w:cs="Arial"/>
          <w:i/>
          <w:sz w:val="24"/>
          <w:szCs w:val="24"/>
        </w:rPr>
        <w:t xml:space="preserve">Learning without School. Home Education. </w:t>
      </w:r>
      <w:r w:rsidRPr="00550C77">
        <w:rPr>
          <w:rFonts w:ascii="Arial" w:eastAsia="Arial" w:hAnsi="Arial" w:cs="Arial"/>
          <w:sz w:val="24"/>
          <w:szCs w:val="24"/>
        </w:rPr>
        <w:t>London: Jessica Kingsley Publishers.</w:t>
      </w:r>
    </w:p>
    <w:p w14:paraId="10ED4998" w14:textId="77777777" w:rsidR="0051578C" w:rsidRPr="00550C77" w:rsidRDefault="0051578C" w:rsidP="0051578C">
      <w:pPr>
        <w:pStyle w:val="ListParagraph"/>
        <w:numPr>
          <w:ilvl w:val="0"/>
          <w:numId w:val="1"/>
        </w:numPr>
        <w:spacing w:line="480" w:lineRule="auto"/>
        <w:rPr>
          <w:rFonts w:ascii="Arial" w:hAnsi="Arial" w:cs="Arial"/>
          <w:sz w:val="24"/>
          <w:szCs w:val="24"/>
        </w:rPr>
      </w:pPr>
      <w:r w:rsidRPr="00550C77">
        <w:rPr>
          <w:rFonts w:ascii="Arial" w:hAnsi="Arial" w:cs="Arial"/>
          <w:sz w:val="24"/>
          <w:szCs w:val="24"/>
          <w:shd w:val="clear" w:color="auto" w:fill="F5F5F5"/>
        </w:rPr>
        <w:t>Pearman, C. J. and Chang, C.-W. (2010) ‘Scaffolding or Distracting: CD-ROM Storybooks and Young Readers’, </w:t>
      </w:r>
      <w:r w:rsidRPr="00550C77">
        <w:rPr>
          <w:rFonts w:ascii="Arial" w:hAnsi="Arial" w:cs="Arial"/>
          <w:i/>
          <w:iCs/>
          <w:sz w:val="24"/>
          <w:szCs w:val="24"/>
          <w:bdr w:val="none" w:sz="0" w:space="0" w:color="auto" w:frame="1"/>
          <w:shd w:val="clear" w:color="auto" w:fill="F5F5F5"/>
        </w:rPr>
        <w:t>TechTrends: Linking Research &amp; Practice to Improve Learning</w:t>
      </w:r>
      <w:r w:rsidRPr="00550C77">
        <w:rPr>
          <w:rFonts w:ascii="Arial" w:hAnsi="Arial" w:cs="Arial"/>
          <w:sz w:val="24"/>
          <w:szCs w:val="24"/>
          <w:shd w:val="clear" w:color="auto" w:fill="F5F5F5"/>
        </w:rPr>
        <w:t xml:space="preserve">, 54(1), pp. 52–56. Available at: </w:t>
      </w:r>
      <w:hyperlink r:id="rId16" w:history="1">
        <w:r w:rsidRPr="00550C77">
          <w:rPr>
            <w:rStyle w:val="Hyperlink"/>
            <w:rFonts w:ascii="Arial" w:hAnsi="Arial" w:cs="Arial"/>
            <w:color w:val="00B0F0"/>
            <w:sz w:val="24"/>
            <w:szCs w:val="24"/>
            <w:shd w:val="clear" w:color="auto" w:fill="F5F5F5"/>
          </w:rPr>
          <w:t>https://web-b-ebscohost-com.ezproxy.uwtsd.ac.uk/ehost/pdfviewer/pdfviewer?vid=5&amp;sid=2e242609-fc95-4e89-ba83-54875370e1ba%40sessionmgr102</w:t>
        </w:r>
      </w:hyperlink>
      <w:r w:rsidRPr="00550C77">
        <w:rPr>
          <w:rFonts w:ascii="Arial" w:hAnsi="Arial" w:cs="Arial"/>
          <w:sz w:val="24"/>
          <w:szCs w:val="24"/>
          <w:shd w:val="clear" w:color="auto" w:fill="F5F5F5"/>
        </w:rPr>
        <w:t>(Accessed: 15</w:t>
      </w:r>
      <w:r w:rsidRPr="00550C77">
        <w:rPr>
          <w:rFonts w:ascii="Arial" w:hAnsi="Arial" w:cs="Arial"/>
          <w:sz w:val="24"/>
          <w:szCs w:val="24"/>
          <w:shd w:val="clear" w:color="auto" w:fill="F5F5F5"/>
          <w:vertAlign w:val="superscript"/>
        </w:rPr>
        <w:t>th</w:t>
      </w:r>
      <w:r w:rsidRPr="00550C77">
        <w:rPr>
          <w:rFonts w:ascii="Arial" w:hAnsi="Arial" w:cs="Arial"/>
          <w:sz w:val="24"/>
          <w:szCs w:val="24"/>
          <w:shd w:val="clear" w:color="auto" w:fill="F5F5F5"/>
        </w:rPr>
        <w:t xml:space="preserve"> October 2018).</w:t>
      </w:r>
    </w:p>
    <w:p w14:paraId="7A2D0B9B" w14:textId="77777777" w:rsidR="0051578C" w:rsidRPr="009C521F" w:rsidRDefault="0051578C" w:rsidP="0051578C">
      <w:pPr>
        <w:pStyle w:val="ListParagraph"/>
        <w:numPr>
          <w:ilvl w:val="0"/>
          <w:numId w:val="1"/>
        </w:numPr>
        <w:shd w:val="clear" w:color="auto" w:fill="FFFFFF"/>
        <w:spacing w:after="0" w:line="480" w:lineRule="auto"/>
        <w:rPr>
          <w:rFonts w:ascii="Arial" w:eastAsia="Times New Roman" w:hAnsi="Arial" w:cs="Arial"/>
          <w:sz w:val="24"/>
          <w:szCs w:val="24"/>
          <w:lang w:eastAsia="en-GB"/>
        </w:rPr>
      </w:pPr>
      <w:r w:rsidRPr="009C521F">
        <w:rPr>
          <w:rFonts w:ascii="Arial" w:eastAsia="Times New Roman" w:hAnsi="Arial" w:cs="Arial"/>
          <w:sz w:val="24"/>
          <w:szCs w:val="24"/>
          <w:lang w:eastAsia="en-GB"/>
        </w:rPr>
        <w:t>Roberts, R. (2006)</w:t>
      </w:r>
      <w:r w:rsidRPr="009C521F">
        <w:rPr>
          <w:rFonts w:ascii="Arial" w:eastAsia="Times New Roman" w:hAnsi="Arial" w:cs="Arial"/>
          <w:i/>
          <w:sz w:val="24"/>
          <w:szCs w:val="24"/>
          <w:lang w:eastAsia="en-GB"/>
        </w:rPr>
        <w:t xml:space="preserve"> Self-Esteem and Early Learning. Key People from Birth to School.</w:t>
      </w:r>
      <w:r w:rsidRPr="009C521F">
        <w:rPr>
          <w:rFonts w:ascii="Arial" w:eastAsia="Times New Roman" w:hAnsi="Arial" w:cs="Arial"/>
          <w:sz w:val="24"/>
          <w:szCs w:val="24"/>
          <w:lang w:eastAsia="en-GB"/>
        </w:rPr>
        <w:t xml:space="preserve"> 3rd ed. London: Paul Chapman Publishing. </w:t>
      </w:r>
    </w:p>
    <w:p w14:paraId="2D232CC6" w14:textId="391B1499" w:rsidR="0051578C" w:rsidRPr="009C521F" w:rsidRDefault="0051578C" w:rsidP="0051578C">
      <w:pPr>
        <w:pStyle w:val="ListParagraph"/>
        <w:numPr>
          <w:ilvl w:val="0"/>
          <w:numId w:val="1"/>
        </w:numPr>
        <w:tabs>
          <w:tab w:val="left" w:pos="7544"/>
        </w:tabs>
        <w:spacing w:line="480" w:lineRule="auto"/>
        <w:rPr>
          <w:rFonts w:ascii="Arial" w:hAnsi="Arial" w:cs="Arial"/>
          <w:sz w:val="24"/>
          <w:szCs w:val="24"/>
        </w:rPr>
      </w:pPr>
      <w:r w:rsidRPr="009C521F">
        <w:rPr>
          <w:rFonts w:ascii="Arial" w:hAnsi="Arial" w:cs="Arial"/>
          <w:sz w:val="24"/>
          <w:szCs w:val="24"/>
        </w:rPr>
        <w:t xml:space="preserve">Scott, I. (2009) ‘Designing learning spaces for children on the autistic spectrum’, </w:t>
      </w:r>
      <w:r w:rsidRPr="009C521F">
        <w:rPr>
          <w:rFonts w:ascii="Arial" w:hAnsi="Arial" w:cs="Arial"/>
          <w:i/>
          <w:sz w:val="24"/>
          <w:szCs w:val="24"/>
        </w:rPr>
        <w:t xml:space="preserve">Good Autism Practice, </w:t>
      </w:r>
      <w:r w:rsidRPr="009C521F">
        <w:rPr>
          <w:rFonts w:ascii="Arial" w:hAnsi="Arial" w:cs="Arial"/>
          <w:sz w:val="24"/>
          <w:szCs w:val="24"/>
        </w:rPr>
        <w:t>10</w:t>
      </w:r>
      <w:r w:rsidR="00CB7889">
        <w:rPr>
          <w:rFonts w:ascii="Arial" w:hAnsi="Arial" w:cs="Arial"/>
          <w:sz w:val="24"/>
          <w:szCs w:val="24"/>
        </w:rPr>
        <w:t>(</w:t>
      </w:r>
      <w:r w:rsidRPr="009C521F">
        <w:rPr>
          <w:rFonts w:ascii="Arial" w:hAnsi="Arial" w:cs="Arial"/>
          <w:sz w:val="24"/>
          <w:szCs w:val="24"/>
        </w:rPr>
        <w:t>1), pp.36-51.</w:t>
      </w:r>
    </w:p>
    <w:p w14:paraId="39797E53" w14:textId="61724DF6" w:rsidR="0051578C" w:rsidRPr="009C521F" w:rsidRDefault="0051578C" w:rsidP="0051578C">
      <w:pPr>
        <w:pStyle w:val="ListParagraph"/>
        <w:numPr>
          <w:ilvl w:val="0"/>
          <w:numId w:val="1"/>
        </w:numPr>
        <w:spacing w:after="200" w:line="480" w:lineRule="auto"/>
        <w:rPr>
          <w:rFonts w:ascii="Arial" w:hAnsi="Arial" w:cs="Arial"/>
          <w:sz w:val="24"/>
          <w:szCs w:val="24"/>
        </w:rPr>
      </w:pPr>
      <w:r w:rsidRPr="009C521F">
        <w:rPr>
          <w:rFonts w:ascii="Arial" w:hAnsi="Arial" w:cs="Arial"/>
          <w:sz w:val="24"/>
          <w:szCs w:val="24"/>
        </w:rPr>
        <w:t xml:space="preserve">Shabani, K., Khatib, M and Ebadi, S. (2010) Vygotsky’s zone of proximal development: Instructional implications and teachers’ professional development. </w:t>
      </w:r>
      <w:r w:rsidRPr="009C521F">
        <w:rPr>
          <w:rFonts w:ascii="Arial" w:hAnsi="Arial" w:cs="Arial"/>
          <w:i/>
          <w:sz w:val="24"/>
          <w:szCs w:val="24"/>
        </w:rPr>
        <w:t xml:space="preserve">English Language Teaching, </w:t>
      </w:r>
      <w:r w:rsidRPr="00CB7889">
        <w:rPr>
          <w:rFonts w:ascii="Arial" w:hAnsi="Arial" w:cs="Arial"/>
          <w:sz w:val="24"/>
          <w:szCs w:val="24"/>
        </w:rPr>
        <w:t>3(4),</w:t>
      </w:r>
      <w:r w:rsidRPr="009C521F">
        <w:rPr>
          <w:rFonts w:ascii="Arial" w:hAnsi="Arial" w:cs="Arial"/>
          <w:i/>
          <w:sz w:val="24"/>
          <w:szCs w:val="24"/>
        </w:rPr>
        <w:t xml:space="preserve"> </w:t>
      </w:r>
      <w:r w:rsidRPr="009C521F">
        <w:rPr>
          <w:rFonts w:ascii="Arial" w:hAnsi="Arial" w:cs="Arial"/>
          <w:sz w:val="24"/>
          <w:szCs w:val="24"/>
        </w:rPr>
        <w:t>pp. 237-248.</w:t>
      </w:r>
    </w:p>
    <w:p w14:paraId="04EFFA31" w14:textId="77777777" w:rsidR="0051578C" w:rsidRPr="009C521F" w:rsidRDefault="0051578C" w:rsidP="0051578C">
      <w:pPr>
        <w:pStyle w:val="ListParagraph"/>
        <w:numPr>
          <w:ilvl w:val="0"/>
          <w:numId w:val="1"/>
        </w:numPr>
        <w:spacing w:after="0" w:line="480" w:lineRule="auto"/>
        <w:rPr>
          <w:rFonts w:ascii="Arial" w:eastAsia="Times New Roman" w:hAnsi="Arial" w:cs="Arial"/>
          <w:sz w:val="24"/>
          <w:szCs w:val="24"/>
          <w:lang w:eastAsia="en-GB"/>
        </w:rPr>
      </w:pPr>
      <w:r w:rsidRPr="009C521F">
        <w:rPr>
          <w:rFonts w:ascii="Arial" w:eastAsia="Times New Roman" w:hAnsi="Arial" w:cs="Arial"/>
          <w:sz w:val="24"/>
          <w:szCs w:val="24"/>
          <w:shd w:val="clear" w:color="auto" w:fill="FFFFFF"/>
          <w:lang w:eastAsia="en-GB"/>
        </w:rPr>
        <w:t xml:space="preserve">Shipley, D. (2008). </w:t>
      </w:r>
      <w:r w:rsidRPr="009C521F">
        <w:rPr>
          <w:rFonts w:ascii="Arial" w:eastAsia="Times New Roman" w:hAnsi="Arial" w:cs="Arial"/>
          <w:i/>
          <w:sz w:val="24"/>
          <w:szCs w:val="24"/>
          <w:shd w:val="clear" w:color="auto" w:fill="FFFFFF"/>
          <w:lang w:eastAsia="en-GB"/>
        </w:rPr>
        <w:t>Empowering children.</w:t>
      </w:r>
      <w:r w:rsidRPr="009C521F">
        <w:rPr>
          <w:rFonts w:ascii="Arial" w:eastAsia="Times New Roman" w:hAnsi="Arial" w:cs="Arial"/>
          <w:sz w:val="24"/>
          <w:szCs w:val="24"/>
          <w:shd w:val="clear" w:color="auto" w:fill="FFFFFF"/>
          <w:lang w:eastAsia="en-GB"/>
        </w:rPr>
        <w:t> </w:t>
      </w:r>
      <w:r w:rsidRPr="009C521F">
        <w:rPr>
          <w:rFonts w:ascii="Arial" w:eastAsia="Times New Roman" w:hAnsi="Arial" w:cs="Arial"/>
          <w:i/>
          <w:iCs/>
          <w:sz w:val="24"/>
          <w:szCs w:val="24"/>
          <w:shd w:val="clear" w:color="auto" w:fill="FFFFFF"/>
          <w:lang w:eastAsia="en-GB"/>
        </w:rPr>
        <w:t>Play based curriculum for lifelong learning.</w:t>
      </w:r>
      <w:r w:rsidRPr="009C521F">
        <w:rPr>
          <w:rFonts w:ascii="Arial" w:eastAsia="Times New Roman" w:hAnsi="Arial" w:cs="Arial"/>
          <w:sz w:val="24"/>
          <w:szCs w:val="24"/>
          <w:shd w:val="clear" w:color="auto" w:fill="FFFFFF"/>
          <w:lang w:eastAsia="en-GB"/>
        </w:rPr>
        <w:t xml:space="preserve"> 4th Ed. USA: Nelson Education </w:t>
      </w:r>
    </w:p>
    <w:p w14:paraId="055DDA95" w14:textId="5D0D5EE9" w:rsidR="0051578C" w:rsidRPr="009C521F" w:rsidRDefault="0051578C" w:rsidP="0051578C">
      <w:pPr>
        <w:pStyle w:val="ListParagraph"/>
        <w:numPr>
          <w:ilvl w:val="0"/>
          <w:numId w:val="1"/>
        </w:numPr>
        <w:spacing w:line="480" w:lineRule="auto"/>
        <w:rPr>
          <w:rFonts w:ascii="Arial" w:hAnsi="Arial" w:cs="Arial"/>
          <w:sz w:val="24"/>
          <w:szCs w:val="24"/>
        </w:rPr>
      </w:pPr>
      <w:r w:rsidRPr="009C521F">
        <w:rPr>
          <w:rFonts w:ascii="Arial" w:hAnsi="Arial" w:cs="Arial"/>
          <w:sz w:val="24"/>
          <w:szCs w:val="24"/>
        </w:rPr>
        <w:t xml:space="preserve">Vygotsky, L. S. (1978) </w:t>
      </w:r>
      <w:r w:rsidRPr="009C521F">
        <w:rPr>
          <w:rFonts w:ascii="Arial" w:hAnsi="Arial" w:cs="Arial"/>
          <w:i/>
          <w:sz w:val="24"/>
          <w:szCs w:val="24"/>
        </w:rPr>
        <w:t xml:space="preserve">Mind in society: The development of higher psychological processes. </w:t>
      </w:r>
      <w:r w:rsidRPr="009C521F">
        <w:rPr>
          <w:rFonts w:ascii="Arial" w:hAnsi="Arial" w:cs="Arial"/>
          <w:sz w:val="24"/>
          <w:szCs w:val="24"/>
        </w:rPr>
        <w:t xml:space="preserve">Cambridge, MA: </w:t>
      </w:r>
      <w:r w:rsidR="00C05CD4" w:rsidRPr="009C521F">
        <w:rPr>
          <w:rFonts w:ascii="Arial" w:hAnsi="Arial" w:cs="Arial"/>
          <w:sz w:val="24"/>
          <w:szCs w:val="24"/>
        </w:rPr>
        <w:t>Harvard</w:t>
      </w:r>
      <w:r w:rsidRPr="009C521F">
        <w:rPr>
          <w:rFonts w:ascii="Arial" w:hAnsi="Arial" w:cs="Arial"/>
          <w:sz w:val="24"/>
          <w:szCs w:val="24"/>
        </w:rPr>
        <w:t xml:space="preserve"> University Press.</w:t>
      </w:r>
    </w:p>
    <w:p w14:paraId="7C97431E" w14:textId="77777777" w:rsidR="0051578C" w:rsidRPr="009C521F" w:rsidRDefault="0051578C" w:rsidP="0051578C">
      <w:pPr>
        <w:pStyle w:val="ListParagraph"/>
        <w:numPr>
          <w:ilvl w:val="0"/>
          <w:numId w:val="1"/>
        </w:numPr>
        <w:spacing w:line="480" w:lineRule="auto"/>
        <w:rPr>
          <w:rFonts w:ascii="Arial" w:hAnsi="Arial" w:cs="Arial"/>
          <w:sz w:val="24"/>
          <w:szCs w:val="24"/>
        </w:rPr>
      </w:pPr>
      <w:r w:rsidRPr="009C521F">
        <w:rPr>
          <w:rFonts w:ascii="Arial" w:hAnsi="Arial" w:cs="Arial"/>
          <w:sz w:val="24"/>
          <w:szCs w:val="24"/>
        </w:rPr>
        <w:t xml:space="preserve">Watkins, C., Carnell, E. and Lodge, C. (2007) </w:t>
      </w:r>
      <w:r w:rsidRPr="009C521F">
        <w:rPr>
          <w:rFonts w:ascii="Arial" w:hAnsi="Arial" w:cs="Arial"/>
          <w:i/>
          <w:sz w:val="24"/>
          <w:szCs w:val="24"/>
        </w:rPr>
        <w:t xml:space="preserve">Effective Learning in Classrooms. </w:t>
      </w:r>
      <w:r w:rsidRPr="009C521F">
        <w:rPr>
          <w:rFonts w:ascii="Arial" w:hAnsi="Arial" w:cs="Arial"/>
          <w:sz w:val="24"/>
          <w:szCs w:val="24"/>
        </w:rPr>
        <w:t>London: Paul Chapman Publishing.</w:t>
      </w:r>
    </w:p>
    <w:p w14:paraId="51F6D08E" w14:textId="77777777" w:rsidR="0051578C" w:rsidRPr="00550C77" w:rsidRDefault="0051578C" w:rsidP="0051578C">
      <w:pPr>
        <w:pStyle w:val="ListParagraph"/>
        <w:numPr>
          <w:ilvl w:val="0"/>
          <w:numId w:val="1"/>
        </w:numPr>
        <w:spacing w:line="480" w:lineRule="auto"/>
        <w:rPr>
          <w:rFonts w:ascii="Arial" w:hAnsi="Arial" w:cs="Arial"/>
          <w:sz w:val="24"/>
          <w:szCs w:val="24"/>
        </w:rPr>
      </w:pPr>
      <w:r w:rsidRPr="009C521F">
        <w:rPr>
          <w:rFonts w:ascii="Arial" w:hAnsi="Arial" w:cs="Arial"/>
          <w:sz w:val="24"/>
          <w:szCs w:val="24"/>
        </w:rPr>
        <w:t xml:space="preserve">Welsh Assembly Government. (undated) </w:t>
      </w:r>
      <w:r w:rsidRPr="009C521F">
        <w:rPr>
          <w:rFonts w:ascii="Arial" w:hAnsi="Arial" w:cs="Arial"/>
          <w:i/>
          <w:sz w:val="24"/>
          <w:szCs w:val="24"/>
        </w:rPr>
        <w:t xml:space="preserve">First steps outdoors Making the most of your outdoor spaces. </w:t>
      </w:r>
      <w:r w:rsidRPr="009C521F">
        <w:rPr>
          <w:rFonts w:ascii="Arial" w:hAnsi="Arial" w:cs="Arial"/>
          <w:sz w:val="24"/>
          <w:szCs w:val="24"/>
        </w:rPr>
        <w:t xml:space="preserve">Available at: </w:t>
      </w:r>
      <w:hyperlink r:id="rId17" w:history="1">
        <w:r w:rsidRPr="00550C77">
          <w:rPr>
            <w:rStyle w:val="Hyperlink"/>
            <w:rFonts w:ascii="Arial" w:hAnsi="Arial" w:cs="Arial"/>
            <w:sz w:val="24"/>
            <w:szCs w:val="24"/>
          </w:rPr>
          <w:t>http://learning.gov.wales/docs/learningwales/publications/141013-first-steps-outdoors-en.pdf</w:t>
        </w:r>
      </w:hyperlink>
      <w:r w:rsidRPr="00550C77">
        <w:rPr>
          <w:rFonts w:ascii="Arial" w:hAnsi="Arial" w:cs="Arial"/>
          <w:sz w:val="24"/>
          <w:szCs w:val="24"/>
        </w:rPr>
        <w:t xml:space="preserve"> (Accessed: 16</w:t>
      </w:r>
      <w:r w:rsidRPr="00550C77">
        <w:rPr>
          <w:rFonts w:ascii="Arial" w:hAnsi="Arial" w:cs="Arial"/>
          <w:sz w:val="24"/>
          <w:szCs w:val="24"/>
          <w:vertAlign w:val="superscript"/>
        </w:rPr>
        <w:t>th</w:t>
      </w:r>
      <w:r w:rsidRPr="00550C77">
        <w:rPr>
          <w:rFonts w:ascii="Arial" w:hAnsi="Arial" w:cs="Arial"/>
          <w:sz w:val="24"/>
          <w:szCs w:val="24"/>
        </w:rPr>
        <w:t xml:space="preserve"> October 2018).</w:t>
      </w:r>
    </w:p>
    <w:p w14:paraId="04ABBEC4" w14:textId="77777777" w:rsidR="0051578C" w:rsidRPr="00550C77" w:rsidRDefault="0051578C" w:rsidP="0051578C">
      <w:pPr>
        <w:pStyle w:val="ListParagraph"/>
        <w:numPr>
          <w:ilvl w:val="0"/>
          <w:numId w:val="1"/>
        </w:numPr>
        <w:spacing w:line="480" w:lineRule="auto"/>
        <w:rPr>
          <w:rFonts w:ascii="Arial" w:hAnsi="Arial" w:cs="Arial"/>
          <w:sz w:val="24"/>
          <w:szCs w:val="24"/>
        </w:rPr>
      </w:pPr>
      <w:r w:rsidRPr="00550C77">
        <w:rPr>
          <w:rFonts w:ascii="Arial" w:hAnsi="Arial" w:cs="Arial"/>
          <w:sz w:val="24"/>
          <w:szCs w:val="24"/>
        </w:rPr>
        <w:t xml:space="preserve">Woodhouse, J. (2007) </w:t>
      </w:r>
      <w:r w:rsidRPr="00550C77">
        <w:rPr>
          <w:rFonts w:ascii="Arial" w:hAnsi="Arial" w:cs="Arial"/>
          <w:i/>
          <w:sz w:val="24"/>
          <w:szCs w:val="24"/>
        </w:rPr>
        <w:t xml:space="preserve">Strategies for Healthcare Education. </w:t>
      </w:r>
      <w:r w:rsidRPr="00550C77">
        <w:rPr>
          <w:rFonts w:ascii="Arial" w:hAnsi="Arial" w:cs="Arial"/>
          <w:sz w:val="24"/>
          <w:szCs w:val="24"/>
        </w:rPr>
        <w:t>United Kingdom: Radcliffe Publishing Ltd.</w:t>
      </w:r>
    </w:p>
    <w:p w14:paraId="6500D9A9" w14:textId="36F03D0D" w:rsidR="00256D50" w:rsidRPr="0051578C" w:rsidRDefault="0051578C" w:rsidP="00256D50">
      <w:pPr>
        <w:pStyle w:val="ListParagraph"/>
        <w:numPr>
          <w:ilvl w:val="0"/>
          <w:numId w:val="1"/>
        </w:numPr>
        <w:spacing w:line="480" w:lineRule="auto"/>
        <w:rPr>
          <w:rFonts w:ascii="Arial" w:hAnsi="Arial" w:cs="Arial"/>
          <w:sz w:val="24"/>
          <w:szCs w:val="24"/>
        </w:rPr>
      </w:pPr>
      <w:r w:rsidRPr="00550C77">
        <w:rPr>
          <w:rFonts w:ascii="Arial" w:hAnsi="Arial" w:cs="Arial"/>
          <w:sz w:val="24"/>
          <w:szCs w:val="24"/>
        </w:rPr>
        <w:t xml:space="preserve">Zhang, L. (2018) ‘A Survey of Effective Classroom Questioning in College English Teaching’, </w:t>
      </w:r>
      <w:r w:rsidRPr="00550C77">
        <w:rPr>
          <w:rFonts w:ascii="Arial" w:hAnsi="Arial" w:cs="Arial"/>
          <w:i/>
          <w:sz w:val="24"/>
          <w:szCs w:val="24"/>
        </w:rPr>
        <w:t xml:space="preserve">Journal of Language Teaching &amp; Research, </w:t>
      </w:r>
      <w:r w:rsidRPr="00550C77">
        <w:rPr>
          <w:rFonts w:ascii="Arial" w:hAnsi="Arial" w:cs="Arial"/>
          <w:sz w:val="24"/>
          <w:szCs w:val="24"/>
        </w:rPr>
        <w:t>9(2), pp. 328-355.</w:t>
      </w:r>
    </w:p>
    <w:p w14:paraId="7A4D4943" w14:textId="020098D6" w:rsidR="00256D50" w:rsidRPr="00256D50" w:rsidRDefault="00256D50" w:rsidP="00256D50"/>
    <w:sectPr w:rsidR="00256D50" w:rsidRPr="00256D50">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4085FE" w14:textId="77777777" w:rsidR="00C76197" w:rsidRDefault="00C76197" w:rsidP="0037258A">
      <w:r>
        <w:separator/>
      </w:r>
    </w:p>
  </w:endnote>
  <w:endnote w:type="continuationSeparator" w:id="0">
    <w:p w14:paraId="445EBFAD" w14:textId="77777777" w:rsidR="00C76197" w:rsidRDefault="00C76197" w:rsidP="003725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999927"/>
      <w:docPartObj>
        <w:docPartGallery w:val="Page Numbers (Bottom of Page)"/>
        <w:docPartUnique/>
      </w:docPartObj>
    </w:sdtPr>
    <w:sdtEndPr>
      <w:rPr>
        <w:noProof/>
      </w:rPr>
    </w:sdtEndPr>
    <w:sdtContent>
      <w:p w14:paraId="31D26054" w14:textId="44CCB55B" w:rsidR="0037258A" w:rsidRDefault="003725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D2F96D" w14:textId="77777777" w:rsidR="0037258A" w:rsidRDefault="003725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D84B98" w14:textId="77777777" w:rsidR="00C76197" w:rsidRDefault="00C76197" w:rsidP="0037258A">
      <w:r>
        <w:separator/>
      </w:r>
    </w:p>
  </w:footnote>
  <w:footnote w:type="continuationSeparator" w:id="0">
    <w:p w14:paraId="4E027737" w14:textId="77777777" w:rsidR="00C76197" w:rsidRDefault="00C76197" w:rsidP="003725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19B0D8" w14:textId="03E55C4D" w:rsidR="0037258A" w:rsidRDefault="0037258A">
    <w:pPr>
      <w:pStyle w:val="Header"/>
    </w:pPr>
    <w:r>
      <w:t>M6X001438</w:t>
    </w:r>
    <w:r>
      <w:ptab w:relativeTo="margin" w:alignment="center" w:leader="none"/>
    </w:r>
    <w:r>
      <w:t xml:space="preserve">The Principles of </w:t>
    </w:r>
    <w:r w:rsidR="00C05CD4">
      <w:t>Pedagogy</w:t>
    </w:r>
    <w:r>
      <w:ptab w:relativeTo="margin" w:alignment="right" w:leader="none"/>
    </w:r>
    <w:r>
      <w:t>1401060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067635"/>
    <w:multiLevelType w:val="hybridMultilevel"/>
    <w:tmpl w:val="67221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AA0517"/>
    <w:multiLevelType w:val="hybridMultilevel"/>
    <w:tmpl w:val="00C6F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58A"/>
    <w:rsid w:val="000F279F"/>
    <w:rsid w:val="00136234"/>
    <w:rsid w:val="00256D50"/>
    <w:rsid w:val="00274C87"/>
    <w:rsid w:val="0032697A"/>
    <w:rsid w:val="0037258A"/>
    <w:rsid w:val="003D2A31"/>
    <w:rsid w:val="003D462E"/>
    <w:rsid w:val="0051578C"/>
    <w:rsid w:val="00545AF0"/>
    <w:rsid w:val="00556A97"/>
    <w:rsid w:val="0056644E"/>
    <w:rsid w:val="007A4BE7"/>
    <w:rsid w:val="007E565D"/>
    <w:rsid w:val="008A4407"/>
    <w:rsid w:val="00910D48"/>
    <w:rsid w:val="009463F6"/>
    <w:rsid w:val="00973AC9"/>
    <w:rsid w:val="009C521F"/>
    <w:rsid w:val="00A24D3B"/>
    <w:rsid w:val="00A421C6"/>
    <w:rsid w:val="00BE06D2"/>
    <w:rsid w:val="00C05CD4"/>
    <w:rsid w:val="00C703E7"/>
    <w:rsid w:val="00C76197"/>
    <w:rsid w:val="00CB7889"/>
    <w:rsid w:val="00CC67E8"/>
    <w:rsid w:val="00D10451"/>
    <w:rsid w:val="00D35DED"/>
    <w:rsid w:val="00D640B2"/>
    <w:rsid w:val="00D80BD0"/>
    <w:rsid w:val="00D96E1B"/>
    <w:rsid w:val="00E819DF"/>
    <w:rsid w:val="00E96DBD"/>
    <w:rsid w:val="00EF2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BFDF8"/>
  <w15:chartTrackingRefBased/>
  <w15:docId w15:val="{8A300258-C469-4A08-8B52-F8410930E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19DF"/>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E819DF"/>
    <w:pPr>
      <w:keepNext/>
      <w:jc w:val="both"/>
      <w:outlineLvl w:val="1"/>
    </w:pPr>
    <w:rPr>
      <w:b/>
      <w:sz w:val="24"/>
    </w:rPr>
  </w:style>
  <w:style w:type="paragraph" w:styleId="Heading4">
    <w:name w:val="heading 4"/>
    <w:basedOn w:val="Normal"/>
    <w:next w:val="Normal"/>
    <w:link w:val="Heading4Char"/>
    <w:qFormat/>
    <w:rsid w:val="00E819DF"/>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258A"/>
    <w:pPr>
      <w:tabs>
        <w:tab w:val="center" w:pos="4513"/>
        <w:tab w:val="right" w:pos="9026"/>
      </w:tabs>
    </w:pPr>
  </w:style>
  <w:style w:type="character" w:customStyle="1" w:styleId="HeaderChar">
    <w:name w:val="Header Char"/>
    <w:basedOn w:val="DefaultParagraphFont"/>
    <w:link w:val="Header"/>
    <w:uiPriority w:val="99"/>
    <w:rsid w:val="0037258A"/>
  </w:style>
  <w:style w:type="paragraph" w:styleId="Footer">
    <w:name w:val="footer"/>
    <w:basedOn w:val="Normal"/>
    <w:link w:val="FooterChar"/>
    <w:uiPriority w:val="99"/>
    <w:unhideWhenUsed/>
    <w:rsid w:val="0037258A"/>
    <w:pPr>
      <w:tabs>
        <w:tab w:val="center" w:pos="4513"/>
        <w:tab w:val="right" w:pos="9026"/>
      </w:tabs>
    </w:pPr>
  </w:style>
  <w:style w:type="character" w:customStyle="1" w:styleId="FooterChar">
    <w:name w:val="Footer Char"/>
    <w:basedOn w:val="DefaultParagraphFont"/>
    <w:link w:val="Footer"/>
    <w:uiPriority w:val="99"/>
    <w:rsid w:val="0037258A"/>
  </w:style>
  <w:style w:type="character" w:customStyle="1" w:styleId="Heading2Char">
    <w:name w:val="Heading 2 Char"/>
    <w:basedOn w:val="DefaultParagraphFont"/>
    <w:link w:val="Heading2"/>
    <w:rsid w:val="00E819DF"/>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E819DF"/>
    <w:rPr>
      <w:rFonts w:ascii="Times New Roman" w:eastAsia="Times New Roman" w:hAnsi="Times New Roman" w:cs="Times New Roman"/>
      <w:sz w:val="40"/>
      <w:szCs w:val="20"/>
      <w:lang w:eastAsia="en-GB"/>
    </w:rPr>
  </w:style>
  <w:style w:type="paragraph" w:styleId="ListParagraph">
    <w:name w:val="List Paragraph"/>
    <w:basedOn w:val="Normal"/>
    <w:uiPriority w:val="34"/>
    <w:qFormat/>
    <w:rsid w:val="0051578C"/>
    <w:pPr>
      <w:spacing w:after="160" w:line="259"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51578C"/>
    <w:rPr>
      <w:color w:val="0563C1" w:themeColor="hyperlink"/>
      <w:u w:val="single"/>
    </w:rPr>
  </w:style>
  <w:style w:type="character" w:customStyle="1" w:styleId="apple-converted-space">
    <w:name w:val="apple-converted-space"/>
    <w:basedOn w:val="DefaultParagraphFont"/>
    <w:rsid w:val="0051578C"/>
  </w:style>
  <w:style w:type="character" w:styleId="Emphasis">
    <w:name w:val="Emphasis"/>
    <w:basedOn w:val="DefaultParagraphFont"/>
    <w:uiPriority w:val="20"/>
    <w:qFormat/>
    <w:rsid w:val="0051578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styn.gov.wales/best-practice/exploring-and-learning-outdoor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estyn.gov.wales/sites/default/files/documents/Supplementary%20guidance%20-%20listening%20to%20learners.pdf" TargetMode="External"/><Relationship Id="rId17" Type="http://schemas.openxmlformats.org/officeDocument/2006/relationships/hyperlink" Target="http://learning.gov.wales/docs/learningwales/publications/141013-first-steps-outdoors-en.pdf" TargetMode="External"/><Relationship Id="rId2" Type="http://schemas.openxmlformats.org/officeDocument/2006/relationships/styles" Target="styles.xml"/><Relationship Id="rId16" Type="http://schemas.openxmlformats.org/officeDocument/2006/relationships/hyperlink" Target="https://web-b-ebscohost-com.ezproxy.uwtsd.ac.uk/ehost/pdfviewer/pdfviewer?vid=5&amp;sid=2e242609-fc95-4e89-ba83-54875370e1ba%40sessionmgr102"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arning.gov.wales/docs/learningwales/publications/150803-fp-framework-en.pdf" TargetMode="External"/><Relationship Id="rId5" Type="http://schemas.openxmlformats.org/officeDocument/2006/relationships/footnotes" Target="footnotes.xml"/><Relationship Id="rId15" Type="http://schemas.openxmlformats.org/officeDocument/2006/relationships/hyperlink" Target="http://affect.media.mit.edu/pdfs/09.Morris-thesis.pdf" TargetMode="External"/><Relationship Id="rId10" Type="http://schemas.openxmlformats.org/officeDocument/2006/relationships/hyperlink" Target="https://www.bera.ac.uk/wp-content/uploads/2018/06/BERA-Ethical-Guidelines-for-Educational-Research_4thEdn_2018.pdf?noredirect=1"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ezproxy.uwtsd.ac.uk/login?url=https://search.ebscohost.com/login.aspx?direct=true&amp;db=eue&amp;AN=119107940&amp;site=ehost-l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27</Pages>
  <Words>6833</Words>
  <Characters>38953</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Shannen Godding (1401060)</dc:creator>
  <cp:keywords/>
  <dc:description/>
  <cp:lastModifiedBy>Shannen Godding (1401060)</cp:lastModifiedBy>
  <cp:revision>3</cp:revision>
  <dcterms:created xsi:type="dcterms:W3CDTF">2018-10-17T14:36:00Z</dcterms:created>
  <dcterms:modified xsi:type="dcterms:W3CDTF">2018-10-17T14:43:00Z</dcterms:modified>
</cp:coreProperties>
</file>