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5C0981" w14:textId="206F5509" w:rsidR="00B569F7" w:rsidRDefault="00183C86">
      <w:r>
        <w:rPr>
          <w:u w:val="single"/>
        </w:rPr>
        <w:t>Inclusion in the Welsh National Curriculum.</w:t>
      </w:r>
    </w:p>
    <w:p w14:paraId="08B4C8CC" w14:textId="1A87FF59" w:rsidR="00183C86" w:rsidRDefault="00183C86"/>
    <w:p w14:paraId="74BA4FBC" w14:textId="671B6284" w:rsidR="00183C86" w:rsidRDefault="00F8199F">
      <w:r>
        <w:t xml:space="preserve">In modern education, Inclusion is a topic that has taken the forefront of educational discussion and policymaking. </w:t>
      </w:r>
      <w:r w:rsidR="00CB3589">
        <w:t xml:space="preserve">It is commonly accepted and supported that an inclusive classroom environment is beneficial to students with Additional Learning Needs (ALN) </w:t>
      </w:r>
      <w:sdt>
        <w:sdtPr>
          <w:id w:val="2021130595"/>
          <w:citation/>
        </w:sdtPr>
        <w:sdtEndPr/>
        <w:sdtContent>
          <w:r w:rsidR="00CB3589">
            <w:fldChar w:fldCharType="begin"/>
          </w:r>
          <w:r w:rsidR="00CB3589">
            <w:instrText xml:space="preserve"> CITATION Col20 \l 2057 </w:instrText>
          </w:r>
          <w:r w:rsidR="00CB3589">
            <w:fldChar w:fldCharType="separate"/>
          </w:r>
          <w:r w:rsidR="007573E2" w:rsidRPr="007573E2">
            <w:rPr>
              <w:noProof/>
            </w:rPr>
            <w:t>(Cole, 2020)</w:t>
          </w:r>
          <w:r w:rsidR="00CB3589">
            <w:fldChar w:fldCharType="end"/>
          </w:r>
        </w:sdtContent>
      </w:sdt>
      <w:r w:rsidR="00481802">
        <w:t xml:space="preserve">. With the introduction of the new Curriculum, and the implementation of the ALN Act (2018), Welsh schools are now becoming more inclusive than ever before. This, however, is not to say that they were not beforehand. In 2018/19 there were 38,399 students in secondary schools with ALN </w:t>
      </w:r>
      <w:sdt>
        <w:sdtPr>
          <w:id w:val="1812973700"/>
          <w:citation/>
        </w:sdtPr>
        <w:sdtEndPr/>
        <w:sdtContent>
          <w:r w:rsidR="00481802">
            <w:fldChar w:fldCharType="begin"/>
          </w:r>
          <w:r w:rsidR="007C5D90">
            <w:instrText xml:space="preserve">CITATION Sta20 \l 2057 </w:instrText>
          </w:r>
          <w:r w:rsidR="00481802">
            <w:fldChar w:fldCharType="separate"/>
          </w:r>
          <w:r w:rsidR="007573E2" w:rsidRPr="007573E2">
            <w:rPr>
              <w:noProof/>
            </w:rPr>
            <w:t>(StatsWales, 2020)</w:t>
          </w:r>
          <w:r w:rsidR="00481802">
            <w:fldChar w:fldCharType="end"/>
          </w:r>
        </w:sdtContent>
      </w:sdt>
      <w:r w:rsidR="00EB7F6E">
        <w:t xml:space="preserve"> and the current curriculum policy documents do include sections and requirements for the inclusion of all students, which will be analysed subsequently.</w:t>
      </w:r>
      <w:r w:rsidR="00BD19D7">
        <w:t xml:space="preserve"> It is important to note that within the National Curriculum there is no one named strategy for inclusion, however an article by the European Union Educational, Audio-visual and Culture Executive Agency (EACEA) </w:t>
      </w:r>
      <w:sdt>
        <w:sdtPr>
          <w:id w:val="2107535432"/>
          <w:citation/>
        </w:sdtPr>
        <w:sdtEndPr/>
        <w:sdtContent>
          <w:r w:rsidR="00BD19D7">
            <w:fldChar w:fldCharType="begin"/>
          </w:r>
          <w:r w:rsidR="00BD19D7">
            <w:instrText xml:space="preserve"> CITATION EAC20 \l 2057 </w:instrText>
          </w:r>
          <w:r w:rsidR="00BD19D7">
            <w:fldChar w:fldCharType="separate"/>
          </w:r>
          <w:r w:rsidR="007573E2" w:rsidRPr="007573E2">
            <w:rPr>
              <w:noProof/>
            </w:rPr>
            <w:t>(EACEA, 2020)</w:t>
          </w:r>
          <w:r w:rsidR="00BD19D7">
            <w:fldChar w:fldCharType="end"/>
          </w:r>
        </w:sdtContent>
      </w:sdt>
      <w:r w:rsidR="00C1484C">
        <w:t xml:space="preserve"> </w:t>
      </w:r>
      <w:r w:rsidR="00BD19D7">
        <w:t>cites seven particular government publications which together are aimed to increase Inclusion of school age children</w:t>
      </w:r>
      <w:r w:rsidR="00FC4357">
        <w:t xml:space="preserve"> from an educational, social, and economical standpoint.</w:t>
      </w:r>
    </w:p>
    <w:p w14:paraId="2B0CCFD4" w14:textId="0DC36CA7" w:rsidR="00B87AEB" w:rsidRDefault="00E2338F">
      <w:r>
        <w:t>When considering a curriculum, the term of ‘Inclusion’ takes a broader scope that what would normally be considered within education. As opposed to simply considering educational needs, which would usually fall under the scope of Additional Learning Needs (ALN), a curriculum must consider myriad factors which fall into such categories as diversity, accessibility, and socioeconomic background</w:t>
      </w:r>
      <w:r w:rsidR="0000166B">
        <w:t xml:space="preserve">  and o</w:t>
      </w:r>
      <w:r>
        <w:t>nly</w:t>
      </w:r>
      <w:r w:rsidR="0000166B">
        <w:t xml:space="preserve"> </w:t>
      </w:r>
      <w:r>
        <w:t>when all of these factors have been considered can a curriculum be referred to as truly inclusive</w:t>
      </w:r>
      <w:r w:rsidR="0000166B">
        <w:t>. This was considered by a Welsh government report, in which one of the key findings identified that learners from disadvantaged backgrounds experienced greater challenges to their education, and that a possible solution was to close the gap that existed between their home and school lives</w:t>
      </w:r>
      <w:r w:rsidR="00E83E02">
        <w:t xml:space="preserve"> </w:t>
      </w:r>
      <w:sdt>
        <w:sdtPr>
          <w:id w:val="-1522000973"/>
          <w:citation/>
        </w:sdtPr>
        <w:sdtEndPr/>
        <w:sdtContent>
          <w:r w:rsidR="00E83E02">
            <w:fldChar w:fldCharType="begin"/>
          </w:r>
          <w:r w:rsidR="00E83E02">
            <w:instrText xml:space="preserve"> CITATION TLR10 \l 2057 </w:instrText>
          </w:r>
          <w:r w:rsidR="00E83E02">
            <w:fldChar w:fldCharType="separate"/>
          </w:r>
          <w:r w:rsidR="007573E2" w:rsidRPr="007573E2">
            <w:rPr>
              <w:noProof/>
            </w:rPr>
            <w:t>(T.L.R.P Wales, 2010)</w:t>
          </w:r>
          <w:r w:rsidR="00E83E02">
            <w:fldChar w:fldCharType="end"/>
          </w:r>
        </w:sdtContent>
      </w:sdt>
      <w:r w:rsidR="00AF6A3C">
        <w:t>.</w:t>
      </w:r>
      <w:r w:rsidR="00020D1E">
        <w:t xml:space="preserve"> This gap is clearly evident, as the Welsh Government report that </w:t>
      </w:r>
      <w:r w:rsidR="001C2E53">
        <w:t xml:space="preserve">in 2018/19 </w:t>
      </w:r>
      <w:r w:rsidR="00020D1E">
        <w:t>only 28.4% of Students eligible for Free School Meals</w:t>
      </w:r>
      <w:r w:rsidR="00B101CF">
        <w:t xml:space="preserve"> (FSM)</w:t>
      </w:r>
      <w:r w:rsidR="00020D1E">
        <w:t xml:space="preserve"> achieved five GCSEs at A*-C grade, compared to 60.5% of those who were not eligible</w:t>
      </w:r>
      <w:sdt>
        <w:sdtPr>
          <w:id w:val="374977569"/>
          <w:citation/>
        </w:sdtPr>
        <w:sdtEndPr/>
        <w:sdtContent>
          <w:r w:rsidR="00020D1E">
            <w:fldChar w:fldCharType="begin"/>
          </w:r>
          <w:r w:rsidR="00020D1E">
            <w:instrText xml:space="preserve">CITATION Sta201 \l 2057 </w:instrText>
          </w:r>
          <w:r w:rsidR="00020D1E">
            <w:fldChar w:fldCharType="separate"/>
          </w:r>
          <w:r w:rsidR="007573E2">
            <w:rPr>
              <w:noProof/>
            </w:rPr>
            <w:t xml:space="preserve"> </w:t>
          </w:r>
          <w:r w:rsidR="007573E2" w:rsidRPr="007573E2">
            <w:rPr>
              <w:noProof/>
            </w:rPr>
            <w:t>(Statistics for Wales, 2020)</w:t>
          </w:r>
          <w:r w:rsidR="00020D1E">
            <w:fldChar w:fldCharType="end"/>
          </w:r>
        </w:sdtContent>
      </w:sdt>
      <w:r w:rsidR="00BF4B5A">
        <w:t>. This disparity in the attainment of disadvantaged children compared to their peers shows that there is a clear failing in how they are included in the education system, and whether they are truly given the chance to engage to their fullest potential. This could be seen as an oversight by the education system, which may see that due to opportunities being offered to disadvantaged children they are therefore included, however they may not consider whether the child would realistically be able to participate in an extra-curricular activity that was offered.</w:t>
      </w:r>
      <w:r w:rsidR="00EE2C26">
        <w:t xml:space="preserve"> There have been efforts to lessen the gap between students from well-off and deprived background, for example in the Welsh Government’s offerings of the ‘Pupil Deprivation Grant’, to which schools can apply for funding to offer workshops that will improve the experience of those who are eligible for F</w:t>
      </w:r>
      <w:r w:rsidR="00B101CF">
        <w:t>S</w:t>
      </w:r>
      <w:r w:rsidR="00EE2C26">
        <w:t>M.</w:t>
      </w:r>
      <w:r w:rsidR="001C2E53">
        <w:t xml:space="preserve"> And whilst this is a start, it is clear from the statistics cited above that the gap in attainment is much greater than would be hoped.</w:t>
      </w:r>
      <w:r w:rsidR="00CE65C4">
        <w:t xml:space="preserve"> This could also be caused by that the family and community surrounding a child will greatly influence their development. Research by Garasky </w:t>
      </w:r>
      <w:sdt>
        <w:sdtPr>
          <w:id w:val="-1281025279"/>
          <w:citation/>
        </w:sdtPr>
        <w:sdtContent>
          <w:r w:rsidR="00CE65C4">
            <w:fldChar w:fldCharType="begin"/>
          </w:r>
          <w:r w:rsidR="00B87AEB">
            <w:instrText xml:space="preserve">CITATION Gar95 \n  \l 2057 </w:instrText>
          </w:r>
          <w:r w:rsidR="00CE65C4">
            <w:fldChar w:fldCharType="separate"/>
          </w:r>
          <w:r w:rsidR="007573E2" w:rsidRPr="007573E2">
            <w:rPr>
              <w:noProof/>
            </w:rPr>
            <w:t>(1995)</w:t>
          </w:r>
          <w:r w:rsidR="00CE65C4">
            <w:fldChar w:fldCharType="end"/>
          </w:r>
        </w:sdtContent>
      </w:sdt>
      <w:r w:rsidR="00B87AEB">
        <w:t xml:space="preserve"> shows that the structure of a family can greatly effect a student’s educational success, for example that a child from a two parent family has a 71.7% probability of graduating from high school, as opposed to a single Mother (64.4%) or single Father (41.0%) family.</w:t>
      </w:r>
      <w:r w:rsidR="00DB63C6">
        <w:t xml:space="preserve"> This social factor impacts the development of a child’s social, language and behavioural skills, which then have a compounding affect onto their educational attainment, and it is due to this</w:t>
      </w:r>
      <w:r w:rsidR="00074E02">
        <w:t>, t</w:t>
      </w:r>
      <w:r w:rsidR="000F2A91">
        <w:t>h</w:t>
      </w:r>
      <w:r w:rsidR="00DB63C6">
        <w:t xml:space="preserve">e aforementioned </w:t>
      </w:r>
      <w:r w:rsidR="000F2A91">
        <w:t>statistic</w:t>
      </w:r>
      <w:r w:rsidR="00DB63C6">
        <w:t>s</w:t>
      </w:r>
      <w:r w:rsidR="000F2A91">
        <w:t>, a</w:t>
      </w:r>
      <w:r w:rsidR="00074E02">
        <w:t>nd additionally</w:t>
      </w:r>
      <w:r w:rsidR="000F2A91">
        <w:t xml:space="preserve"> the fact that there are </w:t>
      </w:r>
      <w:r w:rsidR="00DB63C6">
        <w:t xml:space="preserve">97,500 lone-parent households with dependent children in Wales </w:t>
      </w:r>
      <w:sdt>
        <w:sdtPr>
          <w:id w:val="257487775"/>
          <w:citation/>
        </w:sdtPr>
        <w:sdtContent>
          <w:r w:rsidR="00DB63C6">
            <w:fldChar w:fldCharType="begin"/>
          </w:r>
          <w:r w:rsidR="00DB63C6">
            <w:instrText xml:space="preserve"> CITATION Pub13 \l 2057 </w:instrText>
          </w:r>
          <w:r w:rsidR="00DB63C6">
            <w:fldChar w:fldCharType="separate"/>
          </w:r>
          <w:r w:rsidR="007573E2" w:rsidRPr="007573E2">
            <w:rPr>
              <w:noProof/>
            </w:rPr>
            <w:t>(Public Health Wales Observatory, 2013)</w:t>
          </w:r>
          <w:r w:rsidR="00DB63C6">
            <w:fldChar w:fldCharType="end"/>
          </w:r>
        </w:sdtContent>
      </w:sdt>
      <w:r w:rsidR="00DB63C6">
        <w:t xml:space="preserve"> </w:t>
      </w:r>
      <w:r w:rsidR="00074E02">
        <w:t xml:space="preserve">that there </w:t>
      </w:r>
      <w:r w:rsidR="00DB63C6">
        <w:t>is</w:t>
      </w:r>
      <w:r w:rsidR="00074E02">
        <w:t xml:space="preserve"> such a great</w:t>
      </w:r>
      <w:r w:rsidR="00DB63C6">
        <w:t xml:space="preserve"> a cause for concern that the Welsh Government are rightly trying to </w:t>
      </w:r>
      <w:r w:rsidR="00074E02">
        <w:t xml:space="preserve">address. One of the key policy documents in this governmental response is the ‘Rewriting the future’ </w:t>
      </w:r>
      <w:sdt>
        <w:sdtPr>
          <w:id w:val="-578755270"/>
          <w:citation/>
        </w:sdtPr>
        <w:sdtContent>
          <w:r w:rsidR="00074E02">
            <w:fldChar w:fldCharType="begin"/>
          </w:r>
          <w:r w:rsidR="00074E02">
            <w:instrText xml:space="preserve"> CITATION Wel14 \l 2057 </w:instrText>
          </w:r>
          <w:r w:rsidR="00074E02">
            <w:fldChar w:fldCharType="separate"/>
          </w:r>
          <w:r w:rsidR="007573E2" w:rsidRPr="007573E2">
            <w:rPr>
              <w:noProof/>
            </w:rPr>
            <w:t>(Welsh Government, 2014)</w:t>
          </w:r>
          <w:r w:rsidR="00074E02">
            <w:fldChar w:fldCharType="end"/>
          </w:r>
        </w:sdtContent>
      </w:sdt>
      <w:r w:rsidR="00074E02">
        <w:t xml:space="preserve"> guidance. Which amongst other goals specifically aims to raise the proportion of </w:t>
      </w:r>
      <w:r w:rsidR="00074E02">
        <w:lastRenderedPageBreak/>
        <w:t xml:space="preserve">students who are eligible for </w:t>
      </w:r>
      <w:r w:rsidR="00B101CF">
        <w:t>FSM</w:t>
      </w:r>
      <w:r w:rsidR="00074E02">
        <w:t xml:space="preserve"> that are achieving their English/Welsh first language and mathematics GCSEs to 37%.</w:t>
      </w:r>
      <w:r w:rsidR="00B101CF">
        <w:t xml:space="preserve"> And in order to resolve this issue the government has implemented the ‘Communities First’ programme, which offers assistance in various forms, such as the offering of grant funding to communities that wish to conduct workshops and courses aimed to encourage the engagement and development of parent’s learning, so that they will become more inclined to continue their child’s learning outside of school, rather than separating ‘home’ as being a non-learning environment. This strategy will be beneficial in communities that have high levels of students eligible for FSM, as these are areas that are also likely to have issues regarding parental education in the child’s education. </w:t>
      </w:r>
      <w:r w:rsidR="00351AE6">
        <w:t xml:space="preserve">Further to these programmes, the Welsh Government have also instigated a plan to improve the standards of schools nationally. It has been shown </w:t>
      </w:r>
      <w:r w:rsidR="0010554B">
        <w:t xml:space="preserve">that learners from socioeconomically deprived areas require the most high-standard teaching in order to break the cycle of poverty, however it is seen that these learners are the least likely to receive such teaching </w:t>
      </w:r>
      <w:sdt>
        <w:sdtPr>
          <w:id w:val="1761868469"/>
          <w:citation/>
        </w:sdtPr>
        <w:sdtContent>
          <w:r w:rsidR="0010554B">
            <w:fldChar w:fldCharType="begin"/>
          </w:r>
          <w:r w:rsidR="0010554B">
            <w:instrText xml:space="preserve"> CITATION Har08 \l 2057 </w:instrText>
          </w:r>
          <w:r w:rsidR="0010554B">
            <w:fldChar w:fldCharType="separate"/>
          </w:r>
          <w:r w:rsidR="007573E2" w:rsidRPr="007573E2">
            <w:rPr>
              <w:noProof/>
            </w:rPr>
            <w:t>(Harris, 2008)</w:t>
          </w:r>
          <w:r w:rsidR="0010554B">
            <w:fldChar w:fldCharType="end"/>
          </w:r>
        </w:sdtContent>
      </w:sdt>
      <w:r w:rsidR="0010554B">
        <w:t xml:space="preserve"> which once again shows the disparity between the more and less affluent areas of Wales. The Government aims, through the Improving Schools strategy, to continually perpetuate the improvement of </w:t>
      </w:r>
      <w:r w:rsidR="00737BEF">
        <w:t>schools through systems such as self-evaluative development plans; the regular provision of CPD sessions for the schools staff; the introduction of Teach First Cymru, which places the best graduate teachers into the schools that need them the most; the use of teachers who have proven to be excellent instructors of literacy and numeracy to mentor and support schools which may be struggling, and finally the introduction of multi-million pound investments into schools working in the most difficult circumstances, which is intended to improve them and also have a compound effect into the wider environment.</w:t>
      </w:r>
    </w:p>
    <w:p w14:paraId="3E375585" w14:textId="247C18B9" w:rsidR="002F5934" w:rsidRDefault="001C2E53">
      <w:r>
        <w:t>To continue on the topic of social inclusion,</w:t>
      </w:r>
      <w:r w:rsidR="00321D02">
        <w:t xml:space="preserve"> an</w:t>
      </w:r>
      <w:r>
        <w:t xml:space="preserve">other key point of policy to look at </w:t>
      </w:r>
      <w:r w:rsidR="00321D02">
        <w:t>is the C</w:t>
      </w:r>
      <w:r w:rsidR="00754256">
        <w:t xml:space="preserve">hild Poverty Strategy for Wales </w:t>
      </w:r>
      <w:sdt>
        <w:sdtPr>
          <w:id w:val="1587041425"/>
          <w:citation/>
        </w:sdtPr>
        <w:sdtEndPr/>
        <w:sdtContent>
          <w:r w:rsidR="003817BD">
            <w:fldChar w:fldCharType="begin"/>
          </w:r>
          <w:r w:rsidR="003817BD">
            <w:instrText xml:space="preserve"> CITATION Wel15 \l 2057 </w:instrText>
          </w:r>
          <w:r w:rsidR="003817BD">
            <w:fldChar w:fldCharType="separate"/>
          </w:r>
          <w:r w:rsidR="007573E2" w:rsidRPr="007573E2">
            <w:rPr>
              <w:noProof/>
            </w:rPr>
            <w:t>(Welsh Government, 2015)</w:t>
          </w:r>
          <w:r w:rsidR="003817BD">
            <w:fldChar w:fldCharType="end"/>
          </w:r>
        </w:sdtContent>
      </w:sdt>
      <w:r w:rsidR="00754256">
        <w:t xml:space="preserve">. </w:t>
      </w:r>
      <w:r w:rsidR="006732F6">
        <w:t>This policy</w:t>
      </w:r>
      <w:r w:rsidR="00321D02">
        <w:t xml:space="preserve"> is intended to provide a framework for reducing the</w:t>
      </w:r>
      <w:r w:rsidR="006732F6">
        <w:t xml:space="preserve"> number of children that fall into the category of not being in education, employment, or training. This will decrease the number of disadvantaged children who have left school having attained few qualifications, and will encourage these children to achieve higher, and therefore open doors for them to go on to further education and then into higher earning jobs, which will allow them to break the cycle of poverty. This development is also supported by </w:t>
      </w:r>
      <w:r w:rsidR="0038253E">
        <w:t>plans to improve and cheapen transport infrastructure, and also increase the amount of resources that families will be able to access for free, therefore allowing them to explore cultural sites, museums, and access facilities like swimming pools for free.</w:t>
      </w:r>
      <w:r w:rsidR="0058791F">
        <w:t xml:space="preserve"> This scheme w</w:t>
      </w:r>
      <w:r w:rsidR="0038253E">
        <w:t xml:space="preserve">ill allow </w:t>
      </w:r>
      <w:r w:rsidR="0058791F">
        <w:t>disadvantaged children</w:t>
      </w:r>
      <w:r w:rsidR="0038253E">
        <w:t xml:space="preserve"> to experience the same opportunities and make the most of activities that may not have previously been accessible to them</w:t>
      </w:r>
      <w:r w:rsidR="0058791F">
        <w:t xml:space="preserve">, and in the case of facilities like museums, may even help them to gain a broader understanding of their school work, as some schools will relate their work, in subjects such as history, to exhibitions occurring at a local museum. </w:t>
      </w:r>
      <w:r w:rsidR="001B1D64">
        <w:t>Furthermore, this document looks to support and measure the social and developmental milestones of children, especially those entitled to</w:t>
      </w:r>
      <w:r w:rsidR="00B101CF">
        <w:t xml:space="preserve"> FSM</w:t>
      </w:r>
      <w:r w:rsidR="001B1D64">
        <w:t xml:space="preserve">, to ensure that they are reaching the appropriate levels of progression at the same time as their peers. This is an effective tool to measure the success rate of the policy, due to that should there be a difference in a certain part of a child’s development which is more apparent in one region than others, it could be an indicator of what that particular area is lacking. </w:t>
      </w:r>
      <w:r w:rsidR="00152DA4">
        <w:t>However, this indication is not necessarily flawless, and could require a more observational approach to monitoring as the factors that affect a child’s development are more than can simply be measured statistically.</w:t>
      </w:r>
      <w:r w:rsidR="003817BD">
        <w:t xml:space="preserve"> It would appear however, that this policy has had a positive effect, with a reduction of Children in relative income poverty from 33% in 2010-2013, to 28% in 2016-2019 </w:t>
      </w:r>
      <w:sdt>
        <w:sdtPr>
          <w:id w:val="1125423803"/>
          <w:citation/>
        </w:sdtPr>
        <w:sdtEndPr/>
        <w:sdtContent>
          <w:r w:rsidR="003817BD">
            <w:fldChar w:fldCharType="begin"/>
          </w:r>
          <w:r w:rsidR="003817BD">
            <w:instrText xml:space="preserve"> CITATION Sta202 \l 2057 </w:instrText>
          </w:r>
          <w:r w:rsidR="003817BD">
            <w:fldChar w:fldCharType="separate"/>
          </w:r>
          <w:r w:rsidR="007573E2" w:rsidRPr="007573E2">
            <w:rPr>
              <w:noProof/>
            </w:rPr>
            <w:t>(StatsWales, 2020)</w:t>
          </w:r>
          <w:r w:rsidR="003817BD">
            <w:fldChar w:fldCharType="end"/>
          </w:r>
        </w:sdtContent>
      </w:sdt>
      <w:r w:rsidR="003817BD">
        <w:t>.</w:t>
      </w:r>
    </w:p>
    <w:p w14:paraId="33D849A9" w14:textId="77777777" w:rsidR="00CE65C4" w:rsidRDefault="00CE65C4"/>
    <w:p w14:paraId="57552C8E" w14:textId="56026882" w:rsidR="00471B46" w:rsidRDefault="0016435E" w:rsidP="00B36B1B">
      <w:r>
        <w:lastRenderedPageBreak/>
        <w:t>Moving on to educational inclusion, when it comes to curriculum policy it was somewhat worrying to see that in the curriculum guidance document, any form of the word ‘inclusion’ only appeared 14 times in all 252 pages</w:t>
      </w:r>
      <w:r w:rsidR="008D3754">
        <w:t xml:space="preserve"> which </w:t>
      </w:r>
      <w:r>
        <w:t xml:space="preserve">initially would be concerning to the inclusivity minded practitioner, as it would raise question as to whether the new curriculum had been designed to be truly inclusive or just to mention inclusivity as a courtesy. </w:t>
      </w:r>
      <w:r w:rsidR="00B36B1B">
        <w:t>However,</w:t>
      </w:r>
      <w:r>
        <w:t xml:space="preserve"> upon diving deeper into the guidance it is quite clear that the foundations of the curriculum’s inclusion policy does not reside in the guidance itself, but in the 2018 ALN Act which precedes it.</w:t>
      </w:r>
      <w:r w:rsidR="00B36B1B">
        <w:t xml:space="preserve"> The guidance links to the ALN Act by stating that they together are “designed to deliver an inclusive and equitable education system” </w:t>
      </w:r>
      <w:sdt>
        <w:sdtPr>
          <w:id w:val="-1408604828"/>
          <w:citation/>
        </w:sdtPr>
        <w:sdtEndPr/>
        <w:sdtContent>
          <w:r w:rsidR="00B36B1B">
            <w:fldChar w:fldCharType="begin"/>
          </w:r>
          <w:r w:rsidR="00B36B1B">
            <w:instrText xml:space="preserve"> CITATION Wel20 \l 2057 </w:instrText>
          </w:r>
          <w:r w:rsidR="00B36B1B">
            <w:fldChar w:fldCharType="separate"/>
          </w:r>
          <w:r w:rsidR="007573E2" w:rsidRPr="007573E2">
            <w:rPr>
              <w:noProof/>
            </w:rPr>
            <w:t>(Welsh Government, 2020)</w:t>
          </w:r>
          <w:r w:rsidR="00B36B1B">
            <w:fldChar w:fldCharType="end"/>
          </w:r>
        </w:sdtContent>
      </w:sdt>
      <w:r w:rsidR="00182814">
        <w:t xml:space="preserve">. What is good about the new ALN reform is that it shifts focus to supporting learners whilst keeping them in the mainstream school system, as opposed to the old SEN system, that would frequently remove learners and dispatch them to separate classes, or for those with greater needs, send them off to units and ‘special schools’. And to </w:t>
      </w:r>
      <w:r w:rsidR="00CD45FA">
        <w:t>refer to Cole (2020) once again</w:t>
      </w:r>
      <w:r w:rsidR="00182814">
        <w:t xml:space="preserve">, most students with ALN will perform better in a mainstream classroom environment where their needs are being met, so for the ALN Act to be encouraging such accommodations </w:t>
      </w:r>
      <w:r w:rsidR="00CD45FA">
        <w:t xml:space="preserve">is refreshing. </w:t>
      </w:r>
    </w:p>
    <w:p w14:paraId="593520BC" w14:textId="536FC335" w:rsidR="00BF10EE" w:rsidRDefault="00471B46" w:rsidP="00B36B1B">
      <w:r>
        <w:t>When drawing from the overview publications</w:t>
      </w:r>
      <w:sdt>
        <w:sdtPr>
          <w:id w:val="200058896"/>
          <w:citation/>
        </w:sdtPr>
        <w:sdtEndPr/>
        <w:sdtContent>
          <w:r w:rsidR="00B43D48">
            <w:fldChar w:fldCharType="begin"/>
          </w:r>
          <w:r w:rsidR="00B43D48">
            <w:instrText xml:space="preserve"> CITATION Wel18 \l 2057 </w:instrText>
          </w:r>
          <w:r w:rsidR="00B43D48">
            <w:fldChar w:fldCharType="separate"/>
          </w:r>
          <w:r w:rsidR="007573E2">
            <w:rPr>
              <w:noProof/>
            </w:rPr>
            <w:t xml:space="preserve"> </w:t>
          </w:r>
          <w:r w:rsidR="007573E2" w:rsidRPr="007573E2">
            <w:rPr>
              <w:noProof/>
            </w:rPr>
            <w:t>(Welsh Government, 2018)</w:t>
          </w:r>
          <w:r w:rsidR="00B43D48">
            <w:fldChar w:fldCharType="end"/>
          </w:r>
        </w:sdtContent>
      </w:sdt>
      <w:r>
        <w:t>, the ALN act is intended to replace a number of policies and procedures from then old Special Educational Needs (SEN) documentation, whilst also introducing a number of new ideas. One of the fundamental inclusive changes is the progression of terminology from SEN to ALN</w:t>
      </w:r>
      <w:r w:rsidR="00455F00">
        <w:t>, which whilst seeming like a fairly superficial change does actually hold great significance due to the implications associated with the term ‘Special Needs’</w:t>
      </w:r>
      <w:r w:rsidR="00CB210C">
        <w:t xml:space="preserve">. This change comes as part of the Welsh Governments attempt to be more inclusive of those students with additional needs, and to give provision for them to be included in mainstream classrooms more frequently. The difference between SEN and ALN may seem semantic, however the connotations of having ‘special needs’ was to some seen as being a particularly negative one. Therefore, rather than needing ‘special’ measures to be in place, implying that learners may just need a bit of ‘additional’ help means that they can feel more included with, and closer to, their peers. Secondly, there will be a reduction in the categorisation of learners by level of need, with the act removing the current system of having School Action (SA), SA Plus, and then a Statement of SEN. These will be replaced by all students with ALN being issued an Individual Development Plan, which will outline their needs and whatever support strategies they are given. Further to this, the new ALN act will function to elongate the duration that support will be offered to those with an IDP, who will receive support until the age of 25 should they continue into Further and Higher Education. Alongside this, the system of the IDP means that the provision for students will now me intrinsically transferrable, rather than having to be location specific based on what one institute could provide. </w:t>
      </w:r>
      <w:r w:rsidR="00BF10EE">
        <w:t xml:space="preserve">This means that there should be fewer cases where students have to move between authority areas due to there not being enough provision in their original location. These are some of the main, general points of the new ALN guidance but </w:t>
      </w:r>
      <w:r w:rsidR="00CD45FA">
        <w:t>If one takes a deeper look into the</w:t>
      </w:r>
      <w:r w:rsidR="00BF10EE">
        <w:t xml:space="preserve"> </w:t>
      </w:r>
      <w:r w:rsidR="00CD45FA">
        <w:t>guidance, there are plenty of documents produced by the Welsh Government which are designed to assist staff in how to support learners with needs from vision impairment to Autistic Spectrum Disorder (ASD).</w:t>
      </w:r>
    </w:p>
    <w:p w14:paraId="3363EFDE" w14:textId="76A53768" w:rsidR="007E3CFF" w:rsidRDefault="004D63BC" w:rsidP="007E3CFF">
      <w:r>
        <w:t>To look at Children with ASD particularly, there are many ways in which a classroom could be made more inclusive. The Welsh</w:t>
      </w:r>
      <w:r w:rsidR="0050191A">
        <w:t xml:space="preserve"> Government guidance offers a number of ways to support these learners, and allow them to make the most of their education as they can maximise their learning time. One of these strategies is </w:t>
      </w:r>
      <w:r w:rsidR="00122AB0">
        <w:t xml:space="preserve">‘Peer-mediated and instruction and intervention’, which in a study by Koegel et AL </w:t>
      </w:r>
      <w:sdt>
        <w:sdtPr>
          <w:id w:val="-1720040060"/>
          <w:citation/>
        </w:sdtPr>
        <w:sdtEndPr/>
        <w:sdtContent>
          <w:r w:rsidR="00122AB0">
            <w:fldChar w:fldCharType="begin"/>
          </w:r>
          <w:r w:rsidR="00122AB0">
            <w:instrText xml:space="preserve">CITATION Koe12 \n  \l 2057 </w:instrText>
          </w:r>
          <w:r w:rsidR="00122AB0">
            <w:fldChar w:fldCharType="separate"/>
          </w:r>
          <w:r w:rsidR="007573E2" w:rsidRPr="007573E2">
            <w:rPr>
              <w:noProof/>
            </w:rPr>
            <w:t>(2012)</w:t>
          </w:r>
          <w:r w:rsidR="00122AB0">
            <w:fldChar w:fldCharType="end"/>
          </w:r>
        </w:sdtContent>
      </w:sdt>
      <w:r w:rsidR="00122AB0">
        <w:t xml:space="preserve"> was shown to </w:t>
      </w:r>
      <w:r w:rsidR="003134D3">
        <w:t xml:space="preserve">reliably </w:t>
      </w:r>
      <w:r w:rsidR="00122AB0">
        <w:t xml:space="preserve">increase peer interaction of students with Autism </w:t>
      </w:r>
      <w:r w:rsidR="003134D3">
        <w:t xml:space="preserve">from 0-10% pre-intervention, to 80-100% of the time post-intervention. In the Government Guidelines, one of the suggested implementations of this strategy is the creation of in-school clubs that run outside of lesson times, these would be offering activities that are of particular interest to the students, and </w:t>
      </w:r>
      <w:r w:rsidR="003134D3">
        <w:lastRenderedPageBreak/>
        <w:t xml:space="preserve">would be open to other students to attend. This would allow the Student with ASD to be introduced to social situations in a smaller, and more controlled environment in which they were already familiar with an area of interest, which may encourage them to interact socially with their peers, and form important friendships whilst improving their social skills. This strategy would be effective in theory, however it is important to note that in practice, due to the nature of ASD, the needs of the student must still be considered. An example of this may be that should the aforementioned club be focused on a student’s liking of board games, the </w:t>
      </w:r>
      <w:r w:rsidR="00547269">
        <w:t>staff member involved may have to consider whether the student has any particular issues regarding flexibility of rules meaning that they expect to play to the letter as written. This could be challenging for other students who wish to take part in the club, but could be resolved with some explanation and used as an opportunity to help the student with ASD learn to cope with change, perhaps by very slightly altering the rules whilst showing the student that this made the game more enjoyable.</w:t>
      </w:r>
      <w:r w:rsidR="008D3754">
        <w:t xml:space="preserve"> This strategy has been shown to be effective for schools, as there has been no significant difference in positive effect when the intervention was conducted by trained or un-trained peers, therefore offering the support provider flexibility in who can supervise the activities, and also placing less strain on the need for provision of the school, which is often one of the greatest concerns when offering intervention strategies.</w:t>
      </w:r>
      <w:r w:rsidR="00B43D48">
        <w:t xml:space="preserve"> Alongside this strategy the guidance document offers many others for different situations, and example of which being interventions for when a student with ASD is behaving in a challenging or interfering manner. The guidance refers to ‘antecedent interventions’: being something that precedes the behaviour often being a cause of it, and then of ‘</w:t>
      </w:r>
      <w:r w:rsidR="00957510">
        <w:t>Consequent Interventions’ which are either a positive or negative response to the behaviour being displayed. The document notes that strategies such as Behaviour plans, which would clearly state the sanctions associated with poor behaviour</w:t>
      </w:r>
      <w:r w:rsidR="00CD7FDD">
        <w:t xml:space="preserve"> </w:t>
      </w:r>
      <w:r w:rsidR="00957510">
        <w:t xml:space="preserve">and rewards of good behaviour; </w:t>
      </w:r>
      <w:r w:rsidR="00CD7FDD">
        <w:t>and</w:t>
      </w:r>
      <w:r w:rsidR="00957510">
        <w:t xml:space="preserve"> also changes to the environment,</w:t>
      </w:r>
      <w:r w:rsidR="00CD7FDD">
        <w:t xml:space="preserve"> such as different lighting, use of calmer colour schemes, and changes to the layout of a room,</w:t>
      </w:r>
      <w:r w:rsidR="00957510">
        <w:t xml:space="preserve"> have been shown to have a positive effect on the engagement, social interaction, and communication of students with ASD</w:t>
      </w:r>
      <w:r w:rsidR="00CD7FDD">
        <w:t xml:space="preserve"> throughout the entirety of compulsory schooling</w:t>
      </w:r>
      <w:sdt>
        <w:sdtPr>
          <w:id w:val="-329919601"/>
          <w:citation/>
        </w:sdtPr>
        <w:sdtEndPr/>
        <w:sdtContent>
          <w:r w:rsidR="00CD7FDD">
            <w:fldChar w:fldCharType="begin"/>
          </w:r>
          <w:r w:rsidR="00CD7FDD">
            <w:instrText xml:space="preserve"> CITATION Wel19 \l 2057 </w:instrText>
          </w:r>
          <w:r w:rsidR="00CD7FDD">
            <w:fldChar w:fldCharType="separate"/>
          </w:r>
          <w:r w:rsidR="007573E2">
            <w:rPr>
              <w:noProof/>
            </w:rPr>
            <w:t xml:space="preserve"> </w:t>
          </w:r>
          <w:r w:rsidR="007573E2" w:rsidRPr="007573E2">
            <w:rPr>
              <w:noProof/>
            </w:rPr>
            <w:t>(Welsh Government, 2019)</w:t>
          </w:r>
          <w:r w:rsidR="00CD7FDD">
            <w:fldChar w:fldCharType="end"/>
          </w:r>
        </w:sdtContent>
      </w:sdt>
      <w:r w:rsidR="00CD7FDD">
        <w:t>.</w:t>
      </w:r>
      <w:r w:rsidR="00F1139C">
        <w:t xml:space="preserve"> The strategies discussed, along with the many others included in the Welsh Government Curriculum Guidelines will combine to create a schooling system that is much more inclusive of students with ALN than the previous Curriculum. This will allow them to integrate more effectively with the mainstream school environment and also their peers, which will also encourage their social development and could well make them more inclined to attend and more motivated to learn. </w:t>
      </w:r>
      <w:r w:rsidR="007E3CFF">
        <w:t xml:space="preserve">These integrations into the mainstream system will in some ways remove strain on the Local Authority, as it is stated in the Guidance that Schools will have the autonomy to decide whether or not a student has ALN, only deferring to the council where they are unsure, or if they cannot reasonably make provision for a child’s needs. </w:t>
      </w:r>
    </w:p>
    <w:p w14:paraId="7CAD73AF" w14:textId="45B8DF41" w:rsidR="007E3CFF" w:rsidRDefault="007E3CFF" w:rsidP="007E3CFF">
      <w:r>
        <w:t xml:space="preserve">The documentation and policy discussed above is only a brief introduction to the status of inclusion in the new Welsh Curriculum, however it is evident that there has been a great deal of progression in making the Welsh education system a more inclusive, and thus better achieving platform for students to build from. To use the words of </w:t>
      </w:r>
      <w:r w:rsidR="008057FE">
        <w:t>Psychologist Dr. O. Ivar L</w:t>
      </w:r>
      <w:r w:rsidR="008057FE">
        <w:rPr>
          <w:rFonts w:cstheme="minorHAnsi"/>
        </w:rPr>
        <w:t>ø</w:t>
      </w:r>
      <w:r w:rsidR="008057FE">
        <w:t>vass:</w:t>
      </w:r>
    </w:p>
    <w:p w14:paraId="6059A9A9" w14:textId="4550D184" w:rsidR="008057FE" w:rsidRDefault="008057FE" w:rsidP="007E3CFF">
      <w:r>
        <w:tab/>
        <w:t>“If they cannot learn the way we teach, we must teach the way that they learn”</w:t>
      </w:r>
    </w:p>
    <w:p w14:paraId="39E6352A" w14:textId="77777777" w:rsidR="007573E2" w:rsidRPr="007E3CFF" w:rsidRDefault="008057FE" w:rsidP="007E3CFF">
      <w:r>
        <w:t xml:space="preserve">This quote should function as a benchmark for the inclusion of students with learning differences, as a classroom is not truly inclusive until every single child Is able to learn to their fullest potential, with the playing field having been levelled through whatever support they may require having been provided. In this sense, the Welsh Government are making steps forwards with the ALN Act and New Curriculum, however until it is fully implemented in 2022, it remains to be seen as to whether it will achieve the inclusivity it is intended to provide. </w:t>
      </w:r>
    </w:p>
    <w:sdt>
      <w:sdtPr>
        <w:id w:val="-24495740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F9269FE" w14:textId="76356013" w:rsidR="007573E2" w:rsidRDefault="007573E2">
          <w:pPr>
            <w:pStyle w:val="Heading1"/>
          </w:pPr>
          <w:r>
            <w:t>References</w:t>
          </w:r>
        </w:p>
        <w:sdt>
          <w:sdtPr>
            <w:id w:val="-573587230"/>
            <w:bibliography/>
          </w:sdtPr>
          <w:sdtContent>
            <w:p w14:paraId="519E0744" w14:textId="77777777" w:rsidR="007573E2" w:rsidRDefault="007573E2" w:rsidP="007573E2">
              <w:pPr>
                <w:pStyle w:val="Bibliography"/>
                <w:rPr>
                  <w:noProof/>
                  <w:sz w:val="24"/>
                  <w:szCs w:val="24"/>
                  <w:lang w:val="en-US"/>
                </w:rPr>
              </w:pPr>
              <w:r>
                <w:fldChar w:fldCharType="begin"/>
              </w:r>
              <w:r>
                <w:instrText xml:space="preserve"> BIBLIOGRAPHY </w:instrText>
              </w:r>
              <w:r>
                <w:fldChar w:fldCharType="separate"/>
              </w:r>
              <w:r>
                <w:rPr>
                  <w:noProof/>
                  <w:lang w:val="en-US"/>
                </w:rPr>
                <w:t xml:space="preserve">Cole, S. M. H. F. B. G. T. a. B. H., 2020. The Relationship of Special Education Placement and Student Academic Outcomes. </w:t>
              </w:r>
              <w:r>
                <w:rPr>
                  <w:i/>
                  <w:iCs/>
                  <w:noProof/>
                  <w:lang w:val="en-US"/>
                </w:rPr>
                <w:t>The Journal of Special Education.</w:t>
              </w:r>
            </w:p>
            <w:p w14:paraId="36899C10" w14:textId="77777777" w:rsidR="007573E2" w:rsidRDefault="007573E2" w:rsidP="007573E2">
              <w:pPr>
                <w:pStyle w:val="Bibliography"/>
                <w:rPr>
                  <w:noProof/>
                  <w:lang w:val="en-US"/>
                </w:rPr>
              </w:pPr>
              <w:r>
                <w:rPr>
                  <w:noProof/>
                  <w:lang w:val="en-US"/>
                </w:rPr>
                <w:t xml:space="preserve">EACEA, 2020. </w:t>
              </w:r>
              <w:r>
                <w:rPr>
                  <w:i/>
                  <w:iCs/>
                  <w:noProof/>
                  <w:lang w:val="en-US"/>
                </w:rPr>
                <w:t xml:space="preserve">Strategy for the social inclusion of young people (Wales). </w:t>
              </w:r>
              <w:r>
                <w:rPr>
                  <w:noProof/>
                  <w:lang w:val="en-US"/>
                </w:rPr>
                <w:t xml:space="preserve">[Online] </w:t>
              </w:r>
              <w:r>
                <w:rPr>
                  <w:noProof/>
                  <w:lang w:val="en-US"/>
                </w:rPr>
                <w:br/>
                <w:t xml:space="preserve">Available at: </w:t>
              </w:r>
              <w:r>
                <w:rPr>
                  <w:noProof/>
                  <w:u w:val="single"/>
                  <w:lang w:val="en-US"/>
                </w:rPr>
                <w:t>https://eacea.ec.europa.eu/national-policies/en/content/youthwiki/43-strategy-social-inclusion-young-people-united-kingdom-wales</w:t>
              </w:r>
              <w:r>
                <w:rPr>
                  <w:noProof/>
                  <w:lang w:val="en-US"/>
                </w:rPr>
                <w:br/>
                <w:t>[Accessed 27 11 2020].</w:t>
              </w:r>
            </w:p>
            <w:p w14:paraId="5834DBEA" w14:textId="77777777" w:rsidR="007573E2" w:rsidRDefault="007573E2" w:rsidP="007573E2">
              <w:pPr>
                <w:pStyle w:val="Bibliography"/>
                <w:rPr>
                  <w:noProof/>
                  <w:lang w:val="en-US"/>
                </w:rPr>
              </w:pPr>
              <w:r>
                <w:rPr>
                  <w:noProof/>
                  <w:lang w:val="en-US"/>
                </w:rPr>
                <w:t xml:space="preserve">Garasky, S., 1995. The Effects of Family Structure on Educational Attainment. </w:t>
              </w:r>
              <w:r>
                <w:rPr>
                  <w:i/>
                  <w:iCs/>
                  <w:noProof/>
                  <w:lang w:val="en-US"/>
                </w:rPr>
                <w:t xml:space="preserve">The American Journal of Economics and Sociology, </w:t>
              </w:r>
              <w:r>
                <w:rPr>
                  <w:noProof/>
                  <w:lang w:val="en-US"/>
                </w:rPr>
                <w:t>54(1), pp. 89-105.</w:t>
              </w:r>
            </w:p>
            <w:p w14:paraId="7EE5927F" w14:textId="77777777" w:rsidR="007573E2" w:rsidRDefault="007573E2" w:rsidP="007573E2">
              <w:pPr>
                <w:pStyle w:val="Bibliography"/>
                <w:rPr>
                  <w:noProof/>
                  <w:lang w:val="en-US"/>
                </w:rPr>
              </w:pPr>
              <w:r>
                <w:rPr>
                  <w:noProof/>
                  <w:lang w:val="en-US"/>
                </w:rPr>
                <w:t xml:space="preserve">Harris, A. H. D. a. L. K., 2008. Seven Strong Claims about Successful School Leadership. </w:t>
              </w:r>
              <w:r>
                <w:rPr>
                  <w:i/>
                  <w:iCs/>
                  <w:noProof/>
                  <w:lang w:val="en-US"/>
                </w:rPr>
                <w:t xml:space="preserve">School Leadership and Management, </w:t>
              </w:r>
              <w:r>
                <w:rPr>
                  <w:noProof/>
                  <w:lang w:val="en-US"/>
                </w:rPr>
                <w:t>28(1), pp. 27-42.</w:t>
              </w:r>
            </w:p>
            <w:p w14:paraId="483200F5" w14:textId="77777777" w:rsidR="007573E2" w:rsidRDefault="007573E2" w:rsidP="007573E2">
              <w:pPr>
                <w:pStyle w:val="Bibliography"/>
                <w:rPr>
                  <w:noProof/>
                  <w:lang w:val="en-US"/>
                </w:rPr>
              </w:pPr>
              <w:r>
                <w:rPr>
                  <w:noProof/>
                  <w:lang w:val="en-US"/>
                </w:rPr>
                <w:t xml:space="preserve">Koegel, R. F. R. K. S. D. J. R. D. a. K. L., 2012. Using Perseverative Interests to Improve Interactions Between Adolescents With Autism and Their Typical Peers in School Settings. </w:t>
              </w:r>
              <w:r>
                <w:rPr>
                  <w:i/>
                  <w:iCs/>
                  <w:noProof/>
                  <w:lang w:val="en-US"/>
                </w:rPr>
                <w:t xml:space="preserve">Journal of Positive Behaviour Interventions, </w:t>
              </w:r>
              <w:r>
                <w:rPr>
                  <w:noProof/>
                  <w:lang w:val="en-US"/>
                </w:rPr>
                <w:t>14(3), pp. 133-141.</w:t>
              </w:r>
            </w:p>
            <w:p w14:paraId="415B835B" w14:textId="77777777" w:rsidR="007573E2" w:rsidRDefault="007573E2" w:rsidP="007573E2">
              <w:pPr>
                <w:pStyle w:val="Bibliography"/>
                <w:rPr>
                  <w:noProof/>
                  <w:lang w:val="en-US"/>
                </w:rPr>
              </w:pPr>
              <w:r>
                <w:rPr>
                  <w:noProof/>
                  <w:lang w:val="en-US"/>
                </w:rPr>
                <w:t xml:space="preserve">Public Health Wales Observatory, 2013. </w:t>
              </w:r>
              <w:r>
                <w:rPr>
                  <w:i/>
                  <w:iCs/>
                  <w:noProof/>
                  <w:lang w:val="en-US"/>
                </w:rPr>
                <w:t xml:space="preserve">Families and education, </w:t>
              </w:r>
              <w:r>
                <w:rPr>
                  <w:noProof/>
                  <w:lang w:val="en-US"/>
                </w:rPr>
                <w:t>s.l.: s.n.</w:t>
              </w:r>
            </w:p>
            <w:p w14:paraId="6ECB176B" w14:textId="77777777" w:rsidR="007573E2" w:rsidRDefault="007573E2" w:rsidP="007573E2">
              <w:pPr>
                <w:pStyle w:val="Bibliography"/>
                <w:rPr>
                  <w:noProof/>
                  <w:lang w:val="en-US"/>
                </w:rPr>
              </w:pPr>
              <w:r>
                <w:rPr>
                  <w:noProof/>
                  <w:lang w:val="en-US"/>
                </w:rPr>
                <w:t xml:space="preserve">Statistics for Wales, 2020. </w:t>
              </w:r>
              <w:r>
                <w:rPr>
                  <w:i/>
                  <w:iCs/>
                  <w:noProof/>
                  <w:lang w:val="en-US"/>
                </w:rPr>
                <w:t xml:space="preserve">Examination results in schools in Wales 2018/19 - Revised, </w:t>
              </w:r>
              <w:r>
                <w:rPr>
                  <w:noProof/>
                  <w:lang w:val="en-US"/>
                </w:rPr>
                <w:t>Cardiff: Welsh Government.</w:t>
              </w:r>
            </w:p>
            <w:p w14:paraId="004E4A27" w14:textId="77777777" w:rsidR="007573E2" w:rsidRDefault="007573E2" w:rsidP="007573E2">
              <w:pPr>
                <w:pStyle w:val="Bibliography"/>
                <w:rPr>
                  <w:noProof/>
                  <w:lang w:val="en-US"/>
                </w:rPr>
              </w:pPr>
              <w:r>
                <w:rPr>
                  <w:noProof/>
                  <w:lang w:val="en-US"/>
                </w:rPr>
                <w:t xml:space="preserve">StatsWales, 2020. </w:t>
              </w:r>
              <w:r>
                <w:rPr>
                  <w:i/>
                  <w:iCs/>
                  <w:noProof/>
                  <w:lang w:val="en-US"/>
                </w:rPr>
                <w:t xml:space="preserve">Children in r3elative income poverty by family type and work status, </w:t>
              </w:r>
              <w:r>
                <w:rPr>
                  <w:noProof/>
                  <w:lang w:val="en-US"/>
                </w:rPr>
                <w:t>Cardiff: Welsh Government.</w:t>
              </w:r>
            </w:p>
            <w:p w14:paraId="567F6B65" w14:textId="77777777" w:rsidR="007573E2" w:rsidRDefault="007573E2" w:rsidP="007573E2">
              <w:pPr>
                <w:pStyle w:val="Bibliography"/>
                <w:rPr>
                  <w:noProof/>
                  <w:lang w:val="en-US"/>
                </w:rPr>
              </w:pPr>
              <w:r>
                <w:rPr>
                  <w:noProof/>
                  <w:lang w:val="en-US"/>
                </w:rPr>
                <w:t xml:space="preserve">StatsWales, 2020. </w:t>
              </w:r>
              <w:r>
                <w:rPr>
                  <w:i/>
                  <w:iCs/>
                  <w:noProof/>
                  <w:lang w:val="en-US"/>
                </w:rPr>
                <w:t xml:space="preserve">Pupils with special educational needs by sector and year, </w:t>
              </w:r>
              <w:r>
                <w:rPr>
                  <w:noProof/>
                  <w:lang w:val="en-US"/>
                </w:rPr>
                <w:t>s.l.: s.n.</w:t>
              </w:r>
            </w:p>
            <w:p w14:paraId="7147E87E" w14:textId="77777777" w:rsidR="007573E2" w:rsidRDefault="007573E2" w:rsidP="007573E2">
              <w:pPr>
                <w:pStyle w:val="Bibliography"/>
                <w:rPr>
                  <w:noProof/>
                  <w:lang w:val="en-US"/>
                </w:rPr>
              </w:pPr>
              <w:r>
                <w:rPr>
                  <w:noProof/>
                  <w:lang w:val="en-US"/>
                </w:rPr>
                <w:t xml:space="preserve">T.L.R.P Wales, 2010. </w:t>
              </w:r>
              <w:r>
                <w:rPr>
                  <w:i/>
                  <w:iCs/>
                  <w:noProof/>
                  <w:lang w:val="en-US"/>
                </w:rPr>
                <w:t xml:space="preserve">Social Inclusion, </w:t>
              </w:r>
              <w:r>
                <w:rPr>
                  <w:noProof/>
                  <w:lang w:val="en-US"/>
                </w:rPr>
                <w:t>Cardiff: Welsh Government.</w:t>
              </w:r>
            </w:p>
            <w:p w14:paraId="6EAF1A17" w14:textId="77777777" w:rsidR="007573E2" w:rsidRDefault="007573E2" w:rsidP="007573E2">
              <w:pPr>
                <w:pStyle w:val="Bibliography"/>
                <w:rPr>
                  <w:noProof/>
                  <w:lang w:val="en-US"/>
                </w:rPr>
              </w:pPr>
              <w:r>
                <w:rPr>
                  <w:noProof/>
                  <w:lang w:val="en-US"/>
                </w:rPr>
                <w:t xml:space="preserve">Welsh Government, 2014. </w:t>
              </w:r>
              <w:r>
                <w:rPr>
                  <w:i/>
                  <w:iCs/>
                  <w:noProof/>
                  <w:lang w:val="en-US"/>
                </w:rPr>
                <w:t xml:space="preserve">Rewriting the Future, </w:t>
              </w:r>
              <w:r>
                <w:rPr>
                  <w:noProof/>
                  <w:lang w:val="en-US"/>
                </w:rPr>
                <w:t>s.l.: s.n.</w:t>
              </w:r>
            </w:p>
            <w:p w14:paraId="4E88C8FC" w14:textId="77777777" w:rsidR="007573E2" w:rsidRDefault="007573E2" w:rsidP="007573E2">
              <w:pPr>
                <w:pStyle w:val="Bibliography"/>
                <w:rPr>
                  <w:noProof/>
                  <w:lang w:val="en-US"/>
                </w:rPr>
              </w:pPr>
              <w:r>
                <w:rPr>
                  <w:noProof/>
                  <w:lang w:val="en-US"/>
                </w:rPr>
                <w:t xml:space="preserve">Welsh Government, 2015. </w:t>
              </w:r>
              <w:r>
                <w:rPr>
                  <w:i/>
                  <w:iCs/>
                  <w:noProof/>
                  <w:lang w:val="en-US"/>
                </w:rPr>
                <w:t xml:space="preserve">Child Poverty Strategy for Wales, </w:t>
              </w:r>
              <w:r>
                <w:rPr>
                  <w:noProof/>
                  <w:lang w:val="en-US"/>
                </w:rPr>
                <w:t>Cardiff: Welsh Government.</w:t>
              </w:r>
            </w:p>
            <w:p w14:paraId="70934349" w14:textId="77777777" w:rsidR="007573E2" w:rsidRDefault="007573E2" w:rsidP="007573E2">
              <w:pPr>
                <w:pStyle w:val="Bibliography"/>
                <w:rPr>
                  <w:noProof/>
                  <w:lang w:val="en-US"/>
                </w:rPr>
              </w:pPr>
              <w:r>
                <w:rPr>
                  <w:noProof/>
                  <w:lang w:val="en-US"/>
                </w:rPr>
                <w:t xml:space="preserve">Welsh Government, 2018. </w:t>
              </w:r>
              <w:r>
                <w:rPr>
                  <w:i/>
                  <w:iCs/>
                  <w:noProof/>
                  <w:lang w:val="en-US"/>
                </w:rPr>
                <w:t xml:space="preserve">How will the Act affect maintained schools (including maintained nurseries)?. </w:t>
              </w:r>
              <w:r>
                <w:rPr>
                  <w:noProof/>
                  <w:lang w:val="en-US"/>
                </w:rPr>
                <w:t>Cardiff: Welsh Government.</w:t>
              </w:r>
            </w:p>
            <w:p w14:paraId="5C893C42" w14:textId="77777777" w:rsidR="007573E2" w:rsidRDefault="007573E2" w:rsidP="007573E2">
              <w:pPr>
                <w:pStyle w:val="Bibliography"/>
                <w:rPr>
                  <w:noProof/>
                  <w:lang w:val="en-US"/>
                </w:rPr>
              </w:pPr>
              <w:r>
                <w:rPr>
                  <w:noProof/>
                  <w:lang w:val="en-US"/>
                </w:rPr>
                <w:t xml:space="preserve">Welsh Government, 2019. </w:t>
              </w:r>
              <w:r>
                <w:rPr>
                  <w:i/>
                  <w:iCs/>
                  <w:noProof/>
                  <w:lang w:val="en-US"/>
                </w:rPr>
                <w:t xml:space="preserve">Support for Children and Young People with Autistic Spectrum Disorder (ASD) in educational settings, </w:t>
              </w:r>
              <w:r>
                <w:rPr>
                  <w:noProof/>
                  <w:lang w:val="en-US"/>
                </w:rPr>
                <w:t>s.l.: s.n.</w:t>
              </w:r>
            </w:p>
            <w:p w14:paraId="17D989D2" w14:textId="77777777" w:rsidR="007573E2" w:rsidRDefault="007573E2" w:rsidP="007573E2">
              <w:pPr>
                <w:pStyle w:val="Bibliography"/>
                <w:rPr>
                  <w:noProof/>
                  <w:lang w:val="en-US"/>
                </w:rPr>
              </w:pPr>
              <w:r>
                <w:rPr>
                  <w:noProof/>
                  <w:lang w:val="en-US"/>
                </w:rPr>
                <w:t xml:space="preserve">Welsh Government, 2020. </w:t>
              </w:r>
              <w:r>
                <w:rPr>
                  <w:i/>
                  <w:iCs/>
                  <w:noProof/>
                  <w:lang w:val="en-US"/>
                </w:rPr>
                <w:t xml:space="preserve">Curriculum for Wales guidance, </w:t>
              </w:r>
              <w:r>
                <w:rPr>
                  <w:noProof/>
                  <w:lang w:val="en-US"/>
                </w:rPr>
                <w:t>Cardiff: Welsh Government.</w:t>
              </w:r>
            </w:p>
            <w:p w14:paraId="3EF91808" w14:textId="7C5F7C6D" w:rsidR="007573E2" w:rsidRDefault="007573E2" w:rsidP="007573E2">
              <w:r>
                <w:rPr>
                  <w:b/>
                  <w:bCs/>
                  <w:noProof/>
                </w:rPr>
                <w:fldChar w:fldCharType="end"/>
              </w:r>
            </w:p>
          </w:sdtContent>
        </w:sdt>
      </w:sdtContent>
    </w:sdt>
    <w:p w14:paraId="488294F0" w14:textId="742E93BA" w:rsidR="008057FE" w:rsidRPr="007E3CFF" w:rsidRDefault="008057FE" w:rsidP="007E3CFF"/>
    <w:sectPr w:rsidR="008057FE" w:rsidRPr="007E3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C86"/>
    <w:rsid w:val="0000166B"/>
    <w:rsid w:val="00020D1E"/>
    <w:rsid w:val="00024CBE"/>
    <w:rsid w:val="00074E02"/>
    <w:rsid w:val="000810AD"/>
    <w:rsid w:val="000F2A91"/>
    <w:rsid w:val="0010554B"/>
    <w:rsid w:val="00122AB0"/>
    <w:rsid w:val="00152DA4"/>
    <w:rsid w:val="0016435E"/>
    <w:rsid w:val="00182814"/>
    <w:rsid w:val="00183C86"/>
    <w:rsid w:val="001B1D64"/>
    <w:rsid w:val="001C2E53"/>
    <w:rsid w:val="002A6F9E"/>
    <w:rsid w:val="002F5934"/>
    <w:rsid w:val="003134D3"/>
    <w:rsid w:val="00321D02"/>
    <w:rsid w:val="00351AE6"/>
    <w:rsid w:val="003615BA"/>
    <w:rsid w:val="003817BD"/>
    <w:rsid w:val="0038253E"/>
    <w:rsid w:val="003E5AE1"/>
    <w:rsid w:val="00455F00"/>
    <w:rsid w:val="00471B46"/>
    <w:rsid w:val="00481802"/>
    <w:rsid w:val="004D63BC"/>
    <w:rsid w:val="004F7E40"/>
    <w:rsid w:val="0050191A"/>
    <w:rsid w:val="005449A2"/>
    <w:rsid w:val="00547269"/>
    <w:rsid w:val="0058791F"/>
    <w:rsid w:val="006732F6"/>
    <w:rsid w:val="006A0131"/>
    <w:rsid w:val="006C217D"/>
    <w:rsid w:val="006E0337"/>
    <w:rsid w:val="00737BEF"/>
    <w:rsid w:val="00752B06"/>
    <w:rsid w:val="00754256"/>
    <w:rsid w:val="007573E2"/>
    <w:rsid w:val="007B1E11"/>
    <w:rsid w:val="007C5D90"/>
    <w:rsid w:val="007E3CFF"/>
    <w:rsid w:val="008057FE"/>
    <w:rsid w:val="008273C6"/>
    <w:rsid w:val="008416F5"/>
    <w:rsid w:val="008D3754"/>
    <w:rsid w:val="00951F08"/>
    <w:rsid w:val="00957510"/>
    <w:rsid w:val="00AE4B82"/>
    <w:rsid w:val="00AF6A3C"/>
    <w:rsid w:val="00B101CF"/>
    <w:rsid w:val="00B36B1B"/>
    <w:rsid w:val="00B43D48"/>
    <w:rsid w:val="00B569F7"/>
    <w:rsid w:val="00B87AEB"/>
    <w:rsid w:val="00BD19D7"/>
    <w:rsid w:val="00BF10EE"/>
    <w:rsid w:val="00BF4B5A"/>
    <w:rsid w:val="00C1484C"/>
    <w:rsid w:val="00C55586"/>
    <w:rsid w:val="00CB210C"/>
    <w:rsid w:val="00CB3589"/>
    <w:rsid w:val="00CD45FA"/>
    <w:rsid w:val="00CD7FDD"/>
    <w:rsid w:val="00CE65C4"/>
    <w:rsid w:val="00D4325F"/>
    <w:rsid w:val="00DB63C6"/>
    <w:rsid w:val="00E2338F"/>
    <w:rsid w:val="00E531B9"/>
    <w:rsid w:val="00E7044C"/>
    <w:rsid w:val="00E83E02"/>
    <w:rsid w:val="00EB7F6E"/>
    <w:rsid w:val="00EE2C26"/>
    <w:rsid w:val="00F1139C"/>
    <w:rsid w:val="00F67FCC"/>
    <w:rsid w:val="00F8199F"/>
    <w:rsid w:val="00FC4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2831"/>
  <w15:chartTrackingRefBased/>
  <w15:docId w15:val="{63F408D3-0145-4294-871F-D55BBC84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3E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3E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573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046945">
      <w:bodyDiv w:val="1"/>
      <w:marLeft w:val="0"/>
      <w:marRight w:val="0"/>
      <w:marTop w:val="0"/>
      <w:marBottom w:val="0"/>
      <w:divBdr>
        <w:top w:val="none" w:sz="0" w:space="0" w:color="auto"/>
        <w:left w:val="none" w:sz="0" w:space="0" w:color="auto"/>
        <w:bottom w:val="none" w:sz="0" w:space="0" w:color="auto"/>
        <w:right w:val="none" w:sz="0" w:space="0" w:color="auto"/>
      </w:divBdr>
    </w:div>
    <w:div w:id="64574090">
      <w:bodyDiv w:val="1"/>
      <w:marLeft w:val="0"/>
      <w:marRight w:val="0"/>
      <w:marTop w:val="0"/>
      <w:marBottom w:val="0"/>
      <w:divBdr>
        <w:top w:val="none" w:sz="0" w:space="0" w:color="auto"/>
        <w:left w:val="none" w:sz="0" w:space="0" w:color="auto"/>
        <w:bottom w:val="none" w:sz="0" w:space="0" w:color="auto"/>
        <w:right w:val="none" w:sz="0" w:space="0" w:color="auto"/>
      </w:divBdr>
    </w:div>
    <w:div w:id="66538918">
      <w:bodyDiv w:val="1"/>
      <w:marLeft w:val="0"/>
      <w:marRight w:val="0"/>
      <w:marTop w:val="0"/>
      <w:marBottom w:val="0"/>
      <w:divBdr>
        <w:top w:val="none" w:sz="0" w:space="0" w:color="auto"/>
        <w:left w:val="none" w:sz="0" w:space="0" w:color="auto"/>
        <w:bottom w:val="none" w:sz="0" w:space="0" w:color="auto"/>
        <w:right w:val="none" w:sz="0" w:space="0" w:color="auto"/>
      </w:divBdr>
    </w:div>
    <w:div w:id="140539506">
      <w:bodyDiv w:val="1"/>
      <w:marLeft w:val="0"/>
      <w:marRight w:val="0"/>
      <w:marTop w:val="0"/>
      <w:marBottom w:val="0"/>
      <w:divBdr>
        <w:top w:val="none" w:sz="0" w:space="0" w:color="auto"/>
        <w:left w:val="none" w:sz="0" w:space="0" w:color="auto"/>
        <w:bottom w:val="none" w:sz="0" w:space="0" w:color="auto"/>
        <w:right w:val="none" w:sz="0" w:space="0" w:color="auto"/>
      </w:divBdr>
    </w:div>
    <w:div w:id="218983768">
      <w:bodyDiv w:val="1"/>
      <w:marLeft w:val="0"/>
      <w:marRight w:val="0"/>
      <w:marTop w:val="0"/>
      <w:marBottom w:val="0"/>
      <w:divBdr>
        <w:top w:val="none" w:sz="0" w:space="0" w:color="auto"/>
        <w:left w:val="none" w:sz="0" w:space="0" w:color="auto"/>
        <w:bottom w:val="none" w:sz="0" w:space="0" w:color="auto"/>
        <w:right w:val="none" w:sz="0" w:space="0" w:color="auto"/>
      </w:divBdr>
    </w:div>
    <w:div w:id="219173919">
      <w:bodyDiv w:val="1"/>
      <w:marLeft w:val="0"/>
      <w:marRight w:val="0"/>
      <w:marTop w:val="0"/>
      <w:marBottom w:val="0"/>
      <w:divBdr>
        <w:top w:val="none" w:sz="0" w:space="0" w:color="auto"/>
        <w:left w:val="none" w:sz="0" w:space="0" w:color="auto"/>
        <w:bottom w:val="none" w:sz="0" w:space="0" w:color="auto"/>
        <w:right w:val="none" w:sz="0" w:space="0" w:color="auto"/>
      </w:divBdr>
    </w:div>
    <w:div w:id="342705099">
      <w:bodyDiv w:val="1"/>
      <w:marLeft w:val="0"/>
      <w:marRight w:val="0"/>
      <w:marTop w:val="0"/>
      <w:marBottom w:val="0"/>
      <w:divBdr>
        <w:top w:val="none" w:sz="0" w:space="0" w:color="auto"/>
        <w:left w:val="none" w:sz="0" w:space="0" w:color="auto"/>
        <w:bottom w:val="none" w:sz="0" w:space="0" w:color="auto"/>
        <w:right w:val="none" w:sz="0" w:space="0" w:color="auto"/>
      </w:divBdr>
    </w:div>
    <w:div w:id="361052584">
      <w:bodyDiv w:val="1"/>
      <w:marLeft w:val="0"/>
      <w:marRight w:val="0"/>
      <w:marTop w:val="0"/>
      <w:marBottom w:val="0"/>
      <w:divBdr>
        <w:top w:val="none" w:sz="0" w:space="0" w:color="auto"/>
        <w:left w:val="none" w:sz="0" w:space="0" w:color="auto"/>
        <w:bottom w:val="none" w:sz="0" w:space="0" w:color="auto"/>
        <w:right w:val="none" w:sz="0" w:space="0" w:color="auto"/>
      </w:divBdr>
    </w:div>
    <w:div w:id="393159735">
      <w:bodyDiv w:val="1"/>
      <w:marLeft w:val="0"/>
      <w:marRight w:val="0"/>
      <w:marTop w:val="0"/>
      <w:marBottom w:val="0"/>
      <w:divBdr>
        <w:top w:val="none" w:sz="0" w:space="0" w:color="auto"/>
        <w:left w:val="none" w:sz="0" w:space="0" w:color="auto"/>
        <w:bottom w:val="none" w:sz="0" w:space="0" w:color="auto"/>
        <w:right w:val="none" w:sz="0" w:space="0" w:color="auto"/>
      </w:divBdr>
    </w:div>
    <w:div w:id="463350759">
      <w:bodyDiv w:val="1"/>
      <w:marLeft w:val="0"/>
      <w:marRight w:val="0"/>
      <w:marTop w:val="0"/>
      <w:marBottom w:val="0"/>
      <w:divBdr>
        <w:top w:val="none" w:sz="0" w:space="0" w:color="auto"/>
        <w:left w:val="none" w:sz="0" w:space="0" w:color="auto"/>
        <w:bottom w:val="none" w:sz="0" w:space="0" w:color="auto"/>
        <w:right w:val="none" w:sz="0" w:space="0" w:color="auto"/>
      </w:divBdr>
    </w:div>
    <w:div w:id="529419065">
      <w:bodyDiv w:val="1"/>
      <w:marLeft w:val="0"/>
      <w:marRight w:val="0"/>
      <w:marTop w:val="0"/>
      <w:marBottom w:val="0"/>
      <w:divBdr>
        <w:top w:val="none" w:sz="0" w:space="0" w:color="auto"/>
        <w:left w:val="none" w:sz="0" w:space="0" w:color="auto"/>
        <w:bottom w:val="none" w:sz="0" w:space="0" w:color="auto"/>
        <w:right w:val="none" w:sz="0" w:space="0" w:color="auto"/>
      </w:divBdr>
    </w:div>
    <w:div w:id="607813372">
      <w:bodyDiv w:val="1"/>
      <w:marLeft w:val="0"/>
      <w:marRight w:val="0"/>
      <w:marTop w:val="0"/>
      <w:marBottom w:val="0"/>
      <w:divBdr>
        <w:top w:val="none" w:sz="0" w:space="0" w:color="auto"/>
        <w:left w:val="none" w:sz="0" w:space="0" w:color="auto"/>
        <w:bottom w:val="none" w:sz="0" w:space="0" w:color="auto"/>
        <w:right w:val="none" w:sz="0" w:space="0" w:color="auto"/>
      </w:divBdr>
    </w:div>
    <w:div w:id="736786205">
      <w:bodyDiv w:val="1"/>
      <w:marLeft w:val="0"/>
      <w:marRight w:val="0"/>
      <w:marTop w:val="0"/>
      <w:marBottom w:val="0"/>
      <w:divBdr>
        <w:top w:val="none" w:sz="0" w:space="0" w:color="auto"/>
        <w:left w:val="none" w:sz="0" w:space="0" w:color="auto"/>
        <w:bottom w:val="none" w:sz="0" w:space="0" w:color="auto"/>
        <w:right w:val="none" w:sz="0" w:space="0" w:color="auto"/>
      </w:divBdr>
    </w:div>
    <w:div w:id="796067785">
      <w:bodyDiv w:val="1"/>
      <w:marLeft w:val="0"/>
      <w:marRight w:val="0"/>
      <w:marTop w:val="0"/>
      <w:marBottom w:val="0"/>
      <w:divBdr>
        <w:top w:val="none" w:sz="0" w:space="0" w:color="auto"/>
        <w:left w:val="none" w:sz="0" w:space="0" w:color="auto"/>
        <w:bottom w:val="none" w:sz="0" w:space="0" w:color="auto"/>
        <w:right w:val="none" w:sz="0" w:space="0" w:color="auto"/>
      </w:divBdr>
    </w:div>
    <w:div w:id="805397085">
      <w:bodyDiv w:val="1"/>
      <w:marLeft w:val="0"/>
      <w:marRight w:val="0"/>
      <w:marTop w:val="0"/>
      <w:marBottom w:val="0"/>
      <w:divBdr>
        <w:top w:val="none" w:sz="0" w:space="0" w:color="auto"/>
        <w:left w:val="none" w:sz="0" w:space="0" w:color="auto"/>
        <w:bottom w:val="none" w:sz="0" w:space="0" w:color="auto"/>
        <w:right w:val="none" w:sz="0" w:space="0" w:color="auto"/>
      </w:divBdr>
    </w:div>
    <w:div w:id="805586388">
      <w:bodyDiv w:val="1"/>
      <w:marLeft w:val="0"/>
      <w:marRight w:val="0"/>
      <w:marTop w:val="0"/>
      <w:marBottom w:val="0"/>
      <w:divBdr>
        <w:top w:val="none" w:sz="0" w:space="0" w:color="auto"/>
        <w:left w:val="none" w:sz="0" w:space="0" w:color="auto"/>
        <w:bottom w:val="none" w:sz="0" w:space="0" w:color="auto"/>
        <w:right w:val="none" w:sz="0" w:space="0" w:color="auto"/>
      </w:divBdr>
    </w:div>
    <w:div w:id="866217288">
      <w:bodyDiv w:val="1"/>
      <w:marLeft w:val="0"/>
      <w:marRight w:val="0"/>
      <w:marTop w:val="0"/>
      <w:marBottom w:val="0"/>
      <w:divBdr>
        <w:top w:val="none" w:sz="0" w:space="0" w:color="auto"/>
        <w:left w:val="none" w:sz="0" w:space="0" w:color="auto"/>
        <w:bottom w:val="none" w:sz="0" w:space="0" w:color="auto"/>
        <w:right w:val="none" w:sz="0" w:space="0" w:color="auto"/>
      </w:divBdr>
    </w:div>
    <w:div w:id="891888554">
      <w:bodyDiv w:val="1"/>
      <w:marLeft w:val="0"/>
      <w:marRight w:val="0"/>
      <w:marTop w:val="0"/>
      <w:marBottom w:val="0"/>
      <w:divBdr>
        <w:top w:val="none" w:sz="0" w:space="0" w:color="auto"/>
        <w:left w:val="none" w:sz="0" w:space="0" w:color="auto"/>
        <w:bottom w:val="none" w:sz="0" w:space="0" w:color="auto"/>
        <w:right w:val="none" w:sz="0" w:space="0" w:color="auto"/>
      </w:divBdr>
    </w:div>
    <w:div w:id="986209504">
      <w:bodyDiv w:val="1"/>
      <w:marLeft w:val="0"/>
      <w:marRight w:val="0"/>
      <w:marTop w:val="0"/>
      <w:marBottom w:val="0"/>
      <w:divBdr>
        <w:top w:val="none" w:sz="0" w:space="0" w:color="auto"/>
        <w:left w:val="none" w:sz="0" w:space="0" w:color="auto"/>
        <w:bottom w:val="none" w:sz="0" w:space="0" w:color="auto"/>
        <w:right w:val="none" w:sz="0" w:space="0" w:color="auto"/>
      </w:divBdr>
    </w:div>
    <w:div w:id="1095247791">
      <w:bodyDiv w:val="1"/>
      <w:marLeft w:val="0"/>
      <w:marRight w:val="0"/>
      <w:marTop w:val="0"/>
      <w:marBottom w:val="0"/>
      <w:divBdr>
        <w:top w:val="none" w:sz="0" w:space="0" w:color="auto"/>
        <w:left w:val="none" w:sz="0" w:space="0" w:color="auto"/>
        <w:bottom w:val="none" w:sz="0" w:space="0" w:color="auto"/>
        <w:right w:val="none" w:sz="0" w:space="0" w:color="auto"/>
      </w:divBdr>
    </w:div>
    <w:div w:id="1121651285">
      <w:bodyDiv w:val="1"/>
      <w:marLeft w:val="0"/>
      <w:marRight w:val="0"/>
      <w:marTop w:val="0"/>
      <w:marBottom w:val="0"/>
      <w:divBdr>
        <w:top w:val="none" w:sz="0" w:space="0" w:color="auto"/>
        <w:left w:val="none" w:sz="0" w:space="0" w:color="auto"/>
        <w:bottom w:val="none" w:sz="0" w:space="0" w:color="auto"/>
        <w:right w:val="none" w:sz="0" w:space="0" w:color="auto"/>
      </w:divBdr>
    </w:div>
    <w:div w:id="1148743299">
      <w:bodyDiv w:val="1"/>
      <w:marLeft w:val="0"/>
      <w:marRight w:val="0"/>
      <w:marTop w:val="0"/>
      <w:marBottom w:val="0"/>
      <w:divBdr>
        <w:top w:val="none" w:sz="0" w:space="0" w:color="auto"/>
        <w:left w:val="none" w:sz="0" w:space="0" w:color="auto"/>
        <w:bottom w:val="none" w:sz="0" w:space="0" w:color="auto"/>
        <w:right w:val="none" w:sz="0" w:space="0" w:color="auto"/>
      </w:divBdr>
    </w:div>
    <w:div w:id="1174492307">
      <w:bodyDiv w:val="1"/>
      <w:marLeft w:val="0"/>
      <w:marRight w:val="0"/>
      <w:marTop w:val="0"/>
      <w:marBottom w:val="0"/>
      <w:divBdr>
        <w:top w:val="none" w:sz="0" w:space="0" w:color="auto"/>
        <w:left w:val="none" w:sz="0" w:space="0" w:color="auto"/>
        <w:bottom w:val="none" w:sz="0" w:space="0" w:color="auto"/>
        <w:right w:val="none" w:sz="0" w:space="0" w:color="auto"/>
      </w:divBdr>
    </w:div>
    <w:div w:id="1192379671">
      <w:bodyDiv w:val="1"/>
      <w:marLeft w:val="0"/>
      <w:marRight w:val="0"/>
      <w:marTop w:val="0"/>
      <w:marBottom w:val="0"/>
      <w:divBdr>
        <w:top w:val="none" w:sz="0" w:space="0" w:color="auto"/>
        <w:left w:val="none" w:sz="0" w:space="0" w:color="auto"/>
        <w:bottom w:val="none" w:sz="0" w:space="0" w:color="auto"/>
        <w:right w:val="none" w:sz="0" w:space="0" w:color="auto"/>
      </w:divBdr>
    </w:div>
    <w:div w:id="1202749421">
      <w:bodyDiv w:val="1"/>
      <w:marLeft w:val="0"/>
      <w:marRight w:val="0"/>
      <w:marTop w:val="0"/>
      <w:marBottom w:val="0"/>
      <w:divBdr>
        <w:top w:val="none" w:sz="0" w:space="0" w:color="auto"/>
        <w:left w:val="none" w:sz="0" w:space="0" w:color="auto"/>
        <w:bottom w:val="none" w:sz="0" w:space="0" w:color="auto"/>
        <w:right w:val="none" w:sz="0" w:space="0" w:color="auto"/>
      </w:divBdr>
    </w:div>
    <w:div w:id="1247105956">
      <w:bodyDiv w:val="1"/>
      <w:marLeft w:val="0"/>
      <w:marRight w:val="0"/>
      <w:marTop w:val="0"/>
      <w:marBottom w:val="0"/>
      <w:divBdr>
        <w:top w:val="none" w:sz="0" w:space="0" w:color="auto"/>
        <w:left w:val="none" w:sz="0" w:space="0" w:color="auto"/>
        <w:bottom w:val="none" w:sz="0" w:space="0" w:color="auto"/>
        <w:right w:val="none" w:sz="0" w:space="0" w:color="auto"/>
      </w:divBdr>
    </w:div>
    <w:div w:id="1383023503">
      <w:bodyDiv w:val="1"/>
      <w:marLeft w:val="0"/>
      <w:marRight w:val="0"/>
      <w:marTop w:val="0"/>
      <w:marBottom w:val="0"/>
      <w:divBdr>
        <w:top w:val="none" w:sz="0" w:space="0" w:color="auto"/>
        <w:left w:val="none" w:sz="0" w:space="0" w:color="auto"/>
        <w:bottom w:val="none" w:sz="0" w:space="0" w:color="auto"/>
        <w:right w:val="none" w:sz="0" w:space="0" w:color="auto"/>
      </w:divBdr>
    </w:div>
    <w:div w:id="1410427045">
      <w:bodyDiv w:val="1"/>
      <w:marLeft w:val="0"/>
      <w:marRight w:val="0"/>
      <w:marTop w:val="0"/>
      <w:marBottom w:val="0"/>
      <w:divBdr>
        <w:top w:val="none" w:sz="0" w:space="0" w:color="auto"/>
        <w:left w:val="none" w:sz="0" w:space="0" w:color="auto"/>
        <w:bottom w:val="none" w:sz="0" w:space="0" w:color="auto"/>
        <w:right w:val="none" w:sz="0" w:space="0" w:color="auto"/>
      </w:divBdr>
    </w:div>
    <w:div w:id="1455712339">
      <w:bodyDiv w:val="1"/>
      <w:marLeft w:val="0"/>
      <w:marRight w:val="0"/>
      <w:marTop w:val="0"/>
      <w:marBottom w:val="0"/>
      <w:divBdr>
        <w:top w:val="none" w:sz="0" w:space="0" w:color="auto"/>
        <w:left w:val="none" w:sz="0" w:space="0" w:color="auto"/>
        <w:bottom w:val="none" w:sz="0" w:space="0" w:color="auto"/>
        <w:right w:val="none" w:sz="0" w:space="0" w:color="auto"/>
      </w:divBdr>
    </w:div>
    <w:div w:id="1473912410">
      <w:bodyDiv w:val="1"/>
      <w:marLeft w:val="0"/>
      <w:marRight w:val="0"/>
      <w:marTop w:val="0"/>
      <w:marBottom w:val="0"/>
      <w:divBdr>
        <w:top w:val="none" w:sz="0" w:space="0" w:color="auto"/>
        <w:left w:val="none" w:sz="0" w:space="0" w:color="auto"/>
        <w:bottom w:val="none" w:sz="0" w:space="0" w:color="auto"/>
        <w:right w:val="none" w:sz="0" w:space="0" w:color="auto"/>
      </w:divBdr>
    </w:div>
    <w:div w:id="1476799236">
      <w:bodyDiv w:val="1"/>
      <w:marLeft w:val="0"/>
      <w:marRight w:val="0"/>
      <w:marTop w:val="0"/>
      <w:marBottom w:val="0"/>
      <w:divBdr>
        <w:top w:val="none" w:sz="0" w:space="0" w:color="auto"/>
        <w:left w:val="none" w:sz="0" w:space="0" w:color="auto"/>
        <w:bottom w:val="none" w:sz="0" w:space="0" w:color="auto"/>
        <w:right w:val="none" w:sz="0" w:space="0" w:color="auto"/>
      </w:divBdr>
    </w:div>
    <w:div w:id="1480344510">
      <w:bodyDiv w:val="1"/>
      <w:marLeft w:val="0"/>
      <w:marRight w:val="0"/>
      <w:marTop w:val="0"/>
      <w:marBottom w:val="0"/>
      <w:divBdr>
        <w:top w:val="none" w:sz="0" w:space="0" w:color="auto"/>
        <w:left w:val="none" w:sz="0" w:space="0" w:color="auto"/>
        <w:bottom w:val="none" w:sz="0" w:space="0" w:color="auto"/>
        <w:right w:val="none" w:sz="0" w:space="0" w:color="auto"/>
      </w:divBdr>
    </w:div>
    <w:div w:id="1529299548">
      <w:bodyDiv w:val="1"/>
      <w:marLeft w:val="0"/>
      <w:marRight w:val="0"/>
      <w:marTop w:val="0"/>
      <w:marBottom w:val="0"/>
      <w:divBdr>
        <w:top w:val="none" w:sz="0" w:space="0" w:color="auto"/>
        <w:left w:val="none" w:sz="0" w:space="0" w:color="auto"/>
        <w:bottom w:val="none" w:sz="0" w:space="0" w:color="auto"/>
        <w:right w:val="none" w:sz="0" w:space="0" w:color="auto"/>
      </w:divBdr>
    </w:div>
    <w:div w:id="1673534247">
      <w:bodyDiv w:val="1"/>
      <w:marLeft w:val="0"/>
      <w:marRight w:val="0"/>
      <w:marTop w:val="0"/>
      <w:marBottom w:val="0"/>
      <w:divBdr>
        <w:top w:val="none" w:sz="0" w:space="0" w:color="auto"/>
        <w:left w:val="none" w:sz="0" w:space="0" w:color="auto"/>
        <w:bottom w:val="none" w:sz="0" w:space="0" w:color="auto"/>
        <w:right w:val="none" w:sz="0" w:space="0" w:color="auto"/>
      </w:divBdr>
    </w:div>
    <w:div w:id="1876307407">
      <w:bodyDiv w:val="1"/>
      <w:marLeft w:val="0"/>
      <w:marRight w:val="0"/>
      <w:marTop w:val="0"/>
      <w:marBottom w:val="0"/>
      <w:divBdr>
        <w:top w:val="none" w:sz="0" w:space="0" w:color="auto"/>
        <w:left w:val="none" w:sz="0" w:space="0" w:color="auto"/>
        <w:bottom w:val="none" w:sz="0" w:space="0" w:color="auto"/>
        <w:right w:val="none" w:sz="0" w:space="0" w:color="auto"/>
      </w:divBdr>
    </w:div>
    <w:div w:id="1908101414">
      <w:bodyDiv w:val="1"/>
      <w:marLeft w:val="0"/>
      <w:marRight w:val="0"/>
      <w:marTop w:val="0"/>
      <w:marBottom w:val="0"/>
      <w:divBdr>
        <w:top w:val="none" w:sz="0" w:space="0" w:color="auto"/>
        <w:left w:val="none" w:sz="0" w:space="0" w:color="auto"/>
        <w:bottom w:val="none" w:sz="0" w:space="0" w:color="auto"/>
        <w:right w:val="none" w:sz="0" w:space="0" w:color="auto"/>
      </w:divBdr>
    </w:div>
    <w:div w:id="1964655080">
      <w:bodyDiv w:val="1"/>
      <w:marLeft w:val="0"/>
      <w:marRight w:val="0"/>
      <w:marTop w:val="0"/>
      <w:marBottom w:val="0"/>
      <w:divBdr>
        <w:top w:val="none" w:sz="0" w:space="0" w:color="auto"/>
        <w:left w:val="none" w:sz="0" w:space="0" w:color="auto"/>
        <w:bottom w:val="none" w:sz="0" w:space="0" w:color="auto"/>
        <w:right w:val="none" w:sz="0" w:space="0" w:color="auto"/>
      </w:divBdr>
    </w:div>
    <w:div w:id="2001812753">
      <w:bodyDiv w:val="1"/>
      <w:marLeft w:val="0"/>
      <w:marRight w:val="0"/>
      <w:marTop w:val="0"/>
      <w:marBottom w:val="0"/>
      <w:divBdr>
        <w:top w:val="none" w:sz="0" w:space="0" w:color="auto"/>
        <w:left w:val="none" w:sz="0" w:space="0" w:color="auto"/>
        <w:bottom w:val="none" w:sz="0" w:space="0" w:color="auto"/>
        <w:right w:val="none" w:sz="0" w:space="0" w:color="auto"/>
      </w:divBdr>
    </w:div>
    <w:div w:id="2055616031">
      <w:bodyDiv w:val="1"/>
      <w:marLeft w:val="0"/>
      <w:marRight w:val="0"/>
      <w:marTop w:val="0"/>
      <w:marBottom w:val="0"/>
      <w:divBdr>
        <w:top w:val="none" w:sz="0" w:space="0" w:color="auto"/>
        <w:left w:val="none" w:sz="0" w:space="0" w:color="auto"/>
        <w:bottom w:val="none" w:sz="0" w:space="0" w:color="auto"/>
        <w:right w:val="none" w:sz="0" w:space="0" w:color="auto"/>
      </w:divBdr>
    </w:div>
    <w:div w:id="2120949691">
      <w:bodyDiv w:val="1"/>
      <w:marLeft w:val="0"/>
      <w:marRight w:val="0"/>
      <w:marTop w:val="0"/>
      <w:marBottom w:val="0"/>
      <w:divBdr>
        <w:top w:val="none" w:sz="0" w:space="0" w:color="auto"/>
        <w:left w:val="none" w:sz="0" w:space="0" w:color="auto"/>
        <w:bottom w:val="none" w:sz="0" w:space="0" w:color="auto"/>
        <w:right w:val="none" w:sz="0" w:space="0" w:color="auto"/>
      </w:divBdr>
    </w:div>
    <w:div w:id="212168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Col20</b:Tag>
    <b:SourceType>JournalArticle</b:SourceType>
    <b:Guid>{FA439179-A30C-46C3-B420-E92CD7C0B230}</b:Guid>
    <b:Title>The Relationship of Special Education Placement and Student Academic Outcomes</b:Title>
    <b:Year>2020</b:Year>
    <b:YearAccessed>2020</b:YearAccessed>
    <b:MonthAccessed>11</b:MonthAccessed>
    <b:DayAccessed>26</b:DayAccessed>
    <b:URL>https://doi-org.ezproxy.uwtsd.ac.uk/10.1177%2F0022466920925033</b:URL>
    <b:Author>
      <b:Author>
        <b:NameList>
          <b:Person>
            <b:Last>Cole</b:Last>
            <b:First>S.,</b:First>
            <b:Middle>Murphy, H., Frisby, B., Grossi, T., and Bolte, H.</b:Middle>
          </b:Person>
        </b:NameList>
      </b:Author>
    </b:Author>
    <b:JournalName>The Journal of Special Education</b:JournalName>
    <b:Medium>Online</b:Medium>
    <b:RefOrder>1</b:RefOrder>
  </b:Source>
  <b:Source>
    <b:Tag>Sta20</b:Tag>
    <b:SourceType>Report</b:SourceType>
    <b:Guid>{47034C37-34BB-4107-BBEC-2FF63509CDE7}</b:Guid>
    <b:Title>Pupils with special educational needs by sector and year</b:Title>
    <b:Year>2020</b:Year>
    <b:Author>
      <b:Author>
        <b:Corporate>StatsWales</b:Corporate>
      </b:Author>
    </b:Author>
    <b:YearAccessed>2020</b:YearAccessed>
    <b:MonthAccessed>11</b:MonthAccessed>
    <b:DayAccessed>26</b:DayAccessed>
    <b:URL>https://statswales.gov.wales/Catalogue/Education-and-Skills/Schools-and-Teachers/Schools-Census/Pupil-Level-Annual-School-Census/Special-Educational-Needs/pupilssen-by-sector-year</b:URL>
    <b:RefOrder>2</b:RefOrder>
  </b:Source>
  <b:Source>
    <b:Tag>EAC20</b:Tag>
    <b:SourceType>InternetSite</b:SourceType>
    <b:Guid>{B4F2714B-681A-4DF2-9C1C-A530775F4F20}</b:Guid>
    <b:Title>Strategy for the social inclusion of young people (Wales)</b:Title>
    <b:Year>2020</b:Year>
    <b:Author>
      <b:Author>
        <b:Corporate>EACEA</b:Corporate>
      </b:Author>
    </b:Author>
    <b:YearAccessed>2020</b:YearAccessed>
    <b:MonthAccessed>11</b:MonthAccessed>
    <b:DayAccessed>27</b:DayAccessed>
    <b:URL>https://eacea.ec.europa.eu/national-policies/en/content/youthwiki/43-strategy-social-inclusion-young-people-united-kingdom-wales</b:URL>
    <b:RefOrder>3</b:RefOrder>
  </b:Source>
  <b:Source>
    <b:Tag>TLR10</b:Tag>
    <b:SourceType>Report</b:SourceType>
    <b:Guid>{CB9CB8D9-6F63-4845-881D-EF44E6724C1E}</b:Guid>
    <b:Title>Social Inclusion</b:Title>
    <b:Year>2010</b:Year>
    <b:YearAccessed>2020</b:YearAccessed>
    <b:MonthAccessed>11</b:MonthAccessed>
    <b:DayAccessed>27</b:DayAccessed>
    <b:URL>https://gov.wales/sites/default/files/statistics-and-research/2019-09/101206-social-inclusion-briefing-en.pdf</b:URL>
    <b:Author>
      <b:Author>
        <b:Corporate>T.L.R.P Wales</b:Corporate>
      </b:Author>
    </b:Author>
    <b:Publisher>Welsh Government</b:Publisher>
    <b:City>Cardiff</b:City>
    <b:Medium>Online PDF</b:Medium>
    <b:RefOrder>4</b:RefOrder>
  </b:Source>
  <b:Source>
    <b:Tag>Sta201</b:Tag>
    <b:SourceType>Report</b:SourceType>
    <b:Guid>{38397E71-9BCF-4BEB-B9BD-54F243F5B074}</b:Guid>
    <b:Author>
      <b:Author>
        <b:Corporate>Statistics for Wales</b:Corporate>
      </b:Author>
    </b:Author>
    <b:Title>Examination results in schools in Wales 2018/19 - Revised</b:Title>
    <b:Year>2020</b:Year>
    <b:Publisher>Welsh Government</b:Publisher>
    <b:City>Cardiff</b:City>
    <b:Medium>Online PDF</b:Medium>
    <b:YearAccessed>2020</b:YearAccessed>
    <b:MonthAccessed>11</b:MonthAccessed>
    <b:DayAccessed>27</b:DayAccessed>
    <b:URL>https://gov.wales/sites/default/files/statistics-and-research/2020-01/examination-results-september-2018-august-2019-revised-477.pdf</b:URL>
    <b:RefOrder>5</b:RefOrder>
  </b:Source>
  <b:Source>
    <b:Tag>Sta202</b:Tag>
    <b:SourceType>Report</b:SourceType>
    <b:Guid>{D77A0E81-2F86-46D0-9677-FCF3E2B02208}</b:Guid>
    <b:Author>
      <b:Author>
        <b:Corporate>StatsWales</b:Corporate>
      </b:Author>
    </b:Author>
    <b:Title>Children in r3elative income poverty by family type and work status</b:Title>
    <b:Year>2020</b:Year>
    <b:Publisher>Welsh Government</b:Publisher>
    <b:City>Cardiff</b:City>
    <b:Medium>Online</b:Medium>
    <b:YearAccessed>2020</b:YearAccessed>
    <b:MonthAccessed>11</b:MonthAccessed>
    <b:DayAccessed>28</b:DayAccessed>
    <b:URL>https://statswales.gov.wales/Catalogue/Community-Safety-and-Social-Inclusion/Poverty/childreninrelativeincomepoverty-by-familytype-workstatus</b:URL>
    <b:RefOrder>11</b:RefOrder>
  </b:Source>
  <b:Source>
    <b:Tag>Wel15</b:Tag>
    <b:SourceType>Report</b:SourceType>
    <b:Guid>{FBF55455-D5C2-4BE1-B6E6-7ECB1AC29535}</b:Guid>
    <b:Author>
      <b:Author>
        <b:Corporate>Welsh Government</b:Corporate>
      </b:Author>
    </b:Author>
    <b:Title>Child Poverty Strategy for Wales</b:Title>
    <b:Year>2015</b:Year>
    <b:Publisher>Welsh Government</b:Publisher>
    <b:City>Cardiff</b:City>
    <b:Medium>Online PDF</b:Medium>
    <b:YearAccessed>2020</b:YearAccessed>
    <b:MonthAccessed>11</b:MonthAccessed>
    <b:DayAccessed>28</b:DayAccessed>
    <b:URL>https://gov.wales/sites/default/files/publications/2019-06/child-poverty-strategy-for-wales-easy-read-version.pdf</b:URL>
    <b:RefOrder>10</b:RefOrder>
  </b:Source>
  <b:Source>
    <b:Tag>Wel20</b:Tag>
    <b:SourceType>Report</b:SourceType>
    <b:Guid>{F4FCCA18-6D1C-4E63-8B52-457961884A06}</b:Guid>
    <b:Title>Curriculum for Wales guidance</b:Title>
    <b:Year>2020</b:Year>
    <b:Publisher>Welsh Government</b:Publisher>
    <b:City>Cardiff</b:City>
    <b:Author>
      <b:Author>
        <b:Corporate>Welsh Government</b:Corporate>
      </b:Author>
    </b:Author>
    <b:YearAccessed>2020</b:YearAccessed>
    <b:MonthAccessed>11</b:MonthAccessed>
    <b:DayAccessed>28</b:DayAccessed>
    <b:URL>https://hwb.gov.wales/api/storage/afca43eb-5c50-4846-9c2d-0d56fbffba09/curriculum-for-wales-guidance-120320.pdf</b:URL>
    <b:Medium>Online PDF</b:Medium>
    <b:RefOrder>12</b:RefOrder>
  </b:Source>
  <b:Source>
    <b:Tag>Koe12</b:Tag>
    <b:SourceType>JournalArticle</b:SourceType>
    <b:Guid>{41793B01-BFF3-40E4-8762-0770DC6A097D}</b:Guid>
    <b:Title>Using Perseverative Interests to Improve Interactions Between Adolescents With Autism and Their Typical Peers in School Settings</b:Title>
    <b:Year>2012</b:Year>
    <b:Author>
      <b:Author>
        <b:NameList>
          <b:Person>
            <b:Last>Koegel</b:Last>
            <b:First>R.,</b:First>
            <b:Middle>Fredeen, R., Kim, S., Danial, J., Rubinstein, D., and Koegel, L.</b:Middle>
          </b:Person>
        </b:NameList>
      </b:Author>
    </b:Author>
    <b:JournalName>Journal of Positive Behaviour Interventions</b:JournalName>
    <b:Pages>133-141</b:Pages>
    <b:Volume>14</b:Volume>
    <b:Issue>3</b:Issue>
    <b:Medium>Online</b:Medium>
    <b:YearAccessed>2020</b:YearAccessed>
    <b:MonthAccessed>11</b:MonthAccessed>
    <b:DayAccessed>28</b:DayAccessed>
    <b:URL>https://journals-sagepub-com.ezproxy.uwtsd.ac.uk/doi/pdf/10.1177/1098300712437043</b:URL>
    <b:RefOrder>14</b:RefOrder>
  </b:Source>
  <b:Source>
    <b:Tag>Wel18</b:Tag>
    <b:SourceType>Misc</b:SourceType>
    <b:Guid>{33B74D0E-4E0E-4989-959B-F1AA098F95EE}</b:Guid>
    <b:Title>How will the Act affect maintained schools (including maintained nurseries)?</b:Title>
    <b:Year>2018</b:Year>
    <b:Author>
      <b:Author>
        <b:Corporate>Welsh Government</b:Corporate>
      </b:Author>
    </b:Author>
    <b:City>Cardiff</b:City>
    <b:Publisher>Welsh Government</b:Publisher>
    <b:Medium>Online PDF</b:Medium>
    <b:YearAccessed>2020</b:YearAccessed>
    <b:MonthAccessed>11</b:MonthAccessed>
    <b:DayAccessed>29</b:DayAccessed>
    <b:URL>https://gov.wales/sites/default/files/publications/2018-06/aln-factsheet-how-will-the-act-affect-maintained-schools-including-maintained-nurseries.pdf</b:URL>
    <b:RefOrder>13</b:RefOrder>
  </b:Source>
  <b:Source>
    <b:Tag>Wel19</b:Tag>
    <b:SourceType>Report</b:SourceType>
    <b:Guid>{C67C8271-FDC2-4128-8224-83B25B743535}</b:Guid>
    <b:Title>Support for Children and Young People with Autistic Spectrum Disorder (ASD) in educational settings</b:Title>
    <b:Year>2019</b:Year>
    <b:Author>
      <b:Author>
        <b:Corporate>Welsh Government</b:Corporate>
      </b:Author>
    </b:Author>
    <b:Medium>Online PDF</b:Medium>
    <b:YearAccessed>2020</b:YearAccessed>
    <b:MonthAccessed>11</b:MonthAccessed>
    <b:DayAccessed>29</b:DayAccessed>
    <b:URL>https://gov.wales/sites/default/files/publications/2019-01/ways-of-supporting-learners-with-autistic-spectrum-disorder-asd.pdf</b:URL>
    <b:RefOrder>15</b:RefOrder>
  </b:Source>
  <b:Source>
    <b:Tag>Gar95</b:Tag>
    <b:SourceType>JournalArticle</b:SourceType>
    <b:Guid>{14D78EAC-7052-4FD3-BD24-6051E485888E}</b:Guid>
    <b:Title>The Effects of Family Structure on Educational Attainment</b:Title>
    <b:Year>1995</b:Year>
    <b:Author>
      <b:Author>
        <b:NameList>
          <b:Person>
            <b:Last>Garasky</b:Last>
            <b:First>S.</b:First>
          </b:Person>
        </b:NameList>
      </b:Author>
    </b:Author>
    <b:JournalName>The American Journal of Economics and Sociology</b:JournalName>
    <b:Pages>89-105</b:Pages>
    <b:Volume>54</b:Volume>
    <b:Issue>1</b:Issue>
    <b:Medium>Online PDF</b:Medium>
    <b:YearAccessed>20</b:YearAccessed>
    <b:MonthAccessed>11</b:MonthAccessed>
    <b:DayAccessed>30</b:DayAccessed>
    <b:URL>https://www.jstor.org/stable/3487412</b:URL>
    <b:RefOrder>6</b:RefOrder>
  </b:Source>
  <b:Source>
    <b:Tag>Pub13</b:Tag>
    <b:SourceType>Report</b:SourceType>
    <b:Guid>{A9DE43BD-6D3B-48EF-AB2B-07A98BBA50BC}</b:Guid>
    <b:Author>
      <b:Author>
        <b:Corporate>Public Health Wales Observatory</b:Corporate>
      </b:Author>
    </b:Author>
    <b:Title>Families and education</b:Title>
    <b:Year>2013</b:Year>
    <b:Medium>Online PDF</b:Medium>
    <b:YearAccessed>2020</b:YearAccessed>
    <b:MonthAccessed>11</b:MonthAccessed>
    <b:DayAccessed>30</b:DayAccessed>
    <b:URL>http://www2.nphs.wales.nhs.uk:8080/PubHObservatoryProjDocs.nsf/3653c00e7bb6259d80256f27004900db/a439fea2e520b48080257c2700587b43/$FILE/Children%20and%20YP%20Profile%20Wales%20Families%20and%20Education%20(Eng).pdf</b:URL>
    <b:RefOrder>7</b:RefOrder>
  </b:Source>
  <b:Source>
    <b:Tag>Wel14</b:Tag>
    <b:SourceType>Report</b:SourceType>
    <b:Guid>{36222C23-79A4-4BEA-BD4E-A4302A227454}</b:Guid>
    <b:Author>
      <b:Author>
        <b:Corporate>Welsh Government</b:Corporate>
      </b:Author>
    </b:Author>
    <b:Title>Rewriting the Future</b:Title>
    <b:Year>2014</b:Year>
    <b:Medium>Online PDF</b:Medium>
    <b:YearAccessed>2020</b:YearAccessed>
    <b:MonthAccessed>11</b:MonthAccessed>
    <b:DayAccessed>30</b:DayAccessed>
    <b:URL>https://gov.wales/sites/default/files/publications/2018-03/rewriting-the-future-raising-ambition-and-attainment-in-welsh-schools.pdf</b:URL>
    <b:RefOrder>8</b:RefOrder>
  </b:Source>
  <b:Source>
    <b:Tag>Har08</b:Tag>
    <b:SourceType>JournalArticle</b:SourceType>
    <b:Guid>{29F49B9F-39F3-441F-8C7E-37F0735CD054}</b:Guid>
    <b:Title>Seven Strong Claims about Successful School Leadership</b:Title>
    <b:Year>2008</b:Year>
    <b:Author>
      <b:Author>
        <b:NameList>
          <b:Person>
            <b:Last>Harris</b:Last>
            <b:First>A.,</b:First>
            <b:Middle>Hopkins, D., and Leithwood, K.</b:Middle>
          </b:Person>
        </b:NameList>
      </b:Author>
    </b:Author>
    <b:JournalName>School Leadership and Management</b:JournalName>
    <b:Pages>27-42</b:Pages>
    <b:Volume>28</b:Volume>
    <b:Issue>1</b:Issue>
    <b:Medium>Online</b:Medium>
    <b:YearAccessed>30</b:YearAccessed>
    <b:MonthAccessed>11</b:MonthAccessed>
    <b:DayAccessed>2020</b:DayAccessed>
    <b:URL>https://www.researchgate.net/publication/251888122_Seven_Strong_Claims_about_Successful_School_Leadership</b:URL>
    <b:RefOrder>9</b:RefOrder>
  </b:Source>
</b:Sources>
</file>

<file path=customXml/itemProps1.xml><?xml version="1.0" encoding="utf-8"?>
<ds:datastoreItem xmlns:ds="http://schemas.openxmlformats.org/officeDocument/2006/customXml" ds:itemID="{65C4769C-4DEF-42BC-822C-83C926EFB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5</Pages>
  <Words>2943</Words>
  <Characters>16779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Le Bas</dc:creator>
  <cp:keywords/>
  <dc:description/>
  <cp:lastModifiedBy>Will Le Bas</cp:lastModifiedBy>
  <cp:revision>19</cp:revision>
  <dcterms:created xsi:type="dcterms:W3CDTF">2020-11-26T13:12:00Z</dcterms:created>
  <dcterms:modified xsi:type="dcterms:W3CDTF">2020-11-30T17:18:00Z</dcterms:modified>
</cp:coreProperties>
</file>