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cs="Arial"/>
          <w:b/>
          <w:bCs/>
          <w:sz w:val="24"/>
          <w:szCs w:val="24"/>
        </w:rPr>
      </w:pPr>
      <w:r>
        <w:rPr>
          <w:sz w:val="24"/>
        </w:rPr>
        <mc:AlternateContent>
          <mc:Choice Requires="wps">
            <w:drawing>
              <wp:anchor distT="0" distB="0" distL="114300" distR="114300" simplePos="0" relativeHeight="251661312" behindDoc="0" locked="0" layoutInCell="1" allowOverlap="1">
                <wp:simplePos x="0" y="0"/>
                <wp:positionH relativeFrom="column">
                  <wp:posOffset>-50800</wp:posOffset>
                </wp:positionH>
                <wp:positionV relativeFrom="paragraph">
                  <wp:posOffset>99695</wp:posOffset>
                </wp:positionV>
                <wp:extent cx="5401310" cy="2014855"/>
                <wp:effectExtent l="4445" t="4445" r="19685" b="7620"/>
                <wp:wrapNone/>
                <wp:docPr id="3" name="文本框 3"/>
                <wp:cNvGraphicFramePr/>
                <a:graphic xmlns:a="http://schemas.openxmlformats.org/drawingml/2006/main">
                  <a:graphicData uri="http://schemas.microsoft.com/office/word/2010/wordprocessingShape">
                    <wps:wsp>
                      <wps:cNvSpPr txBox="1"/>
                      <wps:spPr>
                        <a:xfrm>
                          <a:off x="1092200" y="1014095"/>
                          <a:ext cx="5401310" cy="201485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color w:val="F8CDAC" w:themeColor="accent2" w:themeTint="66"/>
                                <w:sz w:val="56"/>
                                <w:szCs w:val="56"/>
                                <w14:glow w14:rad="0">
                                  <w14:srgbClr w14:val="000000"/>
                                </w14:glow>
                                <w14:reflection w14:blurRad="0" w14:stA="0" w14:stPos="0" w14:endA="0" w14:endPos="0" w14:dist="0" w14:dir="0" w14:fadeDir="0" w14:sx="0" w14:sy="0" w14:kx="0" w14:ky="0" w14:algn="none"/>
                                <w14:textOutline w14:w="22225">
                                  <w14:solidFill>
                                    <w14:schemeClr w14:val="accent2"/>
                                  </w14:solidFill>
                                  <w14:prstDash w14:val="solid"/>
                                  <w14:round/>
                                </w14:textOutline>
                                <w14:textFill>
                                  <w14:solidFill>
                                    <w14:schemeClr w14:val="accent2">
                                      <w14:lumMod w14:val="40000"/>
                                      <w14:lumOff w14:val="60000"/>
                                    </w14:schemeClr>
                                  </w14:solidFill>
                                </w14:textFill>
                                <w14:props3d w14:extrusionH="0" w14:contourW="0" w14:prstMaterial="clear"/>
                              </w:rPr>
                            </w:pPr>
                            <w:r>
                              <w:rPr>
                                <w:rFonts w:ascii="Arial" w:hAnsi="Arial" w:cs="Arial"/>
                                <w:b/>
                                <w:color w:val="F8CDAC" w:themeColor="accent2" w:themeTint="66"/>
                                <w:sz w:val="56"/>
                                <w:szCs w:val="56"/>
                                <w14:glow w14:rad="0">
                                  <w14:srgbClr w14:val="000000"/>
                                </w14:glow>
                                <w14:reflection w14:blurRad="0" w14:stA="0" w14:stPos="0" w14:endA="0" w14:endPos="0" w14:dist="0" w14:dir="0" w14:fadeDir="0" w14:sx="0" w14:sy="0" w14:kx="0" w14:ky="0" w14:algn="none"/>
                                <w14:textOutline w14:w="22225">
                                  <w14:solidFill>
                                    <w14:schemeClr w14:val="accent2"/>
                                  </w14:solidFill>
                                  <w14:prstDash w14:val="solid"/>
                                  <w14:round/>
                                </w14:textOutline>
                                <w14:textFill>
                                  <w14:solidFill>
                                    <w14:schemeClr w14:val="accent2">
                                      <w14:lumMod w14:val="40000"/>
                                      <w14:lumOff w14:val="60000"/>
                                    </w14:schemeClr>
                                  </w14:solidFill>
                                </w14:textFill>
                                <w14:props3d w14:extrusionH="0" w14:contourW="0" w14:prstMaterial="clear"/>
                              </w:rPr>
                              <w:t>Intercultural Communication and Culture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pt;margin-top:7.85pt;height:158.65pt;width:425.3pt;z-index:251661312;mso-width-relative:page;mso-height-relative:page;" fillcolor="#FFFFFF [3201]" filled="t" stroked="t" coordsize="21600,21600" o:gfxdata="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K9gVoPWAAAACQEAAA8AAAAAAAAAAQAgAAAAIgAAAGRycy9kb3ducmV2LnhtbFBLAQIUABQA&#10;AAAIAIdO4kACn/PFZAIAAMQEAAAOAAAAAAAAAAEAIAAAACUBAABkcnMvZTJvRG9jLnhtbFBLBQYA&#10;AAAABgAGAFkBAAD7BQAAAAA=&#10;">
                <v:fill on="t" focussize="0,0"/>
                <v:stroke weight="0.5pt" color="#000000 [3204]" joinstyle="round"/>
                <v:imagedata o:title=""/>
                <o:lock v:ext="edit" aspectratio="f"/>
                <v:textbox>
                  <w:txbxContent>
                    <w:p>
                      <w:pPr>
                        <w:rPr>
                          <w:color w:val="F8CDAC" w:themeColor="accent2" w:themeTint="66"/>
                          <w:sz w:val="56"/>
                          <w:szCs w:val="56"/>
                          <w14:glow w14:rad="0">
                            <w14:srgbClr w14:val="000000"/>
                          </w14:glow>
                          <w14:reflection w14:blurRad="0" w14:stA="0" w14:stPos="0" w14:endA="0" w14:endPos="0" w14:dist="0" w14:dir="0" w14:fadeDir="0" w14:sx="0" w14:sy="0" w14:kx="0" w14:ky="0" w14:algn="none"/>
                          <w14:textOutline w14:w="22225">
                            <w14:solidFill>
                              <w14:schemeClr w14:val="accent2"/>
                            </w14:solidFill>
                            <w14:prstDash w14:val="solid"/>
                            <w14:round/>
                          </w14:textOutline>
                          <w14:textFill>
                            <w14:solidFill>
                              <w14:schemeClr w14:val="accent2">
                                <w14:lumMod w14:val="40000"/>
                                <w14:lumOff w14:val="60000"/>
                              </w14:schemeClr>
                            </w14:solidFill>
                          </w14:textFill>
                          <w14:props3d w14:extrusionH="0" w14:contourW="0" w14:prstMaterial="clear"/>
                        </w:rPr>
                      </w:pPr>
                      <w:r>
                        <w:rPr>
                          <w:rFonts w:ascii="Arial" w:hAnsi="Arial" w:cs="Arial"/>
                          <w:b/>
                          <w:color w:val="F8CDAC" w:themeColor="accent2" w:themeTint="66"/>
                          <w:sz w:val="56"/>
                          <w:szCs w:val="56"/>
                          <w14:glow w14:rad="0">
                            <w14:srgbClr w14:val="000000"/>
                          </w14:glow>
                          <w14:reflection w14:blurRad="0" w14:stA="0" w14:stPos="0" w14:endA="0" w14:endPos="0" w14:dist="0" w14:dir="0" w14:fadeDir="0" w14:sx="0" w14:sy="0" w14:kx="0" w14:ky="0" w14:algn="none"/>
                          <w14:textOutline w14:w="22225">
                            <w14:solidFill>
                              <w14:schemeClr w14:val="accent2"/>
                            </w14:solidFill>
                            <w14:prstDash w14:val="solid"/>
                            <w14:round/>
                          </w14:textOutline>
                          <w14:textFill>
                            <w14:solidFill>
                              <w14:schemeClr w14:val="accent2">
                                <w14:lumMod w14:val="40000"/>
                                <w14:lumOff w14:val="60000"/>
                              </w14:schemeClr>
                            </w14:solidFill>
                          </w14:textFill>
                          <w14:props3d w14:extrusionH="0" w14:contourW="0" w14:prstMaterial="clear"/>
                        </w:rPr>
                        <w:t>Intercultural Communication and Culture</w:t>
                      </w:r>
                    </w:p>
                  </w:txbxContent>
                </v:textbox>
              </v:shape>
            </w:pict>
          </mc:Fallback>
        </mc:AlternateContent>
      </w: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r>
        <w:rPr>
          <w:sz w:val="21"/>
        </w:rPr>
        <mc:AlternateContent>
          <mc:Choice Requires="wps">
            <w:drawing>
              <wp:anchor distT="0" distB="0" distL="114300" distR="114300" simplePos="0" relativeHeight="251660288" behindDoc="0" locked="0" layoutInCell="1" allowOverlap="1">
                <wp:simplePos x="0" y="0"/>
                <wp:positionH relativeFrom="column">
                  <wp:posOffset>16510</wp:posOffset>
                </wp:positionH>
                <wp:positionV relativeFrom="paragraph">
                  <wp:posOffset>79375</wp:posOffset>
                </wp:positionV>
                <wp:extent cx="355600" cy="219710"/>
                <wp:effectExtent l="4445" t="4445" r="5715" b="19685"/>
                <wp:wrapNone/>
                <wp:docPr id="2" name="文本框 2"/>
                <wp:cNvGraphicFramePr/>
                <a:graphic xmlns:a="http://schemas.openxmlformats.org/drawingml/2006/main">
                  <a:graphicData uri="http://schemas.microsoft.com/office/word/2010/wordprocessingShape">
                    <wps:wsp>
                      <wps:cNvSpPr txBox="1"/>
                      <wps:spPr>
                        <a:xfrm>
                          <a:off x="1159510" y="1191895"/>
                          <a:ext cx="355600" cy="21971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pt;margin-top:6.25pt;height:17.3pt;width:28pt;z-index:251660288;mso-width-relative:page;mso-height-relative:page;" fillcolor="#FFFFFF [3201]" filled="t" stroked="t" coordsize="21600,21600" o:gfxdata="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AAAAAGRycy9QSwECFAAUAAAACACHTuJA04wI&#10;89IAAAAGAQAADwAAAAAAAAABACAAAAAiAAAAZHJzL2Rvd25yZXYueG1sUEsBAhQAFAAAAAgAh07i&#10;QKKZxmJhAgAAwgQAAA4AAAAAAAAAAQAgAAAAIQEAAGRycy9lMm9Eb2MueG1sUEsFBgAAAAAGAAYA&#10;WQEAAPQFAAAAAA==&#10;">
                <v:fill on="t" focussize="0,0"/>
                <v:stroke weight="0.5pt" color="#000000 [3204]" joinstyle="round"/>
                <v:imagedata o:title=""/>
                <o:lock v:ext="edit" aspectratio="f"/>
                <v:textbox>
                  <w:txbxContent>
                    <w:p/>
                  </w:txbxContent>
                </v:textbox>
              </v:shape>
            </w:pict>
          </mc:Fallback>
        </mc:AlternateContent>
      </w:r>
      <w:r>
        <w:drawing>
          <wp:anchor distT="0" distB="0" distL="114300" distR="114300" simplePos="0" relativeHeight="251659264" behindDoc="1" locked="0" layoutInCell="1" allowOverlap="1">
            <wp:simplePos x="0" y="0"/>
            <wp:positionH relativeFrom="column">
              <wp:posOffset>-1120775</wp:posOffset>
            </wp:positionH>
            <wp:positionV relativeFrom="paragraph">
              <wp:posOffset>-1176655</wp:posOffset>
            </wp:positionV>
            <wp:extent cx="7665720" cy="10866120"/>
            <wp:effectExtent l="0" t="0" r="0" b="0"/>
            <wp:wrapNone/>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7665720" cy="10866120"/>
                    </a:xfrm>
                    <a:prstGeom prst="rect">
                      <a:avLst/>
                    </a:prstGeom>
                    <a:noFill/>
                    <a:ln>
                      <a:noFill/>
                    </a:ln>
                  </pic:spPr>
                </pic:pic>
              </a:graphicData>
            </a:graphic>
          </wp:anchor>
        </w:drawing>
      </w: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p>
    <w:p>
      <w:pPr>
        <w:wordWrap/>
        <w:jc w:val="left"/>
        <w:rPr>
          <w:rFonts w:hint="default"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Unit name:International Business Communication</w:t>
      </w:r>
    </w:p>
    <w:p>
      <w:pPr>
        <w:wordWrap/>
        <w:jc w:val="left"/>
        <w:rPr>
          <w:rFonts w:hint="default"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Module code:BMBM6021</w:t>
      </w:r>
    </w:p>
    <w:p>
      <w:pPr>
        <w:wordWrap/>
        <w:jc w:val="left"/>
        <w:rPr>
          <w:rFonts w:hint="default"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Module Lead:Gwyneth Jones</w:t>
      </w: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r>
        <w:rPr>
          <w:rFonts w:hint="default" w:ascii="微软雅黑" w:hAnsi="微软雅黑" w:eastAsia="微软雅黑" w:cs="微软雅黑"/>
          <w:b/>
          <w:bCs/>
          <w:color w:val="000000" w:themeColor="text1"/>
          <w:sz w:val="24"/>
          <w:szCs w:val="24"/>
          <w:lang w:val="en-US" w:eastAsia="zh-CN"/>
          <w14:textFill>
            <w14:solidFill>
              <w14:schemeClr w14:val="tx1"/>
            </w14:solidFill>
          </w14:textFill>
        </w:rPr>
        <w:t>Student name:</w:t>
      </w: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Tiantian Gong</w:t>
      </w: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r>
        <w:rPr>
          <w:rFonts w:hint="default" w:ascii="微软雅黑" w:hAnsi="微软雅黑" w:eastAsia="微软雅黑" w:cs="微软雅黑"/>
          <w:b/>
          <w:bCs/>
          <w:color w:val="000000" w:themeColor="text1"/>
          <w:sz w:val="24"/>
          <w:szCs w:val="24"/>
          <w:lang w:val="en-US" w:eastAsia="zh-CN"/>
          <w14:textFill>
            <w14:solidFill>
              <w14:schemeClr w14:val="tx1"/>
            </w14:solidFill>
          </w14:textFill>
        </w:rPr>
        <w:t>Student ID number:</w:t>
      </w: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2300467</w:t>
      </w:r>
    </w:p>
    <w:p>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Date submitted:17th January 2024</w:t>
      </w:r>
    </w:p>
    <w:p>
      <w:pPr>
        <w:rPr>
          <w:rFonts w:hint="default" w:ascii="Arial" w:hAnsi="Arial" w:cs="Arial"/>
          <w:b/>
          <w:bCs/>
          <w:sz w:val="24"/>
          <w:szCs w:val="24"/>
        </w:rPr>
      </w:pPr>
    </w:p>
    <w:sdt>
      <w:sdtPr>
        <w:rPr>
          <w:rFonts w:hint="default" w:ascii="Arial" w:hAnsi="Arial" w:eastAsia="宋体" w:cs="Arial"/>
          <w:kern w:val="2"/>
          <w:sz w:val="24"/>
          <w:szCs w:val="24"/>
          <w:lang w:val="en-US" w:eastAsia="zh-CN" w:bidi="ar-SA"/>
        </w:rPr>
        <w:id w:val="147451412"/>
        <w15:color w:val="DBDBDB"/>
        <w:docPartObj>
          <w:docPartGallery w:val="Table of Contents"/>
          <w:docPartUnique/>
        </w:docPartObj>
      </w:sdtPr>
      <w:sdtEndPr>
        <w:rPr>
          <w:rFonts w:hint="default" w:ascii="Arial" w:hAnsi="Arial" w:cs="Arial" w:eastAsiaTheme="minorEastAsia"/>
          <w:b/>
          <w:bCs/>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Arial" w:hAnsi="Arial" w:cs="Arial"/>
              <w:b/>
              <w:bCs/>
              <w:sz w:val="24"/>
              <w:szCs w:val="24"/>
              <w:lang w:val="en-US"/>
            </w:rPr>
          </w:pPr>
          <w:r>
            <w:rPr>
              <w:rFonts w:hint="default" w:ascii="Arial" w:hAnsi="Arial" w:eastAsia="宋体" w:cs="Arial"/>
              <w:b/>
              <w:bCs/>
              <w:kern w:val="2"/>
              <w:sz w:val="24"/>
              <w:szCs w:val="24"/>
              <w:lang w:val="en-US" w:eastAsia="zh-CN" w:bidi="ar-SA"/>
            </w:rPr>
            <w:t>Connect</w:t>
          </w:r>
        </w:p>
        <w:p>
          <w:pPr>
            <w:pStyle w:val="5"/>
            <w:tabs>
              <w:tab w:val="right" w:leader="dot" w:pos="8306"/>
            </w:tabs>
            <w:rPr>
              <w:rFonts w:hint="default" w:ascii="Arial" w:hAnsi="Arial" w:cs="Arial"/>
              <w:b/>
              <w:sz w:val="24"/>
              <w:szCs w:val="24"/>
            </w:rPr>
          </w:pPr>
          <w:r>
            <w:rPr>
              <w:rFonts w:hint="default" w:ascii="Arial" w:hAnsi="Arial" w:cs="Arial"/>
              <w:b/>
              <w:bCs/>
              <w:sz w:val="24"/>
              <w:szCs w:val="24"/>
            </w:rPr>
            <w:fldChar w:fldCharType="begin"/>
          </w:r>
          <w:r>
            <w:rPr>
              <w:rFonts w:hint="default" w:ascii="Arial" w:hAnsi="Arial" w:cs="Arial"/>
              <w:b/>
              <w:bCs/>
              <w:sz w:val="24"/>
              <w:szCs w:val="24"/>
            </w:rPr>
            <w:instrText xml:space="preserve">TOC \o "1-2" \h \u </w:instrText>
          </w:r>
          <w:r>
            <w:rPr>
              <w:rFonts w:hint="default" w:ascii="Arial" w:hAnsi="Arial" w:cs="Arial"/>
              <w:b/>
              <w:bCs/>
              <w:sz w:val="24"/>
              <w:szCs w:val="24"/>
            </w:rPr>
            <w:fldChar w:fldCharType="separate"/>
          </w:r>
          <w:r>
            <w:rPr>
              <w:rFonts w:hint="default" w:ascii="Arial" w:hAnsi="Arial" w:cs="Arial"/>
              <w:b/>
              <w:bCs/>
              <w:sz w:val="24"/>
              <w:szCs w:val="24"/>
            </w:rPr>
            <w:fldChar w:fldCharType="begin"/>
          </w:r>
          <w:r>
            <w:rPr>
              <w:rFonts w:hint="default" w:ascii="Arial" w:hAnsi="Arial" w:cs="Arial"/>
              <w:b/>
              <w:bCs/>
              <w:sz w:val="24"/>
              <w:szCs w:val="24"/>
            </w:rPr>
            <w:instrText xml:space="preserve"> HYPERLINK \l _Toc7827 </w:instrText>
          </w:r>
          <w:r>
            <w:rPr>
              <w:rFonts w:hint="default" w:ascii="Arial" w:hAnsi="Arial" w:cs="Arial"/>
              <w:b/>
              <w:bCs/>
              <w:sz w:val="24"/>
              <w:szCs w:val="24"/>
            </w:rPr>
            <w:fldChar w:fldCharType="separate"/>
          </w:r>
          <w:r>
            <w:rPr>
              <w:rFonts w:hint="default" w:ascii="Arial" w:hAnsi="Arial" w:cs="Arial"/>
              <w:b/>
              <w:bCs/>
              <w:sz w:val="24"/>
              <w:szCs w:val="24"/>
            </w:rPr>
            <w:t>1.0 Introduction</w:t>
          </w:r>
          <w:r>
            <w:rPr>
              <w:rFonts w:hint="default" w:ascii="Arial" w:hAnsi="Arial" w:cs="Arial"/>
              <w:b/>
              <w:sz w:val="24"/>
              <w:szCs w:val="24"/>
            </w:rPr>
            <w:tab/>
          </w:r>
          <w:r>
            <w:rPr>
              <w:rFonts w:hint="default" w:ascii="Arial" w:hAnsi="Arial" w:cs="Arial"/>
              <w:b/>
              <w:sz w:val="24"/>
              <w:szCs w:val="24"/>
            </w:rPr>
            <w:fldChar w:fldCharType="begin"/>
          </w:r>
          <w:r>
            <w:rPr>
              <w:rFonts w:hint="default" w:ascii="Arial" w:hAnsi="Arial" w:cs="Arial"/>
              <w:b/>
              <w:sz w:val="24"/>
              <w:szCs w:val="24"/>
            </w:rPr>
            <w:instrText xml:space="preserve"> PAGEREF _Toc7827 \h </w:instrText>
          </w:r>
          <w:r>
            <w:rPr>
              <w:rFonts w:hint="default" w:ascii="Arial" w:hAnsi="Arial" w:cs="Arial"/>
              <w:b/>
              <w:sz w:val="24"/>
              <w:szCs w:val="24"/>
            </w:rPr>
            <w:fldChar w:fldCharType="separate"/>
          </w:r>
          <w:r>
            <w:rPr>
              <w:rFonts w:hint="default" w:ascii="Arial" w:hAnsi="Arial" w:cs="Arial"/>
              <w:b/>
              <w:sz w:val="24"/>
              <w:szCs w:val="24"/>
            </w:rPr>
            <w:t>3</w:t>
          </w:r>
          <w:r>
            <w:rPr>
              <w:rFonts w:hint="default" w:ascii="Arial" w:hAnsi="Arial" w:cs="Arial"/>
              <w:b/>
              <w:sz w:val="24"/>
              <w:szCs w:val="24"/>
            </w:rPr>
            <w:fldChar w:fldCharType="end"/>
          </w:r>
          <w:r>
            <w:rPr>
              <w:rFonts w:hint="default" w:ascii="Arial" w:hAnsi="Arial" w:cs="Arial"/>
              <w:b/>
              <w:bCs/>
              <w:sz w:val="24"/>
              <w:szCs w:val="24"/>
            </w:rPr>
            <w:fldChar w:fldCharType="end"/>
          </w:r>
        </w:p>
        <w:p>
          <w:pPr>
            <w:pStyle w:val="5"/>
            <w:tabs>
              <w:tab w:val="right" w:leader="dot" w:pos="8306"/>
            </w:tabs>
            <w:rPr>
              <w:rFonts w:hint="default" w:ascii="Arial" w:hAnsi="Arial" w:cs="Arial"/>
              <w:b/>
              <w:sz w:val="24"/>
              <w:szCs w:val="24"/>
            </w:rPr>
          </w:pPr>
          <w:r>
            <w:rPr>
              <w:rFonts w:hint="default" w:ascii="Arial" w:hAnsi="Arial" w:cs="Arial"/>
              <w:b/>
              <w:bCs/>
              <w:sz w:val="24"/>
              <w:szCs w:val="24"/>
            </w:rPr>
            <w:fldChar w:fldCharType="begin"/>
          </w:r>
          <w:r>
            <w:rPr>
              <w:rFonts w:hint="default" w:ascii="Arial" w:hAnsi="Arial" w:cs="Arial"/>
              <w:b/>
              <w:bCs/>
              <w:sz w:val="24"/>
              <w:szCs w:val="24"/>
            </w:rPr>
            <w:instrText xml:space="preserve"> HYPERLINK \l _Toc22937 </w:instrText>
          </w:r>
          <w:r>
            <w:rPr>
              <w:rFonts w:hint="default" w:ascii="Arial" w:hAnsi="Arial" w:cs="Arial"/>
              <w:b/>
              <w:bCs/>
              <w:sz w:val="24"/>
              <w:szCs w:val="24"/>
            </w:rPr>
            <w:fldChar w:fldCharType="separate"/>
          </w:r>
          <w:r>
            <w:rPr>
              <w:rFonts w:hint="default" w:ascii="Arial" w:hAnsi="Arial" w:cs="Arial"/>
              <w:b/>
              <w:bCs/>
              <w:sz w:val="24"/>
              <w:szCs w:val="24"/>
            </w:rPr>
            <w:t>2.0 IBC Definition</w:t>
          </w:r>
          <w:r>
            <w:rPr>
              <w:rFonts w:hint="default" w:ascii="Arial" w:hAnsi="Arial" w:cs="Arial"/>
              <w:b/>
              <w:sz w:val="24"/>
              <w:szCs w:val="24"/>
            </w:rPr>
            <w:tab/>
          </w:r>
          <w:r>
            <w:rPr>
              <w:rFonts w:hint="default" w:ascii="Arial" w:hAnsi="Arial" w:cs="Arial"/>
              <w:b/>
              <w:sz w:val="24"/>
              <w:szCs w:val="24"/>
            </w:rPr>
            <w:fldChar w:fldCharType="begin"/>
          </w:r>
          <w:r>
            <w:rPr>
              <w:rFonts w:hint="default" w:ascii="Arial" w:hAnsi="Arial" w:cs="Arial"/>
              <w:b/>
              <w:sz w:val="24"/>
              <w:szCs w:val="24"/>
            </w:rPr>
            <w:instrText xml:space="preserve"> PAGEREF _Toc22937 \h </w:instrText>
          </w:r>
          <w:r>
            <w:rPr>
              <w:rFonts w:hint="default" w:ascii="Arial" w:hAnsi="Arial" w:cs="Arial"/>
              <w:b/>
              <w:sz w:val="24"/>
              <w:szCs w:val="24"/>
            </w:rPr>
            <w:fldChar w:fldCharType="separate"/>
          </w:r>
          <w:r>
            <w:rPr>
              <w:rFonts w:hint="default" w:ascii="Arial" w:hAnsi="Arial" w:cs="Arial"/>
              <w:b/>
              <w:sz w:val="24"/>
              <w:szCs w:val="24"/>
            </w:rPr>
            <w:t>4</w:t>
          </w:r>
          <w:r>
            <w:rPr>
              <w:rFonts w:hint="default" w:ascii="Arial" w:hAnsi="Arial" w:cs="Arial"/>
              <w:b/>
              <w:sz w:val="24"/>
              <w:szCs w:val="24"/>
            </w:rPr>
            <w:fldChar w:fldCharType="end"/>
          </w:r>
          <w:r>
            <w:rPr>
              <w:rFonts w:hint="default" w:ascii="Arial" w:hAnsi="Arial" w:cs="Arial"/>
              <w:b/>
              <w:bCs/>
              <w:sz w:val="24"/>
              <w:szCs w:val="24"/>
            </w:rPr>
            <w:fldChar w:fldCharType="end"/>
          </w:r>
        </w:p>
        <w:p>
          <w:pPr>
            <w:pStyle w:val="5"/>
            <w:tabs>
              <w:tab w:val="right" w:leader="dot" w:pos="8306"/>
            </w:tabs>
            <w:rPr>
              <w:rFonts w:hint="default" w:ascii="Arial" w:hAnsi="Arial" w:cs="Arial"/>
              <w:b/>
              <w:sz w:val="24"/>
              <w:szCs w:val="24"/>
            </w:rPr>
          </w:pPr>
          <w:r>
            <w:rPr>
              <w:rFonts w:hint="default" w:ascii="Arial" w:hAnsi="Arial" w:cs="Arial"/>
              <w:b/>
              <w:bCs/>
              <w:sz w:val="24"/>
              <w:szCs w:val="24"/>
            </w:rPr>
            <w:fldChar w:fldCharType="begin"/>
          </w:r>
          <w:r>
            <w:rPr>
              <w:rFonts w:hint="default" w:ascii="Arial" w:hAnsi="Arial" w:cs="Arial"/>
              <w:b/>
              <w:bCs/>
              <w:sz w:val="24"/>
              <w:szCs w:val="24"/>
            </w:rPr>
            <w:instrText xml:space="preserve"> HYPERLINK \l _Toc31528 </w:instrText>
          </w:r>
          <w:r>
            <w:rPr>
              <w:rFonts w:hint="default" w:ascii="Arial" w:hAnsi="Arial" w:cs="Arial"/>
              <w:b/>
              <w:bCs/>
              <w:sz w:val="24"/>
              <w:szCs w:val="24"/>
            </w:rPr>
            <w:fldChar w:fldCharType="separate"/>
          </w:r>
          <w:r>
            <w:rPr>
              <w:rFonts w:hint="default" w:ascii="Arial" w:hAnsi="Arial" w:cs="Arial"/>
              <w:b/>
              <w:bCs/>
              <w:sz w:val="24"/>
              <w:szCs w:val="24"/>
            </w:rPr>
            <w:t>3.0 Types of cross-cultural barriers in international business communication</w:t>
          </w:r>
          <w:r>
            <w:rPr>
              <w:rFonts w:hint="default" w:ascii="Arial" w:hAnsi="Arial" w:cs="Arial"/>
              <w:b/>
              <w:sz w:val="24"/>
              <w:szCs w:val="24"/>
            </w:rPr>
            <w:tab/>
          </w:r>
          <w:r>
            <w:rPr>
              <w:rFonts w:hint="default" w:ascii="Arial" w:hAnsi="Arial" w:cs="Arial"/>
              <w:b/>
              <w:sz w:val="24"/>
              <w:szCs w:val="24"/>
            </w:rPr>
            <w:fldChar w:fldCharType="begin"/>
          </w:r>
          <w:r>
            <w:rPr>
              <w:rFonts w:hint="default" w:ascii="Arial" w:hAnsi="Arial" w:cs="Arial"/>
              <w:b/>
              <w:sz w:val="24"/>
              <w:szCs w:val="24"/>
            </w:rPr>
            <w:instrText xml:space="preserve"> PAGEREF _Toc31528 \h </w:instrText>
          </w:r>
          <w:r>
            <w:rPr>
              <w:rFonts w:hint="default" w:ascii="Arial" w:hAnsi="Arial" w:cs="Arial"/>
              <w:b/>
              <w:sz w:val="24"/>
              <w:szCs w:val="24"/>
            </w:rPr>
            <w:fldChar w:fldCharType="separate"/>
          </w:r>
          <w:r>
            <w:rPr>
              <w:rFonts w:hint="default" w:ascii="Arial" w:hAnsi="Arial" w:cs="Arial"/>
              <w:b/>
              <w:sz w:val="24"/>
              <w:szCs w:val="24"/>
            </w:rPr>
            <w:t>4</w:t>
          </w:r>
          <w:r>
            <w:rPr>
              <w:rFonts w:hint="default" w:ascii="Arial" w:hAnsi="Arial" w:cs="Arial"/>
              <w:b/>
              <w:sz w:val="24"/>
              <w:szCs w:val="24"/>
            </w:rPr>
            <w:fldChar w:fldCharType="end"/>
          </w:r>
          <w:r>
            <w:rPr>
              <w:rFonts w:hint="default" w:ascii="Arial" w:hAnsi="Arial" w:cs="Arial"/>
              <w:b/>
              <w:bCs/>
              <w:sz w:val="24"/>
              <w:szCs w:val="24"/>
            </w:rPr>
            <w:fldChar w:fldCharType="end"/>
          </w:r>
        </w:p>
        <w:p>
          <w:pPr>
            <w:pStyle w:val="6"/>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_Toc25927 </w:instrText>
          </w:r>
          <w:r>
            <w:rPr>
              <w:rFonts w:hint="default" w:ascii="Arial" w:hAnsi="Arial" w:cs="Arial"/>
              <w:bCs/>
              <w:sz w:val="24"/>
              <w:szCs w:val="24"/>
            </w:rPr>
            <w:fldChar w:fldCharType="separate"/>
          </w:r>
          <w:r>
            <w:rPr>
              <w:rFonts w:hint="default" w:ascii="Arial" w:hAnsi="Arial" w:cs="Arial"/>
              <w:bCs/>
              <w:sz w:val="24"/>
              <w:szCs w:val="24"/>
            </w:rPr>
            <w:t>3.1 Language barriers in communication between the UK and France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_Toc25927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bCs/>
              <w:sz w:val="24"/>
              <w:szCs w:val="24"/>
            </w:rPr>
            <w:fldChar w:fldCharType="end"/>
          </w:r>
        </w:p>
        <w:p>
          <w:pPr>
            <w:pStyle w:val="6"/>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_Toc9850 </w:instrText>
          </w:r>
          <w:r>
            <w:rPr>
              <w:rFonts w:hint="default" w:ascii="Arial" w:hAnsi="Arial" w:cs="Arial"/>
              <w:bCs/>
              <w:sz w:val="24"/>
              <w:szCs w:val="24"/>
            </w:rPr>
            <w:fldChar w:fldCharType="separate"/>
          </w:r>
          <w:r>
            <w:rPr>
              <w:rFonts w:hint="default" w:ascii="Arial" w:hAnsi="Arial" w:cs="Arial"/>
              <w:bCs/>
              <w:sz w:val="24"/>
              <w:szCs w:val="24"/>
            </w:rPr>
            <w:t>3.2 Differences in Traditional Concepts between the UK and France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_Toc9850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sz w:val="24"/>
              <w:szCs w:val="24"/>
            </w:rPr>
            <w:fldChar w:fldCharType="end"/>
          </w:r>
        </w:p>
        <w:p>
          <w:pPr>
            <w:pStyle w:val="6"/>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_Toc24668 </w:instrText>
          </w:r>
          <w:r>
            <w:rPr>
              <w:rFonts w:hint="default" w:ascii="Arial" w:hAnsi="Arial" w:cs="Arial"/>
              <w:bCs/>
              <w:sz w:val="24"/>
              <w:szCs w:val="24"/>
            </w:rPr>
            <w:fldChar w:fldCharType="separate"/>
          </w:r>
          <w:r>
            <w:rPr>
              <w:rFonts w:hint="default" w:ascii="Arial" w:hAnsi="Arial" w:cs="Arial"/>
              <w:bCs/>
              <w:sz w:val="24"/>
              <w:szCs w:val="24"/>
              <w:lang w:val="en-US" w:eastAsia="zh-CN"/>
            </w:rPr>
            <w:t xml:space="preserve">3.3 </w:t>
          </w:r>
          <w:r>
            <w:rPr>
              <w:rFonts w:hint="default" w:ascii="Arial" w:hAnsi="Arial" w:cs="Arial"/>
              <w:bCs/>
              <w:sz w:val="24"/>
              <w:szCs w:val="24"/>
            </w:rPr>
            <w:t>Differences in interpersonal relationships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_Toc24668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sz w:val="24"/>
              <w:szCs w:val="24"/>
            </w:rPr>
            <w:fldChar w:fldCharType="end"/>
          </w:r>
        </w:p>
        <w:p>
          <w:pPr>
            <w:pStyle w:val="6"/>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_Toc1459 </w:instrText>
          </w:r>
          <w:r>
            <w:rPr>
              <w:rFonts w:hint="default" w:ascii="Arial" w:hAnsi="Arial" w:cs="Arial"/>
              <w:bCs/>
              <w:sz w:val="24"/>
              <w:szCs w:val="24"/>
            </w:rPr>
            <w:fldChar w:fldCharType="separate"/>
          </w:r>
          <w:r>
            <w:rPr>
              <w:rFonts w:hint="default" w:ascii="Arial" w:hAnsi="Arial" w:cs="Arial"/>
              <w:bCs/>
              <w:sz w:val="24"/>
              <w:szCs w:val="24"/>
            </w:rPr>
            <w:t>3.4 Differences between high context and low context cultures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_Toc1459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bCs/>
              <w:sz w:val="24"/>
              <w:szCs w:val="24"/>
            </w:rPr>
            <w:fldChar w:fldCharType="end"/>
          </w:r>
        </w:p>
        <w:p>
          <w:pPr>
            <w:pStyle w:val="5"/>
            <w:tabs>
              <w:tab w:val="right" w:leader="dot" w:pos="8306"/>
            </w:tabs>
            <w:rPr>
              <w:rFonts w:hint="default" w:ascii="Arial" w:hAnsi="Arial" w:cs="Arial"/>
              <w:b/>
              <w:sz w:val="24"/>
              <w:szCs w:val="24"/>
            </w:rPr>
          </w:pPr>
          <w:r>
            <w:rPr>
              <w:rFonts w:hint="default" w:ascii="Arial" w:hAnsi="Arial" w:cs="Arial"/>
              <w:b/>
              <w:bCs/>
              <w:sz w:val="24"/>
              <w:szCs w:val="24"/>
            </w:rPr>
            <w:fldChar w:fldCharType="begin"/>
          </w:r>
          <w:r>
            <w:rPr>
              <w:rFonts w:hint="default" w:ascii="Arial" w:hAnsi="Arial" w:cs="Arial"/>
              <w:b/>
              <w:bCs/>
              <w:sz w:val="24"/>
              <w:szCs w:val="24"/>
            </w:rPr>
            <w:instrText xml:space="preserve"> HYPERLINK \l _Toc31337 </w:instrText>
          </w:r>
          <w:r>
            <w:rPr>
              <w:rFonts w:hint="default" w:ascii="Arial" w:hAnsi="Arial" w:cs="Arial"/>
              <w:b/>
              <w:bCs/>
              <w:sz w:val="24"/>
              <w:szCs w:val="24"/>
            </w:rPr>
            <w:fldChar w:fldCharType="separate"/>
          </w:r>
          <w:r>
            <w:rPr>
              <w:rFonts w:hint="default" w:ascii="Arial" w:hAnsi="Arial" w:cs="Arial"/>
              <w:b/>
              <w:bCs/>
              <w:sz w:val="24"/>
              <w:szCs w:val="24"/>
            </w:rPr>
            <w:t>4.0 Strategies for cross-cultural communication</w:t>
          </w:r>
          <w:r>
            <w:rPr>
              <w:rFonts w:hint="default" w:ascii="Arial" w:hAnsi="Arial" w:cs="Arial"/>
              <w:b/>
              <w:sz w:val="24"/>
              <w:szCs w:val="24"/>
            </w:rPr>
            <w:tab/>
          </w:r>
          <w:r>
            <w:rPr>
              <w:rFonts w:hint="default" w:ascii="Arial" w:hAnsi="Arial" w:cs="Arial"/>
              <w:b/>
              <w:sz w:val="24"/>
              <w:szCs w:val="24"/>
            </w:rPr>
            <w:fldChar w:fldCharType="begin"/>
          </w:r>
          <w:r>
            <w:rPr>
              <w:rFonts w:hint="default" w:ascii="Arial" w:hAnsi="Arial" w:cs="Arial"/>
              <w:b/>
              <w:sz w:val="24"/>
              <w:szCs w:val="24"/>
            </w:rPr>
            <w:instrText xml:space="preserve"> PAGEREF _Toc31337 \h </w:instrText>
          </w:r>
          <w:r>
            <w:rPr>
              <w:rFonts w:hint="default" w:ascii="Arial" w:hAnsi="Arial" w:cs="Arial"/>
              <w:b/>
              <w:sz w:val="24"/>
              <w:szCs w:val="24"/>
            </w:rPr>
            <w:fldChar w:fldCharType="separate"/>
          </w:r>
          <w:r>
            <w:rPr>
              <w:rFonts w:hint="default" w:ascii="Arial" w:hAnsi="Arial" w:cs="Arial"/>
              <w:b/>
              <w:sz w:val="24"/>
              <w:szCs w:val="24"/>
            </w:rPr>
            <w:t>7</w:t>
          </w:r>
          <w:r>
            <w:rPr>
              <w:rFonts w:hint="default" w:ascii="Arial" w:hAnsi="Arial" w:cs="Arial"/>
              <w:b/>
              <w:sz w:val="24"/>
              <w:szCs w:val="24"/>
            </w:rPr>
            <w:fldChar w:fldCharType="end"/>
          </w:r>
          <w:r>
            <w:rPr>
              <w:rFonts w:hint="default" w:ascii="Arial" w:hAnsi="Arial" w:cs="Arial"/>
              <w:b/>
              <w:bCs/>
              <w:sz w:val="24"/>
              <w:szCs w:val="24"/>
            </w:rPr>
            <w:fldChar w:fldCharType="end"/>
          </w:r>
        </w:p>
        <w:p>
          <w:pPr>
            <w:pStyle w:val="5"/>
            <w:tabs>
              <w:tab w:val="right" w:leader="dot" w:pos="8306"/>
            </w:tabs>
            <w:rPr>
              <w:rFonts w:hint="default" w:ascii="Arial" w:hAnsi="Arial" w:cs="Arial"/>
              <w:b/>
              <w:sz w:val="24"/>
              <w:szCs w:val="24"/>
            </w:rPr>
          </w:pPr>
          <w:r>
            <w:rPr>
              <w:rFonts w:hint="default" w:ascii="Arial" w:hAnsi="Arial" w:cs="Arial"/>
              <w:b/>
              <w:bCs/>
              <w:sz w:val="24"/>
              <w:szCs w:val="24"/>
            </w:rPr>
            <w:fldChar w:fldCharType="begin"/>
          </w:r>
          <w:r>
            <w:rPr>
              <w:rFonts w:hint="default" w:ascii="Arial" w:hAnsi="Arial" w:cs="Arial"/>
              <w:b/>
              <w:bCs/>
              <w:sz w:val="24"/>
              <w:szCs w:val="24"/>
            </w:rPr>
            <w:instrText xml:space="preserve"> HYPERLINK \l _Toc5377 </w:instrText>
          </w:r>
          <w:r>
            <w:rPr>
              <w:rFonts w:hint="default" w:ascii="Arial" w:hAnsi="Arial" w:cs="Arial"/>
              <w:b/>
              <w:bCs/>
              <w:sz w:val="24"/>
              <w:szCs w:val="24"/>
            </w:rPr>
            <w:fldChar w:fldCharType="separate"/>
          </w:r>
          <w:r>
            <w:rPr>
              <w:rFonts w:hint="default" w:ascii="Arial" w:hAnsi="Arial" w:cs="Arial"/>
              <w:b/>
              <w:bCs/>
              <w:sz w:val="24"/>
              <w:szCs w:val="24"/>
            </w:rPr>
            <w:t>4.1 Using a Common Language</w:t>
          </w:r>
          <w:r>
            <w:rPr>
              <w:rFonts w:hint="default" w:ascii="Arial" w:hAnsi="Arial" w:cs="Arial"/>
              <w:b/>
              <w:sz w:val="24"/>
              <w:szCs w:val="24"/>
            </w:rPr>
            <w:tab/>
          </w:r>
          <w:r>
            <w:rPr>
              <w:rFonts w:hint="default" w:ascii="Arial" w:hAnsi="Arial" w:cs="Arial"/>
              <w:b/>
              <w:sz w:val="24"/>
              <w:szCs w:val="24"/>
            </w:rPr>
            <w:fldChar w:fldCharType="begin"/>
          </w:r>
          <w:r>
            <w:rPr>
              <w:rFonts w:hint="default" w:ascii="Arial" w:hAnsi="Arial" w:cs="Arial"/>
              <w:b/>
              <w:sz w:val="24"/>
              <w:szCs w:val="24"/>
            </w:rPr>
            <w:instrText xml:space="preserve"> PAGEREF _Toc5377 \h </w:instrText>
          </w:r>
          <w:r>
            <w:rPr>
              <w:rFonts w:hint="default" w:ascii="Arial" w:hAnsi="Arial" w:cs="Arial"/>
              <w:b/>
              <w:sz w:val="24"/>
              <w:szCs w:val="24"/>
            </w:rPr>
            <w:fldChar w:fldCharType="separate"/>
          </w:r>
          <w:r>
            <w:rPr>
              <w:rFonts w:hint="default" w:ascii="Arial" w:hAnsi="Arial" w:cs="Arial"/>
              <w:b/>
              <w:sz w:val="24"/>
              <w:szCs w:val="24"/>
            </w:rPr>
            <w:t>7</w:t>
          </w:r>
          <w:r>
            <w:rPr>
              <w:rFonts w:hint="default" w:ascii="Arial" w:hAnsi="Arial" w:cs="Arial"/>
              <w:b/>
              <w:sz w:val="24"/>
              <w:szCs w:val="24"/>
            </w:rPr>
            <w:fldChar w:fldCharType="end"/>
          </w:r>
          <w:r>
            <w:rPr>
              <w:rFonts w:hint="default" w:ascii="Arial" w:hAnsi="Arial" w:cs="Arial"/>
              <w:b/>
              <w:bCs/>
              <w:sz w:val="24"/>
              <w:szCs w:val="24"/>
            </w:rPr>
            <w:fldChar w:fldCharType="end"/>
          </w:r>
        </w:p>
        <w:p>
          <w:pPr>
            <w:pStyle w:val="6"/>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_Toc9791 </w:instrText>
          </w:r>
          <w:r>
            <w:rPr>
              <w:rFonts w:hint="default" w:ascii="Arial" w:hAnsi="Arial" w:cs="Arial"/>
              <w:bCs/>
              <w:sz w:val="24"/>
              <w:szCs w:val="24"/>
            </w:rPr>
            <w:fldChar w:fldCharType="separate"/>
          </w:r>
          <w:r>
            <w:rPr>
              <w:rFonts w:hint="default" w:ascii="Arial" w:hAnsi="Arial" w:cs="Arial"/>
              <w:bCs/>
              <w:sz w:val="24"/>
              <w:szCs w:val="24"/>
            </w:rPr>
            <w:t>4.2 Cross cultural training to gain a deeper understanding of the other party's culture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_Toc9791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bCs/>
              <w:sz w:val="24"/>
              <w:szCs w:val="24"/>
            </w:rPr>
            <w:fldChar w:fldCharType="end"/>
          </w:r>
        </w:p>
        <w:p>
          <w:pPr>
            <w:pStyle w:val="6"/>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_Toc11749 </w:instrText>
          </w:r>
          <w:r>
            <w:rPr>
              <w:rFonts w:hint="default" w:ascii="Arial" w:hAnsi="Arial" w:cs="Arial"/>
              <w:bCs/>
              <w:sz w:val="24"/>
              <w:szCs w:val="24"/>
            </w:rPr>
            <w:fldChar w:fldCharType="separate"/>
          </w:r>
          <w:r>
            <w:rPr>
              <w:rFonts w:hint="default" w:ascii="Arial" w:hAnsi="Arial" w:cs="Arial"/>
              <w:bCs/>
              <w:sz w:val="24"/>
              <w:szCs w:val="24"/>
            </w:rPr>
            <w:t>4.3 Establishing interpersonal relationships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_Toc11749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sz w:val="24"/>
              <w:szCs w:val="24"/>
            </w:rPr>
            <w:fldChar w:fldCharType="end"/>
          </w:r>
        </w:p>
        <w:p>
          <w:pPr>
            <w:pStyle w:val="6"/>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_Toc2432 </w:instrText>
          </w:r>
          <w:r>
            <w:rPr>
              <w:rFonts w:hint="default" w:ascii="Arial" w:hAnsi="Arial" w:cs="Arial"/>
              <w:bCs/>
              <w:sz w:val="24"/>
              <w:szCs w:val="24"/>
            </w:rPr>
            <w:fldChar w:fldCharType="separate"/>
          </w:r>
          <w:r>
            <w:rPr>
              <w:rFonts w:hint="default" w:ascii="Arial" w:hAnsi="Arial" w:cs="Arial"/>
              <w:bCs/>
              <w:sz w:val="24"/>
              <w:szCs w:val="24"/>
            </w:rPr>
            <w:t>4.4 Emphasize the cultivation of communication skills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_Toc2432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sz w:val="24"/>
              <w:szCs w:val="24"/>
            </w:rPr>
            <w:fldChar w:fldCharType="end"/>
          </w:r>
        </w:p>
        <w:p>
          <w:pPr>
            <w:pStyle w:val="5"/>
            <w:tabs>
              <w:tab w:val="right" w:leader="dot" w:pos="8306"/>
            </w:tabs>
            <w:rPr>
              <w:rFonts w:hint="default" w:ascii="Arial" w:hAnsi="Arial" w:cs="Arial"/>
              <w:b/>
              <w:sz w:val="24"/>
              <w:szCs w:val="24"/>
            </w:rPr>
          </w:pPr>
          <w:r>
            <w:rPr>
              <w:rFonts w:hint="default" w:ascii="Arial" w:hAnsi="Arial" w:cs="Arial"/>
              <w:b/>
              <w:bCs/>
              <w:sz w:val="24"/>
              <w:szCs w:val="24"/>
            </w:rPr>
            <w:fldChar w:fldCharType="begin"/>
          </w:r>
          <w:r>
            <w:rPr>
              <w:rFonts w:hint="default" w:ascii="Arial" w:hAnsi="Arial" w:cs="Arial"/>
              <w:b/>
              <w:bCs/>
              <w:sz w:val="24"/>
              <w:szCs w:val="24"/>
            </w:rPr>
            <w:instrText xml:space="preserve"> HYPERLINK \l _Toc28922 </w:instrText>
          </w:r>
          <w:r>
            <w:rPr>
              <w:rFonts w:hint="default" w:ascii="Arial" w:hAnsi="Arial" w:cs="Arial"/>
              <w:b/>
              <w:bCs/>
              <w:sz w:val="24"/>
              <w:szCs w:val="24"/>
            </w:rPr>
            <w:fldChar w:fldCharType="separate"/>
          </w:r>
          <w:r>
            <w:rPr>
              <w:rFonts w:hint="default" w:ascii="Arial" w:hAnsi="Arial" w:cs="Arial"/>
              <w:b/>
              <w:bCs/>
              <w:sz w:val="24"/>
              <w:szCs w:val="24"/>
            </w:rPr>
            <w:t>5.0 Suggestions</w:t>
          </w:r>
          <w:r>
            <w:rPr>
              <w:rFonts w:hint="default" w:ascii="Arial" w:hAnsi="Arial" w:cs="Arial"/>
              <w:b/>
              <w:sz w:val="24"/>
              <w:szCs w:val="24"/>
            </w:rPr>
            <w:tab/>
          </w:r>
          <w:r>
            <w:rPr>
              <w:rFonts w:hint="default" w:ascii="Arial" w:hAnsi="Arial" w:cs="Arial"/>
              <w:b/>
              <w:sz w:val="24"/>
              <w:szCs w:val="24"/>
            </w:rPr>
            <w:fldChar w:fldCharType="begin"/>
          </w:r>
          <w:r>
            <w:rPr>
              <w:rFonts w:hint="default" w:ascii="Arial" w:hAnsi="Arial" w:cs="Arial"/>
              <w:b/>
              <w:sz w:val="24"/>
              <w:szCs w:val="24"/>
            </w:rPr>
            <w:instrText xml:space="preserve"> PAGEREF _Toc28922 \h </w:instrText>
          </w:r>
          <w:r>
            <w:rPr>
              <w:rFonts w:hint="default" w:ascii="Arial" w:hAnsi="Arial" w:cs="Arial"/>
              <w:b/>
              <w:sz w:val="24"/>
              <w:szCs w:val="24"/>
            </w:rPr>
            <w:fldChar w:fldCharType="separate"/>
          </w:r>
          <w:r>
            <w:rPr>
              <w:rFonts w:hint="default" w:ascii="Arial" w:hAnsi="Arial" w:cs="Arial"/>
              <w:b/>
              <w:sz w:val="24"/>
              <w:szCs w:val="24"/>
            </w:rPr>
            <w:t>9</w:t>
          </w:r>
          <w:r>
            <w:rPr>
              <w:rFonts w:hint="default" w:ascii="Arial" w:hAnsi="Arial" w:cs="Arial"/>
              <w:b/>
              <w:sz w:val="24"/>
              <w:szCs w:val="24"/>
            </w:rPr>
            <w:fldChar w:fldCharType="end"/>
          </w:r>
          <w:r>
            <w:rPr>
              <w:rFonts w:hint="default" w:ascii="Arial" w:hAnsi="Arial" w:cs="Arial"/>
              <w:b/>
              <w:bCs/>
              <w:sz w:val="24"/>
              <w:szCs w:val="24"/>
            </w:rPr>
            <w:fldChar w:fldCharType="end"/>
          </w:r>
        </w:p>
        <w:p>
          <w:pPr>
            <w:pStyle w:val="5"/>
            <w:tabs>
              <w:tab w:val="right" w:leader="dot" w:pos="8306"/>
            </w:tabs>
            <w:rPr>
              <w:rFonts w:hint="default" w:ascii="Arial" w:hAnsi="Arial" w:cs="Arial"/>
              <w:b/>
              <w:sz w:val="24"/>
              <w:szCs w:val="24"/>
            </w:rPr>
          </w:pPr>
          <w:r>
            <w:rPr>
              <w:rFonts w:hint="default" w:ascii="Arial" w:hAnsi="Arial" w:cs="Arial"/>
              <w:b/>
              <w:bCs/>
              <w:sz w:val="24"/>
              <w:szCs w:val="24"/>
            </w:rPr>
            <w:fldChar w:fldCharType="begin"/>
          </w:r>
          <w:r>
            <w:rPr>
              <w:rFonts w:hint="default" w:ascii="Arial" w:hAnsi="Arial" w:cs="Arial"/>
              <w:b/>
              <w:bCs/>
              <w:sz w:val="24"/>
              <w:szCs w:val="24"/>
            </w:rPr>
            <w:instrText xml:space="preserve"> HYPERLINK \l _Toc5591 </w:instrText>
          </w:r>
          <w:r>
            <w:rPr>
              <w:rFonts w:hint="default" w:ascii="Arial" w:hAnsi="Arial" w:cs="Arial"/>
              <w:b/>
              <w:bCs/>
              <w:sz w:val="24"/>
              <w:szCs w:val="24"/>
            </w:rPr>
            <w:fldChar w:fldCharType="separate"/>
          </w:r>
          <w:r>
            <w:rPr>
              <w:rFonts w:hint="default" w:ascii="Arial" w:hAnsi="Arial" w:cs="Arial"/>
              <w:b/>
              <w:bCs/>
              <w:sz w:val="24"/>
              <w:szCs w:val="24"/>
            </w:rPr>
            <w:t>6.0 Conclusion</w:t>
          </w:r>
          <w:r>
            <w:rPr>
              <w:rFonts w:hint="default" w:ascii="Arial" w:hAnsi="Arial" w:cs="Arial"/>
              <w:b/>
              <w:sz w:val="24"/>
              <w:szCs w:val="24"/>
            </w:rPr>
            <w:tab/>
          </w:r>
          <w:r>
            <w:rPr>
              <w:rFonts w:hint="default" w:ascii="Arial" w:hAnsi="Arial" w:cs="Arial"/>
              <w:b/>
              <w:sz w:val="24"/>
              <w:szCs w:val="24"/>
            </w:rPr>
            <w:fldChar w:fldCharType="begin"/>
          </w:r>
          <w:r>
            <w:rPr>
              <w:rFonts w:hint="default" w:ascii="Arial" w:hAnsi="Arial" w:cs="Arial"/>
              <w:b/>
              <w:sz w:val="24"/>
              <w:szCs w:val="24"/>
            </w:rPr>
            <w:instrText xml:space="preserve"> PAGEREF _Toc5591 \h </w:instrText>
          </w:r>
          <w:r>
            <w:rPr>
              <w:rFonts w:hint="default" w:ascii="Arial" w:hAnsi="Arial" w:cs="Arial"/>
              <w:b/>
              <w:sz w:val="24"/>
              <w:szCs w:val="24"/>
            </w:rPr>
            <w:fldChar w:fldCharType="separate"/>
          </w:r>
          <w:r>
            <w:rPr>
              <w:rFonts w:hint="default" w:ascii="Arial" w:hAnsi="Arial" w:cs="Arial"/>
              <w:b/>
              <w:sz w:val="24"/>
              <w:szCs w:val="24"/>
            </w:rPr>
            <w:t>10</w:t>
          </w:r>
          <w:r>
            <w:rPr>
              <w:rFonts w:hint="default" w:ascii="Arial" w:hAnsi="Arial" w:cs="Arial"/>
              <w:b/>
              <w:sz w:val="24"/>
              <w:szCs w:val="24"/>
            </w:rPr>
            <w:fldChar w:fldCharType="end"/>
          </w:r>
          <w:r>
            <w:rPr>
              <w:rFonts w:hint="default" w:ascii="Arial" w:hAnsi="Arial" w:cs="Arial"/>
              <w:b/>
              <w:bCs/>
              <w:sz w:val="24"/>
              <w:szCs w:val="24"/>
            </w:rPr>
            <w:fldChar w:fldCharType="end"/>
          </w:r>
        </w:p>
        <w:p>
          <w:pPr>
            <w:pStyle w:val="5"/>
            <w:tabs>
              <w:tab w:val="right" w:leader="dot" w:pos="8306"/>
            </w:tabs>
            <w:rPr>
              <w:rFonts w:hint="default" w:ascii="Arial" w:hAnsi="Arial" w:cs="Arial"/>
              <w:b/>
              <w:sz w:val="24"/>
              <w:szCs w:val="24"/>
            </w:rPr>
          </w:pPr>
          <w:r>
            <w:rPr>
              <w:rFonts w:hint="default" w:ascii="Arial" w:hAnsi="Arial" w:cs="Arial"/>
              <w:b/>
              <w:bCs/>
              <w:sz w:val="24"/>
              <w:szCs w:val="24"/>
            </w:rPr>
            <w:fldChar w:fldCharType="begin"/>
          </w:r>
          <w:r>
            <w:rPr>
              <w:rFonts w:hint="default" w:ascii="Arial" w:hAnsi="Arial" w:cs="Arial"/>
              <w:b/>
              <w:bCs/>
              <w:sz w:val="24"/>
              <w:szCs w:val="24"/>
            </w:rPr>
            <w:instrText xml:space="preserve"> HYPERLINK \l _Toc30420 </w:instrText>
          </w:r>
          <w:r>
            <w:rPr>
              <w:rFonts w:hint="default" w:ascii="Arial" w:hAnsi="Arial" w:cs="Arial"/>
              <w:b/>
              <w:bCs/>
              <w:sz w:val="24"/>
              <w:szCs w:val="24"/>
            </w:rPr>
            <w:fldChar w:fldCharType="separate"/>
          </w:r>
          <w:r>
            <w:rPr>
              <w:rFonts w:hint="default" w:ascii="Arial" w:hAnsi="Arial" w:cs="Arial"/>
              <w:b/>
              <w:bCs/>
              <w:sz w:val="24"/>
              <w:szCs w:val="24"/>
              <w:lang w:val="en-US" w:eastAsia="zh-CN"/>
            </w:rPr>
            <w:t>References</w:t>
          </w:r>
          <w:r>
            <w:rPr>
              <w:rFonts w:hint="default" w:ascii="Arial" w:hAnsi="Arial" w:cs="Arial"/>
              <w:b/>
              <w:sz w:val="24"/>
              <w:szCs w:val="24"/>
            </w:rPr>
            <w:tab/>
          </w:r>
          <w:r>
            <w:rPr>
              <w:rFonts w:hint="default" w:ascii="Arial" w:hAnsi="Arial" w:cs="Arial"/>
              <w:b/>
              <w:sz w:val="24"/>
              <w:szCs w:val="24"/>
            </w:rPr>
            <w:fldChar w:fldCharType="begin"/>
          </w:r>
          <w:r>
            <w:rPr>
              <w:rFonts w:hint="default" w:ascii="Arial" w:hAnsi="Arial" w:cs="Arial"/>
              <w:b/>
              <w:sz w:val="24"/>
              <w:szCs w:val="24"/>
            </w:rPr>
            <w:instrText xml:space="preserve"> PAGEREF _Toc30420 \h </w:instrText>
          </w:r>
          <w:r>
            <w:rPr>
              <w:rFonts w:hint="default" w:ascii="Arial" w:hAnsi="Arial" w:cs="Arial"/>
              <w:b/>
              <w:sz w:val="24"/>
              <w:szCs w:val="24"/>
            </w:rPr>
            <w:fldChar w:fldCharType="separate"/>
          </w:r>
          <w:r>
            <w:rPr>
              <w:rFonts w:hint="default" w:ascii="Arial" w:hAnsi="Arial" w:cs="Arial"/>
              <w:b/>
              <w:sz w:val="24"/>
              <w:szCs w:val="24"/>
            </w:rPr>
            <w:t>11</w:t>
          </w:r>
          <w:r>
            <w:rPr>
              <w:rFonts w:hint="default" w:ascii="Arial" w:hAnsi="Arial" w:cs="Arial"/>
              <w:b/>
              <w:sz w:val="24"/>
              <w:szCs w:val="24"/>
            </w:rPr>
            <w:fldChar w:fldCharType="end"/>
          </w:r>
          <w:r>
            <w:rPr>
              <w:rFonts w:hint="default" w:ascii="Arial" w:hAnsi="Arial" w:cs="Arial"/>
              <w:b/>
              <w:bCs/>
              <w:sz w:val="24"/>
              <w:szCs w:val="24"/>
            </w:rPr>
            <w:fldChar w:fldCharType="end"/>
          </w:r>
        </w:p>
        <w:p>
          <w:pPr>
            <w:rPr>
              <w:rFonts w:hint="default" w:ascii="Arial" w:hAnsi="Arial" w:cs="Arial"/>
              <w:b/>
              <w:bCs/>
              <w:sz w:val="24"/>
              <w:szCs w:val="24"/>
            </w:rPr>
          </w:pPr>
          <w:r>
            <w:rPr>
              <w:rFonts w:hint="default" w:ascii="Arial" w:hAnsi="Arial" w:cs="Arial"/>
              <w:b/>
              <w:bCs/>
              <w:sz w:val="24"/>
              <w:szCs w:val="24"/>
            </w:rPr>
            <w:fldChar w:fldCharType="end"/>
          </w:r>
        </w:p>
      </w:sdtContent>
    </w:sdt>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outlineLvl w:val="9"/>
        <w:rPr>
          <w:rFonts w:hint="default" w:ascii="Arial" w:hAnsi="Arial" w:cs="Arial"/>
          <w:b/>
          <w:bCs/>
          <w:sz w:val="24"/>
          <w:szCs w:val="24"/>
        </w:rPr>
      </w:pPr>
    </w:p>
    <w:p>
      <w:pPr>
        <w:outlineLvl w:val="9"/>
        <w:rPr>
          <w:rFonts w:hint="default" w:ascii="Arial" w:hAnsi="Arial" w:cs="Arial"/>
          <w:b/>
          <w:bCs/>
          <w:sz w:val="24"/>
          <w:szCs w:val="24"/>
        </w:rPr>
      </w:pPr>
    </w:p>
    <w:p>
      <w:pPr>
        <w:outlineLvl w:val="9"/>
        <w:rPr>
          <w:rFonts w:hint="default" w:ascii="Arial" w:hAnsi="Arial" w:cs="Arial"/>
          <w:b/>
          <w:bCs/>
          <w:sz w:val="24"/>
          <w:szCs w:val="24"/>
        </w:rPr>
      </w:pPr>
      <w:bookmarkStart w:id="15" w:name="_GoBack"/>
      <w:bookmarkEnd w:id="15"/>
    </w:p>
    <w:p>
      <w:pPr>
        <w:outlineLvl w:val="0"/>
        <w:rPr>
          <w:rFonts w:hint="default" w:ascii="Arial" w:hAnsi="Arial" w:cs="Arial"/>
          <w:b/>
          <w:bCs/>
          <w:sz w:val="24"/>
          <w:szCs w:val="24"/>
        </w:rPr>
      </w:pPr>
      <w:bookmarkStart w:id="0" w:name="_Toc7827"/>
      <w:r>
        <w:rPr>
          <w:rFonts w:hint="default" w:ascii="Arial" w:hAnsi="Arial" w:cs="Arial"/>
          <w:b/>
          <w:bCs/>
          <w:sz w:val="24"/>
          <w:szCs w:val="24"/>
        </w:rPr>
        <w:t>1.0 Introduction</w:t>
      </w:r>
      <w:bookmarkEnd w:id="0"/>
    </w:p>
    <w:p>
      <w:pPr>
        <w:rPr>
          <w:rFonts w:hint="default" w:ascii="Arial" w:hAnsi="Arial" w:cs="Arial"/>
          <w:sz w:val="24"/>
          <w:szCs w:val="24"/>
        </w:rPr>
      </w:pPr>
      <w:r>
        <w:rPr>
          <w:rFonts w:hint="default" w:ascii="Arial" w:hAnsi="Arial" w:cs="Arial"/>
          <w:sz w:val="24"/>
          <w:szCs w:val="24"/>
        </w:rPr>
        <w:t>Dealing with individuals from diverse national and cultural backgrounds during negotiations is inevitable in the current dynamic and quickly evolving global economy. Examining the cultural distinctions between nations during international business negotiations can enhance the effectiveness of the bargaining process and increase its overall success. In order to address cultural differences in international business negotiations, this article first analyses a number of specific aspects of these differences and then suggests appropriate countermeasures.</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b/>
          <w:bCs/>
          <w:sz w:val="24"/>
          <w:szCs w:val="24"/>
        </w:rPr>
      </w:pPr>
    </w:p>
    <w:p>
      <w:pPr>
        <w:outlineLvl w:val="0"/>
        <w:rPr>
          <w:rFonts w:hint="default" w:ascii="Arial" w:hAnsi="Arial" w:cs="Arial"/>
          <w:b/>
          <w:bCs/>
          <w:sz w:val="24"/>
          <w:szCs w:val="24"/>
        </w:rPr>
      </w:pPr>
      <w:bookmarkStart w:id="1" w:name="_Toc22937"/>
      <w:r>
        <w:rPr>
          <w:rFonts w:hint="default" w:ascii="Arial" w:hAnsi="Arial" w:cs="Arial"/>
          <w:b/>
          <w:bCs/>
          <w:sz w:val="24"/>
          <w:szCs w:val="24"/>
        </w:rPr>
        <w:t>2.0 IBC Definition</w:t>
      </w:r>
      <w:bookmarkEnd w:id="1"/>
    </w:p>
    <w:p>
      <w:pPr>
        <w:rPr>
          <w:rFonts w:hint="default" w:ascii="Arial" w:hAnsi="Arial" w:cs="Arial"/>
          <w:sz w:val="24"/>
          <w:szCs w:val="24"/>
        </w:rPr>
      </w:pPr>
      <w:r>
        <w:rPr>
          <w:rFonts w:hint="default" w:ascii="Arial" w:hAnsi="Arial" w:cs="Arial"/>
          <w:sz w:val="24"/>
          <w:szCs w:val="24"/>
        </w:rPr>
        <w:t>The term "international business communication" describes the communicative behaviour used in commercial activities with the intention of exchanging information and achieving business objectives(Dignen and Mcmaster, 2013). It is a fundamental and significant component of business communication and a crucial component of business operations. Negotiations between companies in various nations or areas with the goal of coming to business agreements, forming cooperative relationships, or settling business conflicts are known as international business communication. Maximising the interests of both parties through negotiation is the aim of international business negotiations(Ed, 1981).</w:t>
      </w:r>
    </w:p>
    <w:p>
      <w:pPr>
        <w:rPr>
          <w:rFonts w:hint="default" w:ascii="Arial" w:hAnsi="Arial" w:cs="Arial"/>
          <w:sz w:val="24"/>
          <w:szCs w:val="24"/>
        </w:rPr>
      </w:pPr>
    </w:p>
    <w:p>
      <w:pPr>
        <w:outlineLvl w:val="0"/>
        <w:rPr>
          <w:rFonts w:hint="default" w:ascii="Arial" w:hAnsi="Arial" w:cs="Arial"/>
          <w:b/>
          <w:bCs/>
          <w:sz w:val="24"/>
          <w:szCs w:val="24"/>
        </w:rPr>
      </w:pPr>
      <w:bookmarkStart w:id="2" w:name="_Toc31528"/>
      <w:r>
        <w:rPr>
          <w:rFonts w:hint="default" w:ascii="Arial" w:hAnsi="Arial" w:cs="Arial"/>
          <w:b/>
          <w:bCs/>
          <w:sz w:val="24"/>
          <w:szCs w:val="24"/>
        </w:rPr>
        <w:t>3.0 Types of cross-cultural barriers in international business communication</w:t>
      </w:r>
      <w:bookmarkEnd w:id="2"/>
    </w:p>
    <w:p>
      <w:pPr>
        <w:outlineLvl w:val="1"/>
        <w:rPr>
          <w:rFonts w:hint="default" w:ascii="Arial" w:hAnsi="Arial" w:cs="Arial"/>
          <w:b/>
          <w:bCs/>
          <w:sz w:val="24"/>
          <w:szCs w:val="24"/>
        </w:rPr>
      </w:pPr>
      <w:bookmarkStart w:id="3" w:name="_Toc25927"/>
      <w:r>
        <w:rPr>
          <w:rFonts w:hint="default" w:ascii="Arial" w:hAnsi="Arial" w:cs="Arial"/>
          <w:b/>
          <w:bCs/>
          <w:sz w:val="24"/>
          <w:szCs w:val="24"/>
        </w:rPr>
        <w:t>3.1 Language barriers in communication between the UK and France</w:t>
      </w:r>
      <w:bookmarkEnd w:id="3"/>
    </w:p>
    <w:p>
      <w:pPr>
        <w:rPr>
          <w:rFonts w:hint="default" w:ascii="Arial" w:hAnsi="Arial" w:cs="Arial"/>
          <w:sz w:val="24"/>
          <w:szCs w:val="24"/>
        </w:rPr>
      </w:pPr>
      <w:r>
        <w:rPr>
          <w:rFonts w:hint="default" w:ascii="Arial" w:hAnsi="Arial" w:cs="Arial"/>
          <w:sz w:val="24"/>
          <w:szCs w:val="24"/>
        </w:rPr>
        <w:t>One common and difficult problem in international business communication is language barriers. Participants in international business communication typically come from various nations or regions and communicate using different mother tongues. This linguistic disparity could make it harder to understand and communicate(Juan Carlos Palmer-Silveira, Ruiz-Garrido and Immaculada Fortanet-Gómez, 2008).</w:t>
      </w:r>
    </w:p>
    <w:p>
      <w:pPr>
        <w:rPr>
          <w:rFonts w:hint="default" w:ascii="Arial" w:hAnsi="Arial" w:cs="Arial"/>
          <w:sz w:val="24"/>
          <w:szCs w:val="24"/>
        </w:rPr>
      </w:pPr>
      <w:r>
        <w:rPr>
          <w:rFonts w:hint="default" w:ascii="Arial" w:hAnsi="Arial" w:cs="Arial"/>
          <w:sz w:val="24"/>
          <w:szCs w:val="24"/>
        </w:rPr>
        <w:t>Participants may find it difficult to understand and express themselves due to language barriers. English is the mother tongue of the United Kingdom, while French is the mother tongue of France. Due to their limited grasp of the other language, a lack of understanding between the two can make it difficult for them to accurately understand each other's intentions, opinions, or needs during communication(Jones and Alexander, 2019).</w:t>
      </w:r>
    </w:p>
    <w:p>
      <w:pPr>
        <w:rPr>
          <w:rFonts w:hint="default" w:ascii="Arial" w:hAnsi="Arial" w:cs="Arial"/>
          <w:sz w:val="24"/>
          <w:szCs w:val="24"/>
        </w:rPr>
      </w:pPr>
      <w:r>
        <w:rPr>
          <w:rFonts w:hint="default" w:ascii="Arial" w:hAnsi="Arial" w:cs="Arial"/>
          <w:sz w:val="24"/>
          <w:szCs w:val="24"/>
        </w:rPr>
        <w:t>However, because of their limited language proficiency, accents, and differences in pace, they might not be able to accurately, clearly, and fluently express their views and opinions in the UK and France. People with different accents and speaking velocities may find it difficult to understand or misunderstand what the other person is saying. A rapid pace, a strong accent, or a mispronounced pronunciation can occasionally make communication more challenging. Communication of information may be unclear and misunderstood due to linguistic differences. Misunderstandings may result from different language usage patterns or meanings for the same word, phrase, or sentence(Penny and Fox, 2008).</w:t>
      </w:r>
    </w:p>
    <w:p>
      <w:pPr>
        <w:rPr>
          <w:rFonts w:hint="default" w:ascii="Arial" w:hAnsi="Arial" w:cs="Arial"/>
          <w:sz w:val="24"/>
          <w:szCs w:val="24"/>
        </w:rPr>
      </w:pPr>
      <w:r>
        <w:rPr>
          <w:rFonts w:hint="default" w:ascii="Arial" w:hAnsi="Arial" w:cs="Arial"/>
          <w:sz w:val="24"/>
          <w:szCs w:val="24"/>
        </w:rPr>
        <w:t>Thirdly, misinterpretations or divergent interpretations of the same information may also result from cultural differences and linguistic practices between the UK and France. It can be difficult for non-native language users to comprehend and utilise professional jargon and complicated business topics in international business communication(Victor, 1992).</w:t>
      </w:r>
    </w:p>
    <w:p>
      <w:pPr>
        <w:rPr>
          <w:rFonts w:hint="default" w:ascii="Arial" w:hAnsi="Arial" w:cs="Arial"/>
          <w:sz w:val="24"/>
          <w:szCs w:val="24"/>
        </w:rPr>
      </w:pPr>
    </w:p>
    <w:p>
      <w:pPr>
        <w:outlineLvl w:val="1"/>
        <w:rPr>
          <w:rFonts w:hint="default" w:ascii="Arial" w:hAnsi="Arial" w:cs="Arial"/>
          <w:b/>
          <w:bCs/>
          <w:sz w:val="24"/>
          <w:szCs w:val="24"/>
        </w:rPr>
      </w:pPr>
      <w:bookmarkStart w:id="4" w:name="_Toc9850"/>
      <w:r>
        <w:rPr>
          <w:rFonts w:hint="default" w:ascii="Arial" w:hAnsi="Arial" w:cs="Arial"/>
          <w:b/>
          <w:bCs/>
          <w:sz w:val="24"/>
          <w:szCs w:val="24"/>
        </w:rPr>
        <w:t>3.2 Differences in Traditional Concepts between the UK and France</w:t>
      </w:r>
      <w:bookmarkEnd w:id="4"/>
    </w:p>
    <w:p>
      <w:pPr>
        <w:rPr>
          <w:rFonts w:hint="default" w:ascii="Arial" w:hAnsi="Arial" w:cs="Arial"/>
          <w:sz w:val="24"/>
          <w:szCs w:val="24"/>
        </w:rPr>
      </w:pPr>
      <w:r>
        <w:rPr>
          <w:rFonts w:hint="default" w:ascii="Arial" w:hAnsi="Arial" w:cs="Arial"/>
          <w:sz w:val="24"/>
          <w:szCs w:val="24"/>
        </w:rPr>
        <w:t>Another cross-cultural barrier in international business communication is differences in traditional beliefs. The ways in which traditional concepts, customs, and values are understood and valued vary amongst nations and regions. Different cultures have different definitions and ways of expressing politeness and manners(Schmidt, 2007). For instance, respect is highly valued in France, especially towards elders and authorities, whereas equality and free speech for all may be prioritised in the UK. This distinction could cause miscommunications and improper conduct during commercial discussions.</w:t>
      </w:r>
    </w:p>
    <w:p>
      <w:pPr>
        <w:rPr>
          <w:rFonts w:hint="default" w:ascii="Arial" w:hAnsi="Arial" w:cs="Arial"/>
          <w:sz w:val="24"/>
          <w:szCs w:val="24"/>
        </w:rPr>
      </w:pPr>
      <w:r>
        <w:rPr>
          <w:rFonts w:hint="default" w:ascii="Arial" w:hAnsi="Arial" w:cs="Arial"/>
          <w:sz w:val="24"/>
          <w:szCs w:val="24"/>
        </w:rPr>
        <w:t>While the UK places more emphasis on equality and democracy and may be more likely to treat negotiation participants equally, France places a high value on social status and hierarchy, which may affect decision-making and power distribution in negotiations. Disparities like this could give rise to power and status disputes (Bovée and Thill, 2016).</w:t>
      </w:r>
    </w:p>
    <w:p>
      <w:pPr>
        <w:rPr>
          <w:rFonts w:hint="default" w:ascii="Arial" w:hAnsi="Arial" w:cs="Arial"/>
          <w:sz w:val="24"/>
          <w:szCs w:val="24"/>
        </w:rPr>
      </w:pPr>
      <w:r>
        <w:rPr>
          <w:rFonts w:hint="default" w:ascii="Arial" w:hAnsi="Arial" w:cs="Arial"/>
          <w:sz w:val="24"/>
          <w:szCs w:val="24"/>
        </w:rPr>
        <w:t>The way that people view and use time varies across cultures. The UK hopes that meetings and negotiations can begin and end on time, values efficiency and punctuality, and views time as money. It's possible that France is more adaptable over time and places more value on interpersonal relationships and flexibility(Bovée and Thill, 2014). This discrepancy could cause scheduling conflicts and delays in meeting progress.</w:t>
      </w:r>
    </w:p>
    <w:p>
      <w:pPr>
        <w:rPr>
          <w:rFonts w:hint="default" w:ascii="Arial" w:hAnsi="Arial" w:cs="Arial"/>
          <w:sz w:val="24"/>
          <w:szCs w:val="24"/>
        </w:rPr>
      </w:pPr>
    </w:p>
    <w:p>
      <w:pPr>
        <w:outlineLvl w:val="1"/>
        <w:rPr>
          <w:rFonts w:hint="default" w:ascii="Arial" w:hAnsi="Arial" w:cs="Arial"/>
          <w:b/>
          <w:bCs/>
          <w:sz w:val="24"/>
          <w:szCs w:val="24"/>
        </w:rPr>
      </w:pPr>
      <w:bookmarkStart w:id="5" w:name="_Toc24668"/>
      <w:r>
        <w:rPr>
          <w:rFonts w:hint="default" w:ascii="Arial" w:hAnsi="Arial" w:cs="Arial"/>
          <w:b/>
          <w:bCs/>
          <w:sz w:val="24"/>
          <w:szCs w:val="24"/>
          <w:lang w:val="en-US" w:eastAsia="zh-CN"/>
        </w:rPr>
        <w:t xml:space="preserve">3.3 </w:t>
      </w:r>
      <w:r>
        <w:rPr>
          <w:rFonts w:hint="default" w:ascii="Arial" w:hAnsi="Arial" w:cs="Arial"/>
          <w:b/>
          <w:bCs/>
          <w:sz w:val="24"/>
          <w:szCs w:val="24"/>
        </w:rPr>
        <w:t>Differences in interpersonal relationships</w:t>
      </w:r>
      <w:bookmarkEnd w:id="5"/>
    </w:p>
    <w:p>
      <w:pPr>
        <w:rPr>
          <w:rFonts w:hint="default" w:ascii="Arial" w:hAnsi="Arial" w:cs="Arial"/>
          <w:sz w:val="24"/>
          <w:szCs w:val="24"/>
        </w:rPr>
      </w:pPr>
      <w:r>
        <w:rPr>
          <w:rFonts w:hint="default" w:ascii="Arial" w:hAnsi="Arial" w:cs="Arial"/>
          <w:sz w:val="24"/>
          <w:szCs w:val="24"/>
        </w:rPr>
        <w:t>Individuals are more inclined to put their own interests first and would prefer to be respected rather than denigrated, valued rather than ignored, and appreciated by others(Ghauri and Jean-Claude Usunier, 2003). There are interpersonal relationship differences between French and British individuals in international business negotiations and communication. British people have a tendency to think more directly. In the context of interpersonal relationships in the UK, communication should be direct and concise, avoiding ambiguity.</w:t>
      </w:r>
    </w:p>
    <w:p>
      <w:pPr>
        <w:rPr>
          <w:rFonts w:hint="default" w:ascii="Arial" w:hAnsi="Arial" w:cs="Arial"/>
          <w:sz w:val="24"/>
          <w:szCs w:val="24"/>
        </w:rPr>
      </w:pPr>
      <w:r>
        <w:rPr>
          <w:rFonts w:hint="default" w:ascii="Arial" w:hAnsi="Arial" w:cs="Arial"/>
          <w:sz w:val="24"/>
          <w:szCs w:val="24"/>
        </w:rPr>
        <w:t>In French interpersonal relationships, it's customary to click and give yourself permission to consider what you want to say. Networking is essential for fostering interpersonal relationships, which are highly valued in France. In international business negotiations, French people foster a congenial and peaceful environment that serves as the basis for positive interpersonal relationships. The British are known for their practicality and tendency to take the long way around(Abramson, Moran and Harris, 2018). These interpersonal variations show up in politics, the economy, diplomacy, and business negotiations, among other contexts.</w:t>
      </w:r>
    </w:p>
    <w:p>
      <w:pPr>
        <w:rPr>
          <w:rFonts w:hint="default" w:ascii="Arial" w:hAnsi="Arial" w:cs="Arial"/>
          <w:sz w:val="24"/>
          <w:szCs w:val="24"/>
        </w:rPr>
      </w:pPr>
      <w:r>
        <w:rPr>
          <w:rFonts w:hint="default" w:ascii="Arial" w:hAnsi="Arial" w:cs="Arial"/>
          <w:sz w:val="24"/>
          <w:szCs w:val="24"/>
        </w:rPr>
        <w:t>Negotiations in France require the development and maintenance of good interpersonal relationships and trust, which take time to establish. Establishing relationships and trust can be challenging in the UK due to the focus on the business itself and a propensity for direct transactions and collaborations.</w:t>
      </w:r>
    </w:p>
    <w:p>
      <w:pPr>
        <w:rPr>
          <w:rFonts w:hint="default" w:ascii="Arial" w:hAnsi="Arial" w:cs="Arial"/>
          <w:b/>
          <w:bCs/>
          <w:sz w:val="24"/>
          <w:szCs w:val="24"/>
        </w:rPr>
      </w:pPr>
    </w:p>
    <w:p>
      <w:pPr>
        <w:outlineLvl w:val="1"/>
        <w:rPr>
          <w:rFonts w:hint="default" w:ascii="Arial" w:hAnsi="Arial" w:cs="Arial"/>
          <w:b/>
          <w:bCs/>
          <w:sz w:val="24"/>
          <w:szCs w:val="24"/>
        </w:rPr>
      </w:pPr>
      <w:bookmarkStart w:id="6" w:name="_Toc1459"/>
      <w:r>
        <w:rPr>
          <w:rFonts w:hint="default" w:ascii="Arial" w:hAnsi="Arial" w:cs="Arial"/>
          <w:b/>
          <w:bCs/>
          <w:sz w:val="24"/>
          <w:szCs w:val="24"/>
        </w:rPr>
        <w:t>3.4 Differences between high context and low context cultures</w:t>
      </w:r>
      <w:bookmarkEnd w:id="6"/>
    </w:p>
    <w:p>
      <w:pPr>
        <w:rPr>
          <w:rFonts w:hint="default" w:ascii="Arial" w:hAnsi="Arial" w:cs="Arial"/>
          <w:sz w:val="24"/>
          <w:szCs w:val="24"/>
        </w:rPr>
      </w:pPr>
      <w:r>
        <w:rPr>
          <w:rFonts w:hint="default" w:ascii="Arial" w:hAnsi="Arial" w:cs="Arial"/>
          <w:sz w:val="24"/>
          <w:szCs w:val="24"/>
        </w:rPr>
        <w:t>High context cultures are those that exist in social contexts other than language, like French culture, where communication is the primary means of information transmission. Low context culture is the term used to describe a communication process in which language is primarily used to transmit information rather than the outside world, like British culture(Storti, 2017).</w:t>
      </w:r>
    </w:p>
    <w:p>
      <w:pPr>
        <w:bidi w:val="0"/>
        <w:rPr>
          <w:rFonts w:hint="default" w:ascii="Arial" w:hAnsi="Arial" w:cs="Arial"/>
          <w:sz w:val="24"/>
          <w:szCs w:val="24"/>
        </w:rPr>
      </w:pPr>
      <w:r>
        <w:rPr>
          <w:rFonts w:hint="default" w:ascii="Arial" w:hAnsi="Arial" w:cs="Arial"/>
          <w:sz w:val="24"/>
          <w:szCs w:val="24"/>
        </w:rPr>
        <w:t>French people are not used to assuming anything about one another from context; instead, they prefer to voice their opinions directly. In language dialogue, which is a confrontational method of resolving disputes through language, French people will directly contradict each other in order to emphasise the rationality of things and make clear what is right and wrong. Conversely, British people like to communicate diplomatically(Mary Jane Collier, 2001). To keep a relationship harmonious, they usually take the other person's feelings into greater consideration and refrain from being direct or abrupt. In times of crisis or disagreement, the British side will resort to non-verbal, non-coercive means of facilitating a peaceful resolution. Individuals from low context cultures will value contract provisions, communicate professionally, and sign and stamp documents as a show of confidence. Before gaining trust, negotiators in high context cultures must establish rapport, have protracted conversations, and attend several banquets. They wait to initiate formal conversations until they have grown to know and trust their prospective partners(Book, 2019).When a contract is executed, minimal context British negotiators will celebrate with a relaxed attitude, as they consider the contract to contain all the necessary details, and the law and trust are established by the parties' signatures and stamps(Lampert, 2013). High context culture does, however, also anticipate additional nonverbal cues following the contract's signing, such as partners patting each other on the chest or declaring, "I will personally supervise the priority resolution of this matter," "I will definitely complete the task with quality and quantity," etc. The higher ranks of the Chinese side frequently question the negotiating representative after the negotiation is finished and returned, for example, "Have you received the other party's personal commitment?" A "no" answer will be interpreted as "inexperienced and unreliable" from the negotiator's perspective because high context cultures depend on contexts other than these languages to validate the project's risk.</w:t>
      </w:r>
    </w:p>
    <w:p>
      <w:pPr>
        <w:outlineLvl w:val="9"/>
        <w:rPr>
          <w:rFonts w:hint="default" w:ascii="Arial" w:hAnsi="Arial" w:cs="Arial"/>
          <w:sz w:val="24"/>
          <w:szCs w:val="24"/>
        </w:rPr>
      </w:pPr>
    </w:p>
    <w:p>
      <w:pPr>
        <w:outlineLvl w:val="0"/>
        <w:rPr>
          <w:rFonts w:hint="default" w:ascii="Arial" w:hAnsi="Arial" w:cs="Arial"/>
          <w:b/>
          <w:bCs/>
          <w:sz w:val="24"/>
          <w:szCs w:val="24"/>
        </w:rPr>
      </w:pPr>
      <w:bookmarkStart w:id="7" w:name="_Toc31337"/>
      <w:r>
        <w:rPr>
          <w:rFonts w:hint="default" w:ascii="Arial" w:hAnsi="Arial" w:cs="Arial"/>
          <w:b/>
          <w:bCs/>
          <w:sz w:val="24"/>
          <w:szCs w:val="24"/>
        </w:rPr>
        <w:t>4.0 Strategies for cross-cultural communication</w:t>
      </w:r>
      <w:bookmarkEnd w:id="7"/>
    </w:p>
    <w:p>
      <w:pPr>
        <w:outlineLvl w:val="0"/>
        <w:rPr>
          <w:rFonts w:hint="default" w:ascii="Arial" w:hAnsi="Arial" w:cs="Arial"/>
          <w:b/>
          <w:bCs/>
          <w:sz w:val="24"/>
          <w:szCs w:val="24"/>
        </w:rPr>
      </w:pPr>
      <w:bookmarkStart w:id="8" w:name="_Toc5377"/>
      <w:r>
        <w:rPr>
          <w:rFonts w:hint="default" w:ascii="Arial" w:hAnsi="Arial" w:cs="Arial"/>
          <w:b/>
          <w:bCs/>
          <w:sz w:val="24"/>
          <w:szCs w:val="24"/>
        </w:rPr>
        <w:t>4.1 Using a Common Language</w:t>
      </w:r>
      <w:bookmarkEnd w:id="8"/>
    </w:p>
    <w:p>
      <w:pPr>
        <w:rPr>
          <w:rFonts w:hint="default" w:ascii="Arial" w:hAnsi="Arial" w:cs="Arial"/>
          <w:sz w:val="24"/>
          <w:szCs w:val="24"/>
        </w:rPr>
      </w:pPr>
      <w:r>
        <w:rPr>
          <w:rFonts w:hint="default" w:ascii="Arial" w:hAnsi="Arial" w:cs="Arial"/>
          <w:sz w:val="24"/>
          <w:szCs w:val="24"/>
        </w:rPr>
        <w:t>One way to overcome language barriers is to speak a common second language. Choose to communicate in the shared second language of the parties to the negotiation in order to increase the likelihood of understanding. Concise and unambiguous language expression is essential when communicating in a common second language in order to guarantee that information is transmitted clearly. Both parties should actively verify their understanding and intentions during the communication process(Alvarez, 2018). They should also make sure that there is consistency in understanding by clarifying, restating, or summarising each other's points of view. If there are any questions or concerns, they ought to be answered as soon as possible. The efficiency of language communication in cross-cultural negotiations can be enhanced by using a common second language and appropriate expressions, which can also lead to more opportunities for cooperation and mutual understanding(Wozencraft and Irwin Mark Jacobs, 1965).</w:t>
      </w:r>
    </w:p>
    <w:p>
      <w:pPr>
        <w:rPr>
          <w:rFonts w:hint="default" w:ascii="Arial" w:hAnsi="Arial" w:cs="Arial"/>
          <w:sz w:val="24"/>
          <w:szCs w:val="24"/>
        </w:rPr>
      </w:pPr>
      <w:r>
        <w:rPr>
          <w:rFonts w:hint="default" w:ascii="Arial" w:hAnsi="Arial" w:cs="Arial"/>
          <w:sz w:val="24"/>
          <w:szCs w:val="24"/>
        </w:rPr>
        <w:t>For instance, communicating in English. Unquestionably, English has emerged as the principal language for business agreements and communication due to its global reach. One of the languages that is now spoken the most widely worldwide is English. English must be used for business communication and negotiation in multinational firms, financial institutions, international organisations, and cross-border trade activities.</w:t>
      </w:r>
    </w:p>
    <w:p>
      <w:pPr>
        <w:rPr>
          <w:rFonts w:hint="default" w:ascii="Arial" w:hAnsi="Arial" w:cs="Arial"/>
          <w:sz w:val="24"/>
          <w:szCs w:val="24"/>
        </w:rPr>
      </w:pPr>
    </w:p>
    <w:p>
      <w:pPr>
        <w:outlineLvl w:val="1"/>
        <w:rPr>
          <w:rFonts w:hint="default" w:ascii="Arial" w:hAnsi="Arial" w:cs="Arial"/>
          <w:b/>
          <w:bCs/>
          <w:sz w:val="24"/>
          <w:szCs w:val="24"/>
        </w:rPr>
      </w:pPr>
      <w:bookmarkStart w:id="9" w:name="_Toc9791"/>
      <w:r>
        <w:rPr>
          <w:rFonts w:hint="default" w:ascii="Arial" w:hAnsi="Arial" w:cs="Arial"/>
          <w:b/>
          <w:bCs/>
          <w:sz w:val="24"/>
          <w:szCs w:val="24"/>
        </w:rPr>
        <w:t>4.2 Cross cultural training to gain a deeper understanding of the other party's culture</w:t>
      </w:r>
      <w:bookmarkEnd w:id="9"/>
    </w:p>
    <w:p>
      <w:pPr>
        <w:rPr>
          <w:rFonts w:hint="default" w:ascii="Arial" w:hAnsi="Arial" w:cs="Arial"/>
          <w:sz w:val="24"/>
          <w:szCs w:val="24"/>
        </w:rPr>
      </w:pPr>
      <w:r>
        <w:rPr>
          <w:rFonts w:hint="default" w:ascii="Arial" w:hAnsi="Arial" w:cs="Arial"/>
          <w:sz w:val="24"/>
          <w:szCs w:val="24"/>
        </w:rPr>
        <w:t>Personnel involved in international business communication can benefit from cross-cultural education and training, as well as understanding the values, codes of conduct, and business etiquette of various cultural backgrounds, to help them overcome cultural differences in international business communication(Yi, 2012). A thorough grasp of the culture of one's own nation is necessary to comprehend French and British culture. Through this kind of training, they can improve their mutual understanding and respect of one another's cultures, prevent miscommunications and disputes, and boost the efficiency of cross-cultural dialogue.</w:t>
      </w:r>
    </w:p>
    <w:p>
      <w:pPr>
        <w:rPr>
          <w:rFonts w:hint="default" w:ascii="Arial" w:hAnsi="Arial" w:cs="Arial"/>
          <w:sz w:val="24"/>
          <w:szCs w:val="24"/>
        </w:rPr>
      </w:pPr>
      <w:r>
        <w:rPr>
          <w:rFonts w:hint="default" w:ascii="Arial" w:hAnsi="Arial" w:cs="Arial"/>
          <w:sz w:val="24"/>
          <w:szCs w:val="24"/>
        </w:rPr>
        <w:t>When communicating, it's important to be flexible and adaptable. One should make an effort to adjust to the cultural background and preferences of the other party, which may involve changing decision-making procedures, communication strategies, and temporal conceptions. A foundation of trust and cooperation can be built by exhibiting tolerance and respect for one another's cultures(Feinberg, 2000). Actively listening to the other party's viewpoints and opinions is essential in cross-cultural business communication because it can help clarify their cultural background and motivations and lessen biases and misunderstandings. Make sure the other person understands your intentions and points of view by providing clarification at the same time.</w:t>
      </w:r>
    </w:p>
    <w:p>
      <w:pPr>
        <w:rPr>
          <w:rFonts w:hint="default" w:ascii="Arial" w:hAnsi="Arial" w:cs="Arial"/>
          <w:sz w:val="24"/>
          <w:szCs w:val="24"/>
        </w:rPr>
      </w:pPr>
      <w:r>
        <w:rPr>
          <w:rFonts w:hint="default" w:ascii="Arial" w:hAnsi="Arial" w:cs="Arial"/>
          <w:sz w:val="24"/>
          <w:szCs w:val="24"/>
        </w:rPr>
        <w:t>Create a cross-cultural team by integrating individuals with varying cultural experiences and backgrounds. In addition to offering diverse viewpoints and solutions, this team can strengthen sensitivity and adaptability during cross-cultural negotiations.</w:t>
      </w:r>
    </w:p>
    <w:p>
      <w:pPr>
        <w:outlineLvl w:val="9"/>
        <w:rPr>
          <w:rFonts w:hint="default" w:ascii="Arial" w:hAnsi="Arial" w:cs="Arial"/>
          <w:b/>
          <w:bCs/>
          <w:sz w:val="24"/>
          <w:szCs w:val="24"/>
        </w:rPr>
      </w:pPr>
    </w:p>
    <w:p>
      <w:pPr>
        <w:outlineLvl w:val="1"/>
        <w:rPr>
          <w:rFonts w:hint="default" w:ascii="Arial" w:hAnsi="Arial" w:cs="Arial"/>
          <w:b/>
          <w:bCs/>
          <w:sz w:val="24"/>
          <w:szCs w:val="24"/>
        </w:rPr>
      </w:pPr>
      <w:bookmarkStart w:id="10" w:name="_Toc11749"/>
      <w:r>
        <w:rPr>
          <w:rFonts w:hint="default" w:ascii="Arial" w:hAnsi="Arial" w:cs="Arial"/>
          <w:b/>
          <w:bCs/>
          <w:sz w:val="24"/>
          <w:szCs w:val="24"/>
        </w:rPr>
        <w:t>4.3 Establishing interpersonal relationships</w:t>
      </w:r>
      <w:bookmarkEnd w:id="10"/>
    </w:p>
    <w:p>
      <w:pPr>
        <w:rPr>
          <w:rFonts w:hint="default" w:ascii="Arial" w:hAnsi="Arial" w:cs="Arial"/>
          <w:sz w:val="24"/>
          <w:szCs w:val="24"/>
        </w:rPr>
      </w:pPr>
      <w:r>
        <w:rPr>
          <w:rFonts w:hint="default" w:ascii="Arial" w:hAnsi="Arial" w:cs="Arial"/>
          <w:sz w:val="24"/>
          <w:szCs w:val="24"/>
        </w:rPr>
        <w:t>Building strong interpersonal ties is crucial for successful international business communication. Cooperation opportunities can be increased and barriers resulting from cultural differences can be lessened by actively fostering mutual trust and building trust with the other party while respecting their culture and personal values(Hammond, 1997). Cultural differences in cross-border business communication can be more effectively addressed by implementing these solutions, which will facilitate successful negotiations and cross-cultural cooperation.</w:t>
      </w:r>
    </w:p>
    <w:p>
      <w:pPr>
        <w:rPr>
          <w:rFonts w:hint="default" w:ascii="Arial" w:hAnsi="Arial" w:cs="Arial"/>
          <w:b/>
          <w:bCs/>
          <w:sz w:val="24"/>
          <w:szCs w:val="24"/>
        </w:rPr>
      </w:pPr>
    </w:p>
    <w:p>
      <w:pPr>
        <w:outlineLvl w:val="1"/>
        <w:rPr>
          <w:rFonts w:hint="default" w:ascii="Arial" w:hAnsi="Arial" w:cs="Arial"/>
          <w:b/>
          <w:bCs/>
          <w:sz w:val="24"/>
          <w:szCs w:val="24"/>
        </w:rPr>
      </w:pPr>
      <w:bookmarkStart w:id="11" w:name="_Toc2432"/>
      <w:r>
        <w:rPr>
          <w:rFonts w:hint="default" w:ascii="Arial" w:hAnsi="Arial" w:cs="Arial"/>
          <w:b/>
          <w:bCs/>
          <w:sz w:val="24"/>
          <w:szCs w:val="24"/>
        </w:rPr>
        <w:t>4.4 Emphasize the cultivation of communication skills</w:t>
      </w:r>
      <w:bookmarkEnd w:id="11"/>
    </w:p>
    <w:p>
      <w:pPr>
        <w:rPr>
          <w:rFonts w:hint="default" w:ascii="Arial" w:hAnsi="Arial" w:cs="Arial"/>
          <w:sz w:val="24"/>
          <w:szCs w:val="24"/>
        </w:rPr>
      </w:pPr>
      <w:r>
        <w:rPr>
          <w:rFonts w:hint="default" w:ascii="Arial" w:hAnsi="Arial" w:cs="Arial"/>
          <w:sz w:val="24"/>
          <w:szCs w:val="24"/>
        </w:rPr>
        <w:t>The process of expressing and comprehending meaning is called communication. The most important core skill that communication professionals should develop is communication ability.</w:t>
      </w:r>
    </w:p>
    <w:p>
      <w:pPr>
        <w:rPr>
          <w:rFonts w:hint="default" w:ascii="Arial" w:hAnsi="Arial" w:cs="Arial"/>
          <w:sz w:val="24"/>
          <w:szCs w:val="24"/>
        </w:rPr>
      </w:pPr>
      <w:r>
        <w:rPr>
          <w:rFonts w:hint="default" w:ascii="Arial" w:hAnsi="Arial" w:cs="Arial"/>
          <w:sz w:val="24"/>
          <w:szCs w:val="24"/>
        </w:rPr>
        <w:t>The French are used to thinking holistically and have a high context culture, which frequently results in meaningful but nonverbal communication. While people in low context cultures mostly rely on language rather than context to express meaning, British people are used to logical thought (Winfried Siemerling, 1996). British negotiators have better communication skills and a better way of thinking than French negotiators when it comes to business dealings and contracts. The main causes of ineffective communication are a lack of logic, a lack of experience with precise definitions, and a failure to distinguish between personnel. French negotiators should concentrate on addressing these issues.</w:t>
      </w:r>
    </w:p>
    <w:p>
      <w:pPr>
        <w:rPr>
          <w:rFonts w:hint="default" w:ascii="Arial" w:hAnsi="Arial" w:cs="Arial"/>
          <w:sz w:val="24"/>
          <w:szCs w:val="24"/>
        </w:rPr>
      </w:pPr>
      <w:r>
        <w:rPr>
          <w:rFonts w:hint="default" w:ascii="Arial" w:hAnsi="Arial" w:cs="Arial"/>
          <w:sz w:val="24"/>
          <w:szCs w:val="24"/>
        </w:rPr>
        <w:t>The actual negotiation is the most crucial component of international business negotiations. Negotiations may veer off course and fail to produce the desired outcomes if one party fails to fully express their own ideas and points of view or if the other party's attitude is misunderstood(Mcfarland and John David Burton, 1969). Every language, as we all know, has a great deal of inherent meanings and specific applications.A different interpretation of the meaning may result from misinterpreting these expressions. It is best to steer clear of this during negotiations as it can be highly hazardous. In particular, it imposes stringent guidelines for translators(Reinhard Golz, 2005). First and foremost, care should be taken when choosing translators; it shouldn't be random. Second, it's critical to communicate one's opinions to the translators precisely and concisely; failing to do so will complicate the translation process needlessly and may even cause issues during negotiations.</w:t>
      </w:r>
    </w:p>
    <w:p>
      <w:pPr>
        <w:rPr>
          <w:rFonts w:hint="default" w:ascii="Arial" w:hAnsi="Arial" w:cs="Arial"/>
          <w:b/>
          <w:bCs/>
          <w:sz w:val="24"/>
          <w:szCs w:val="24"/>
        </w:rPr>
      </w:pPr>
    </w:p>
    <w:p>
      <w:pPr>
        <w:outlineLvl w:val="9"/>
        <w:rPr>
          <w:rFonts w:hint="default" w:ascii="Arial" w:hAnsi="Arial" w:cs="Arial"/>
          <w:b/>
          <w:bCs/>
          <w:sz w:val="24"/>
          <w:szCs w:val="24"/>
        </w:rPr>
      </w:pPr>
    </w:p>
    <w:p>
      <w:pPr>
        <w:outlineLvl w:val="0"/>
        <w:rPr>
          <w:rFonts w:hint="default" w:ascii="Arial" w:hAnsi="Arial" w:cs="Arial"/>
          <w:b/>
          <w:bCs/>
          <w:sz w:val="24"/>
          <w:szCs w:val="24"/>
        </w:rPr>
      </w:pPr>
      <w:bookmarkStart w:id="12" w:name="_Toc28922"/>
      <w:r>
        <w:rPr>
          <w:rFonts w:hint="default" w:ascii="Arial" w:hAnsi="Arial" w:cs="Arial"/>
          <w:b/>
          <w:bCs/>
          <w:sz w:val="24"/>
          <w:szCs w:val="24"/>
        </w:rPr>
        <w:t>5.0 Suggestions</w:t>
      </w:r>
      <w:bookmarkEnd w:id="12"/>
    </w:p>
    <w:p>
      <w:pPr>
        <w:rPr>
          <w:rFonts w:hint="default" w:ascii="Arial" w:hAnsi="Arial" w:cs="Arial"/>
          <w:sz w:val="24"/>
          <w:szCs w:val="24"/>
        </w:rPr>
      </w:pPr>
      <w:r>
        <w:rPr>
          <w:rFonts w:hint="default" w:ascii="Arial" w:hAnsi="Arial" w:cs="Arial"/>
          <w:sz w:val="24"/>
          <w:szCs w:val="24"/>
        </w:rPr>
        <w:t>Develop a win-win mindset. Mutual compromise is the process of negotiation. There are many negotiations that are win-win and mutually beneficial, despite the fact that there are instances in which there are opposing positions, disregarding the interests of the other party, and only seeking the maximisation of one's own interests. A zero sum situation can be transformed into a win-win outcome more easily by those who possess a win-win mindset and strong negotiating skills(Taylor, 2001). The pursuit of the greatest share of current benefits should not be the exclusive goal of negotiations, nor should current interests be treated as set in stone. A methodical approach is necessary to break through narrow-mindedness and achieve win-win outcomes. Value creation should be taken into consideration</w:t>
      </w:r>
      <w:r>
        <w:rPr>
          <w:rFonts w:hint="default" w:ascii="Arial" w:hAnsi="Arial" w:cs="Arial"/>
          <w:sz w:val="24"/>
          <w:szCs w:val="24"/>
          <w:lang w:val="en-US" w:eastAsia="zh-CN"/>
        </w:rPr>
        <w:t>(Journal of Business Communication, 2005).</w:t>
      </w:r>
      <w:r>
        <w:rPr>
          <w:rFonts w:hint="default" w:ascii="Arial" w:hAnsi="Arial" w:cs="Arial"/>
          <w:sz w:val="24"/>
          <w:szCs w:val="24"/>
        </w:rPr>
        <w:t>In order to effectively accomplish the organization's negotiation goals, negotiators must be aware of the cultural differences across various nations, carefully examine the other party's negotiating style, understand the other party's language and non-language habits, values, thought patterns, behavioural patterns, and psychological traits, make adequate preparations, and foster a positive communication environment before engaging in international business negotiations.</w:t>
      </w:r>
    </w:p>
    <w:p>
      <w:pPr>
        <w:rPr>
          <w:rFonts w:hint="default" w:ascii="Arial" w:hAnsi="Arial" w:cs="Arial"/>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rPr>
          <w:rFonts w:hint="default" w:ascii="Arial" w:hAnsi="Arial" w:cs="Arial"/>
          <w:b/>
          <w:bCs/>
          <w:sz w:val="24"/>
          <w:szCs w:val="24"/>
        </w:rPr>
      </w:pPr>
    </w:p>
    <w:p>
      <w:pPr>
        <w:outlineLvl w:val="9"/>
        <w:rPr>
          <w:rFonts w:hint="default" w:ascii="Arial" w:hAnsi="Arial" w:cs="Arial"/>
          <w:b/>
          <w:bCs/>
          <w:sz w:val="24"/>
          <w:szCs w:val="24"/>
        </w:rPr>
      </w:pPr>
    </w:p>
    <w:p>
      <w:pPr>
        <w:outlineLvl w:val="0"/>
        <w:rPr>
          <w:rFonts w:hint="default" w:ascii="Arial" w:hAnsi="Arial" w:cs="Arial"/>
          <w:b/>
          <w:bCs/>
          <w:sz w:val="24"/>
          <w:szCs w:val="24"/>
        </w:rPr>
      </w:pPr>
      <w:bookmarkStart w:id="13" w:name="_Toc5591"/>
      <w:r>
        <w:rPr>
          <w:rFonts w:hint="default" w:ascii="Arial" w:hAnsi="Arial" w:cs="Arial"/>
          <w:b/>
          <w:bCs/>
          <w:sz w:val="24"/>
          <w:szCs w:val="24"/>
        </w:rPr>
        <w:t>6.0 Conclusion</w:t>
      </w:r>
      <w:bookmarkEnd w:id="13"/>
    </w:p>
    <w:p>
      <w:pPr>
        <w:rPr>
          <w:rFonts w:hint="default" w:ascii="Arial" w:hAnsi="Arial" w:cs="Arial"/>
          <w:sz w:val="24"/>
          <w:szCs w:val="24"/>
        </w:rPr>
      </w:pPr>
      <w:r>
        <w:rPr>
          <w:rFonts w:hint="default" w:ascii="Arial" w:hAnsi="Arial" w:cs="Arial"/>
          <w:sz w:val="24"/>
          <w:szCs w:val="24"/>
        </w:rPr>
        <w:t xml:space="preserve">We should be well-prepared for negotiations involving international business. First and foremost, we ought to be aware of the cultural differences between the two groups and refrain from making assumptions about one another based solely on our own. Second, we ought to intensify our language education and accurately assess and comprehend the linguistic variations among various nations; In order to lessen or prevent the detrimental effects of cultural differences on international business negotiations, we must respect one another's cultures and encourage communication between the two sides. Negotiations involving international business are significantly influenced by cultural considerations. </w:t>
      </w:r>
    </w:p>
    <w:p>
      <w:pPr>
        <w:rPr>
          <w:rFonts w:hint="default" w:ascii="Arial" w:hAnsi="Arial" w:cs="Arial"/>
          <w:sz w:val="24"/>
          <w:szCs w:val="24"/>
        </w:rPr>
      </w:pPr>
      <w:r>
        <w:rPr>
          <w:rFonts w:hint="default" w:ascii="Arial" w:hAnsi="Arial" w:cs="Arial"/>
          <w:sz w:val="24"/>
          <w:szCs w:val="24"/>
        </w:rPr>
        <w:t>Because cultures differ so widely, it is easy for negotiators to have cultural conflicts. As a result, the two parties frequently find themselves in unfavourable situations when negotiating. Communication styles among negotiators from high-context and low-context nations also differ significantly. International business negotiations can therefore proceed more smoothly if different perspectives are understood, innate thought patterns are broken, negotiators' cultural literacy is improved, their personal psychological knowledge and cross-cultural sensitivity is increased, and so forth.</w:t>
      </w:r>
    </w:p>
    <w:p>
      <w:pPr>
        <w:rPr>
          <w:rFonts w:hint="default" w:ascii="Arial" w:hAnsi="Arial" w:cs="Arial"/>
          <w:b/>
          <w:bCs/>
          <w:sz w:val="24"/>
          <w:szCs w:val="24"/>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both"/>
        <w:outlineLvl w:val="9"/>
        <w:rPr>
          <w:rFonts w:hint="default" w:ascii="Arial" w:hAnsi="Arial" w:cs="Arial"/>
          <w:b/>
          <w:bCs/>
          <w:sz w:val="24"/>
          <w:szCs w:val="24"/>
          <w:lang w:val="en-US" w:eastAsia="zh-CN"/>
        </w:rPr>
      </w:pPr>
    </w:p>
    <w:p>
      <w:pPr>
        <w:jc w:val="both"/>
        <w:outlineLvl w:val="0"/>
        <w:rPr>
          <w:rFonts w:hint="default" w:ascii="Arial" w:hAnsi="Arial" w:cs="Arial"/>
          <w:b/>
          <w:bCs/>
          <w:sz w:val="24"/>
          <w:szCs w:val="24"/>
          <w:lang w:val="en-US" w:eastAsia="zh-CN"/>
        </w:rPr>
      </w:pPr>
      <w:bookmarkStart w:id="14" w:name="_Toc30420"/>
      <w:r>
        <w:rPr>
          <w:rFonts w:hint="default" w:ascii="Arial" w:hAnsi="Arial" w:cs="Arial"/>
          <w:b/>
          <w:bCs/>
          <w:sz w:val="24"/>
          <w:szCs w:val="24"/>
          <w:lang w:val="en-US" w:eastAsia="zh-CN"/>
        </w:rPr>
        <w:t>References</w:t>
      </w:r>
      <w:bookmarkEnd w:id="14"/>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Dignen, B. and Mcmaster, I. (2013). </w:t>
      </w:r>
      <w:r>
        <w:rPr>
          <w:rFonts w:hint="default" w:ascii="Arial" w:hAnsi="Arial" w:cs="Arial"/>
          <w:i/>
          <w:iCs/>
          <w:caps w:val="0"/>
          <w:color w:val="000000"/>
          <w:spacing w:val="0"/>
          <w:sz w:val="24"/>
          <w:szCs w:val="24"/>
        </w:rPr>
        <w:t>Effective international business communication</w:t>
      </w:r>
      <w:r>
        <w:rPr>
          <w:rFonts w:hint="default" w:ascii="Arial" w:hAnsi="Arial" w:cs="Arial"/>
          <w:i w:val="0"/>
          <w:iCs w:val="0"/>
          <w:caps w:val="0"/>
          <w:color w:val="000000"/>
          <w:spacing w:val="0"/>
          <w:sz w:val="24"/>
          <w:szCs w:val="24"/>
        </w:rPr>
        <w:t>. London: Collins.</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Ed, H.W. (1981). </w:t>
      </w:r>
      <w:r>
        <w:rPr>
          <w:rFonts w:hint="default" w:ascii="Arial" w:hAnsi="Arial" w:cs="Arial"/>
          <w:i/>
          <w:iCs/>
          <w:caps w:val="0"/>
          <w:color w:val="000000"/>
          <w:spacing w:val="0"/>
          <w:sz w:val="24"/>
          <w:szCs w:val="24"/>
        </w:rPr>
        <w:t>International business communication.</w:t>
      </w:r>
      <w:r>
        <w:rPr>
          <w:rFonts w:hint="default" w:ascii="Arial" w:hAnsi="Arial" w:cs="Arial"/>
          <w:i w:val="0"/>
          <w:iCs w:val="0"/>
          <w:caps w:val="0"/>
          <w:color w:val="000000"/>
          <w:spacing w:val="0"/>
          <w:sz w:val="24"/>
          <w:szCs w:val="24"/>
        </w:rPr>
        <w:t> Michigan University Of Michigan.</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Juan Carlos Palmer-Silveira, Ruiz-Garrido, M.F. and Immaculada Fortanet-Gómez (2008). </w:t>
      </w:r>
      <w:r>
        <w:rPr>
          <w:rFonts w:hint="default" w:ascii="Arial" w:hAnsi="Arial" w:cs="Arial"/>
          <w:i/>
          <w:iCs/>
          <w:caps w:val="0"/>
          <w:color w:val="000000"/>
          <w:spacing w:val="0"/>
          <w:sz w:val="24"/>
          <w:szCs w:val="24"/>
        </w:rPr>
        <w:t>Intercultural and international business communication : Theory, research, and teaching</w:t>
      </w:r>
      <w:r>
        <w:rPr>
          <w:rFonts w:hint="default" w:ascii="Arial" w:hAnsi="Arial" w:cs="Arial"/>
          <w:i w:val="0"/>
          <w:iCs w:val="0"/>
          <w:caps w:val="0"/>
          <w:color w:val="000000"/>
          <w:spacing w:val="0"/>
          <w:sz w:val="24"/>
          <w:szCs w:val="24"/>
        </w:rPr>
        <w:t>. Bern: Peter Lang Publishing.</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Jones, L. and Alexander, R. (2019). </w:t>
      </w:r>
      <w:r>
        <w:rPr>
          <w:rFonts w:hint="default" w:ascii="Arial" w:hAnsi="Arial" w:cs="Arial"/>
          <w:i/>
          <w:iCs/>
          <w:caps w:val="0"/>
          <w:color w:val="000000"/>
          <w:spacing w:val="0"/>
          <w:sz w:val="24"/>
          <w:szCs w:val="24"/>
        </w:rPr>
        <w:t>International business English : communication skills in English for business purposes. Student’s book</w:t>
      </w:r>
      <w:r>
        <w:rPr>
          <w:rFonts w:hint="default" w:ascii="Arial" w:hAnsi="Arial" w:cs="Arial"/>
          <w:i w:val="0"/>
          <w:iCs w:val="0"/>
          <w:caps w:val="0"/>
          <w:color w:val="000000"/>
          <w:spacing w:val="0"/>
          <w:sz w:val="24"/>
          <w:szCs w:val="24"/>
        </w:rPr>
        <w:t>. Cambridge Etc.: Cambridge University Press, , Cop.</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PennyC. and Fox, C.J. (2008). </w:t>
      </w:r>
      <w:r>
        <w:rPr>
          <w:rFonts w:hint="default" w:ascii="Arial" w:hAnsi="Arial" w:cs="Arial"/>
          <w:i/>
          <w:iCs/>
          <w:caps w:val="0"/>
          <w:color w:val="000000"/>
          <w:spacing w:val="0"/>
          <w:sz w:val="24"/>
          <w:szCs w:val="24"/>
        </w:rPr>
        <w:t>Bridging the culture gap : a practical guide to international business communication</w:t>
      </w:r>
      <w:r>
        <w:rPr>
          <w:rFonts w:hint="default" w:ascii="Arial" w:hAnsi="Arial" w:cs="Arial"/>
          <w:i w:val="0"/>
          <w:iCs w:val="0"/>
          <w:caps w:val="0"/>
          <w:color w:val="000000"/>
          <w:spacing w:val="0"/>
          <w:sz w:val="24"/>
          <w:szCs w:val="24"/>
        </w:rPr>
        <w:t>. London ; Philadelphia: Kogan Page.</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Victor, D.A. (1992). </w:t>
      </w:r>
      <w:r>
        <w:rPr>
          <w:rFonts w:hint="default" w:ascii="Arial" w:hAnsi="Arial" w:cs="Arial"/>
          <w:i/>
          <w:iCs/>
          <w:caps w:val="0"/>
          <w:color w:val="000000"/>
          <w:spacing w:val="0"/>
          <w:sz w:val="24"/>
          <w:szCs w:val="24"/>
        </w:rPr>
        <w:t>International business communication</w:t>
      </w:r>
      <w:r>
        <w:rPr>
          <w:rFonts w:hint="default" w:ascii="Arial" w:hAnsi="Arial" w:cs="Arial"/>
          <w:i w:val="0"/>
          <w:iCs w:val="0"/>
          <w:caps w:val="0"/>
          <w:color w:val="000000"/>
          <w:spacing w:val="0"/>
          <w:sz w:val="24"/>
          <w:szCs w:val="24"/>
        </w:rPr>
        <w:t>. New York, Ny: Harpercollins.</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Schmidt, W.V. (2007). </w:t>
      </w:r>
      <w:r>
        <w:rPr>
          <w:rFonts w:hint="default" w:ascii="Arial" w:hAnsi="Arial" w:cs="Arial"/>
          <w:i/>
          <w:iCs/>
          <w:caps w:val="0"/>
          <w:color w:val="000000"/>
          <w:spacing w:val="0"/>
          <w:sz w:val="24"/>
          <w:szCs w:val="24"/>
        </w:rPr>
        <w:t>Communicating globally : intercultural communication and international business</w:t>
      </w:r>
      <w:r>
        <w:rPr>
          <w:rFonts w:hint="default" w:ascii="Arial" w:hAnsi="Arial" w:cs="Arial"/>
          <w:i w:val="0"/>
          <w:iCs w:val="0"/>
          <w:caps w:val="0"/>
          <w:color w:val="000000"/>
          <w:spacing w:val="0"/>
          <w:sz w:val="24"/>
          <w:szCs w:val="24"/>
        </w:rPr>
        <w:t>. Los Angeles: Sage Publications.</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BovéeC.L. and Thill, J.V. (2016). </w:t>
      </w:r>
      <w:r>
        <w:rPr>
          <w:rFonts w:hint="default" w:ascii="Arial" w:hAnsi="Arial" w:cs="Arial"/>
          <w:i/>
          <w:iCs/>
          <w:caps w:val="0"/>
          <w:color w:val="000000"/>
          <w:spacing w:val="0"/>
          <w:sz w:val="24"/>
          <w:szCs w:val="24"/>
        </w:rPr>
        <w:t>Business communication today</w:t>
      </w:r>
      <w:r>
        <w:rPr>
          <w:rFonts w:hint="default" w:ascii="Arial" w:hAnsi="Arial" w:cs="Arial"/>
          <w:i w:val="0"/>
          <w:iCs w:val="0"/>
          <w:caps w:val="0"/>
          <w:color w:val="000000"/>
          <w:spacing w:val="0"/>
          <w:sz w:val="24"/>
          <w:szCs w:val="24"/>
        </w:rPr>
        <w:t>. Harlow: Pearson Education Limited.</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BovéeC.L. and Thill, J.V. (2014). </w:t>
      </w:r>
      <w:r>
        <w:rPr>
          <w:rFonts w:hint="default" w:ascii="Arial" w:hAnsi="Arial" w:cs="Arial"/>
          <w:i/>
          <w:iCs/>
          <w:caps w:val="0"/>
          <w:color w:val="000000"/>
          <w:spacing w:val="0"/>
          <w:sz w:val="24"/>
          <w:szCs w:val="24"/>
        </w:rPr>
        <w:t>Business communication essentials</w:t>
      </w:r>
      <w:r>
        <w:rPr>
          <w:rFonts w:hint="default" w:ascii="Arial" w:hAnsi="Arial" w:cs="Arial"/>
          <w:i w:val="0"/>
          <w:iCs w:val="0"/>
          <w:caps w:val="0"/>
          <w:color w:val="000000"/>
          <w:spacing w:val="0"/>
          <w:sz w:val="24"/>
          <w:szCs w:val="24"/>
        </w:rPr>
        <w:t>. Boston Pearson.</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Ghauri, P.N. and Jean-Claude Usunier (2003). </w:t>
      </w:r>
      <w:r>
        <w:rPr>
          <w:rFonts w:hint="default" w:ascii="Arial" w:hAnsi="Arial" w:cs="Arial"/>
          <w:i/>
          <w:iCs/>
          <w:caps w:val="0"/>
          <w:color w:val="000000"/>
          <w:spacing w:val="0"/>
          <w:sz w:val="24"/>
          <w:szCs w:val="24"/>
        </w:rPr>
        <w:t>International business negotiations</w:t>
      </w:r>
      <w:r>
        <w:rPr>
          <w:rFonts w:hint="default" w:ascii="Arial" w:hAnsi="Arial" w:cs="Arial"/>
          <w:i w:val="0"/>
          <w:iCs w:val="0"/>
          <w:caps w:val="0"/>
          <w:color w:val="000000"/>
          <w:spacing w:val="0"/>
          <w:sz w:val="24"/>
          <w:szCs w:val="24"/>
        </w:rPr>
        <w:t>. Amsterdam ; Boston: Pergamon.</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Abramson, N.R., Moran, R.T. and Harris, P.R. (2018). </w:t>
      </w:r>
      <w:r>
        <w:rPr>
          <w:rFonts w:hint="default" w:ascii="Arial" w:hAnsi="Arial" w:cs="Arial"/>
          <w:i/>
          <w:iCs/>
          <w:caps w:val="0"/>
          <w:color w:val="000000"/>
          <w:spacing w:val="0"/>
          <w:sz w:val="24"/>
          <w:szCs w:val="24"/>
        </w:rPr>
        <w:t>Managing cultural differences : global leadership for the 21st century</w:t>
      </w:r>
      <w:r>
        <w:rPr>
          <w:rFonts w:hint="default" w:ascii="Arial" w:hAnsi="Arial" w:cs="Arial"/>
          <w:i w:val="0"/>
          <w:iCs w:val="0"/>
          <w:caps w:val="0"/>
          <w:color w:val="000000"/>
          <w:spacing w:val="0"/>
          <w:sz w:val="24"/>
          <w:szCs w:val="24"/>
        </w:rPr>
        <w:t>. Abingdon, Oxon ; New York, Ny: Routledge.</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Storti, C. (2017). </w:t>
      </w:r>
      <w:r>
        <w:rPr>
          <w:rFonts w:hint="default" w:ascii="Arial" w:hAnsi="Arial" w:cs="Arial"/>
          <w:i/>
          <w:iCs/>
          <w:caps w:val="0"/>
          <w:color w:val="000000"/>
          <w:spacing w:val="0"/>
          <w:sz w:val="24"/>
          <w:szCs w:val="24"/>
        </w:rPr>
        <w:t>Cross-cultural dialogues : 74 brief encounters with cultural difference</w:t>
      </w:r>
      <w:r>
        <w:rPr>
          <w:rFonts w:hint="default" w:ascii="Arial" w:hAnsi="Arial" w:cs="Arial"/>
          <w:i w:val="0"/>
          <w:iCs w:val="0"/>
          <w:caps w:val="0"/>
          <w:color w:val="000000"/>
          <w:spacing w:val="0"/>
          <w:sz w:val="24"/>
          <w:szCs w:val="24"/>
        </w:rPr>
        <w:t>. Boston, Ma: Intercultural Press, A Nicholas Brealey Publishing Company.</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Mary Jane Collier (2001). </w:t>
      </w:r>
      <w:r>
        <w:rPr>
          <w:rFonts w:hint="default" w:ascii="Arial" w:hAnsi="Arial" w:cs="Arial"/>
          <w:i/>
          <w:iCs/>
          <w:caps w:val="0"/>
          <w:color w:val="000000"/>
          <w:spacing w:val="0"/>
          <w:sz w:val="24"/>
          <w:szCs w:val="24"/>
        </w:rPr>
        <w:t>Constituting cultural difference through discourse</w:t>
      </w:r>
      <w:r>
        <w:rPr>
          <w:rFonts w:hint="default" w:ascii="Arial" w:hAnsi="Arial" w:cs="Arial"/>
          <w:i w:val="0"/>
          <w:iCs w:val="0"/>
          <w:caps w:val="0"/>
          <w:color w:val="000000"/>
          <w:spacing w:val="0"/>
          <w:sz w:val="24"/>
          <w:szCs w:val="24"/>
        </w:rPr>
        <w:t>. Thousand Oaks, Calif.: Sage Publications.</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Hammond, P. (1997). </w:t>
      </w:r>
      <w:r>
        <w:rPr>
          <w:rFonts w:hint="default" w:ascii="Arial" w:hAnsi="Arial" w:cs="Arial"/>
          <w:i/>
          <w:iCs/>
          <w:caps w:val="0"/>
          <w:color w:val="000000"/>
          <w:spacing w:val="0"/>
          <w:sz w:val="24"/>
          <w:szCs w:val="24"/>
        </w:rPr>
        <w:t>Cultural difference, media memories : anglo-american images of Japan</w:t>
      </w:r>
      <w:r>
        <w:rPr>
          <w:rFonts w:hint="default" w:ascii="Arial" w:hAnsi="Arial" w:cs="Arial"/>
          <w:i w:val="0"/>
          <w:iCs w:val="0"/>
          <w:caps w:val="0"/>
          <w:color w:val="000000"/>
          <w:spacing w:val="0"/>
          <w:sz w:val="24"/>
          <w:szCs w:val="24"/>
        </w:rPr>
        <w:t>. London ; Washington: Cassell.</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Taylor, P. (2001). </w:t>
      </w:r>
      <w:r>
        <w:rPr>
          <w:rFonts w:hint="default" w:ascii="Arial" w:hAnsi="Arial" w:cs="Arial"/>
          <w:i/>
          <w:iCs/>
          <w:caps w:val="0"/>
          <w:color w:val="000000"/>
          <w:spacing w:val="0"/>
          <w:sz w:val="24"/>
          <w:szCs w:val="24"/>
        </w:rPr>
        <w:t>Nation dance : religion, identity, and cultural difference in the Caribbean</w:t>
      </w:r>
      <w:r>
        <w:rPr>
          <w:rFonts w:hint="default" w:ascii="Arial" w:hAnsi="Arial" w:cs="Arial"/>
          <w:i w:val="0"/>
          <w:iCs w:val="0"/>
          <w:caps w:val="0"/>
          <w:color w:val="000000"/>
          <w:spacing w:val="0"/>
          <w:sz w:val="24"/>
          <w:szCs w:val="24"/>
        </w:rPr>
        <w:t>. Bloomington: Indiana University Press.</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Winfried Siemerling (1996). </w:t>
      </w:r>
      <w:r>
        <w:rPr>
          <w:rFonts w:hint="default" w:ascii="Arial" w:hAnsi="Arial" w:cs="Arial"/>
          <w:i/>
          <w:iCs/>
          <w:caps w:val="0"/>
          <w:color w:val="000000"/>
          <w:spacing w:val="0"/>
          <w:sz w:val="24"/>
          <w:szCs w:val="24"/>
        </w:rPr>
        <w:t>Cultural difference &amp; the literary text pluralism &amp; the limits of authenticity in North American literatures</w:t>
      </w:r>
      <w:r>
        <w:rPr>
          <w:rFonts w:hint="default" w:ascii="Arial" w:hAnsi="Arial" w:cs="Arial"/>
          <w:i w:val="0"/>
          <w:iCs w:val="0"/>
          <w:caps w:val="0"/>
          <w:color w:val="000000"/>
          <w:spacing w:val="0"/>
          <w:sz w:val="24"/>
          <w:szCs w:val="24"/>
        </w:rPr>
        <w:t>. Iowa City Univ. Of Iowa Press C [Erschienen.</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Reinhard Golz (2005). </w:t>
      </w:r>
      <w:r>
        <w:rPr>
          <w:rFonts w:hint="default" w:ascii="Arial" w:hAnsi="Arial" w:cs="Arial"/>
          <w:i/>
          <w:iCs/>
          <w:caps w:val="0"/>
          <w:color w:val="000000"/>
          <w:spacing w:val="0"/>
          <w:sz w:val="24"/>
          <w:szCs w:val="24"/>
        </w:rPr>
        <w:t xml:space="preserve">Internationalization, cultural difference and migration : challenges </w:t>
      </w:r>
      <w:r>
        <w:rPr>
          <w:rFonts w:hint="default" w:ascii="Arial" w:hAnsi="Arial" w:cs="Arial"/>
          <w:i/>
          <w:iCs/>
          <w:caps w:val="0"/>
          <w:color w:val="000000"/>
          <w:spacing w:val="0"/>
          <w:sz w:val="24"/>
          <w:szCs w:val="24"/>
        </w:rPr>
        <w:t>and perspectives of intercultural education</w:t>
      </w:r>
      <w:r>
        <w:rPr>
          <w:rFonts w:hint="default" w:ascii="Arial" w:hAnsi="Arial" w:cs="Arial"/>
          <w:i w:val="0"/>
          <w:iCs w:val="0"/>
          <w:caps w:val="0"/>
          <w:color w:val="000000"/>
          <w:spacing w:val="0"/>
          <w:sz w:val="24"/>
          <w:szCs w:val="24"/>
        </w:rPr>
        <w:t>. Münster: Lit ; Piscataway, Nj.</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Feinberg, W. (2000). </w:t>
      </w:r>
      <w:r>
        <w:rPr>
          <w:rFonts w:hint="default" w:ascii="Arial" w:hAnsi="Arial" w:cs="Arial"/>
          <w:i/>
          <w:iCs/>
          <w:caps w:val="0"/>
          <w:color w:val="000000"/>
          <w:spacing w:val="0"/>
          <w:sz w:val="24"/>
          <w:szCs w:val="24"/>
        </w:rPr>
        <w:t>Common schools / uncommon identities : national unity and cultural difference</w:t>
      </w:r>
      <w:r>
        <w:rPr>
          <w:rFonts w:hint="default" w:ascii="Arial" w:hAnsi="Arial" w:cs="Arial"/>
          <w:i w:val="0"/>
          <w:iCs w:val="0"/>
          <w:caps w:val="0"/>
          <w:color w:val="000000"/>
          <w:spacing w:val="0"/>
          <w:sz w:val="24"/>
          <w:szCs w:val="24"/>
        </w:rPr>
        <w:t>. New Haven ; London: Yale University Press.</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Alvarez, N. (2018). </w:t>
      </w:r>
      <w:r>
        <w:rPr>
          <w:rFonts w:hint="default" w:ascii="Arial" w:hAnsi="Arial" w:cs="Arial"/>
          <w:i/>
          <w:iCs/>
          <w:caps w:val="0"/>
          <w:color w:val="000000"/>
          <w:spacing w:val="0"/>
          <w:sz w:val="24"/>
          <w:szCs w:val="24"/>
        </w:rPr>
        <w:t>Immersions in cultural difference : tourism, war, performance</w:t>
      </w:r>
      <w:r>
        <w:rPr>
          <w:rFonts w:hint="default" w:ascii="Arial" w:hAnsi="Arial" w:cs="Arial"/>
          <w:i w:val="0"/>
          <w:iCs w:val="0"/>
          <w:caps w:val="0"/>
          <w:color w:val="000000"/>
          <w:spacing w:val="0"/>
          <w:sz w:val="24"/>
          <w:szCs w:val="24"/>
        </w:rPr>
        <w:t>. Ann Arbor: University Of Michigan Press.</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Yi, L. (2012). </w:t>
      </w:r>
      <w:r>
        <w:rPr>
          <w:rFonts w:hint="default" w:ascii="Arial" w:hAnsi="Arial" w:cs="Arial"/>
          <w:i/>
          <w:iCs/>
          <w:caps w:val="0"/>
          <w:color w:val="000000"/>
          <w:spacing w:val="0"/>
          <w:sz w:val="24"/>
          <w:szCs w:val="24"/>
        </w:rPr>
        <w:t>Cultural exclusion in China : state education, social mobility and cultural difference</w:t>
      </w:r>
      <w:r>
        <w:rPr>
          <w:rFonts w:hint="default" w:ascii="Arial" w:hAnsi="Arial" w:cs="Arial"/>
          <w:i w:val="0"/>
          <w:iCs w:val="0"/>
          <w:caps w:val="0"/>
          <w:color w:val="000000"/>
          <w:spacing w:val="0"/>
          <w:sz w:val="24"/>
          <w:szCs w:val="24"/>
        </w:rPr>
        <w:t>. London: Routledge.</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Journal of Business Communication. (2005). </w:t>
      </w:r>
      <w:r>
        <w:rPr>
          <w:rFonts w:hint="default" w:ascii="Arial" w:hAnsi="Arial" w:cs="Arial"/>
          <w:i/>
          <w:iCs/>
          <w:caps w:val="0"/>
          <w:color w:val="000000"/>
          <w:spacing w:val="0"/>
          <w:sz w:val="24"/>
          <w:szCs w:val="24"/>
        </w:rPr>
        <w:t>Journal of Business Communication</w:t>
      </w:r>
      <w:r>
        <w:rPr>
          <w:rFonts w:hint="default" w:ascii="Arial" w:hAnsi="Arial" w:cs="Arial"/>
          <w:i w:val="0"/>
          <w:iCs w:val="0"/>
          <w:caps w:val="0"/>
          <w:color w:val="000000"/>
          <w:spacing w:val="0"/>
          <w:sz w:val="24"/>
          <w:szCs w:val="24"/>
        </w:rPr>
        <w:t>, 42(2), pp.110–110. doi:https://doi.org/10.1177/002194360504200203.</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Mcfarland, R.L. and John David Burton (1969). </w:t>
      </w:r>
      <w:r>
        <w:rPr>
          <w:rFonts w:hint="default" w:ascii="Arial" w:hAnsi="Arial" w:cs="Arial"/>
          <w:i/>
          <w:iCs/>
          <w:caps w:val="0"/>
          <w:color w:val="000000"/>
          <w:spacing w:val="0"/>
          <w:sz w:val="24"/>
          <w:szCs w:val="24"/>
        </w:rPr>
        <w:t>Learning for loving; the importance of communication in the marriage relationship,.</w:t>
      </w:r>
      <w:r>
        <w:rPr>
          <w:rFonts w:hint="default" w:ascii="Arial" w:hAnsi="Arial" w:cs="Arial"/>
          <w:i w:val="0"/>
          <w:iCs w:val="0"/>
          <w:caps w:val="0"/>
          <w:color w:val="000000"/>
          <w:spacing w:val="0"/>
          <w:sz w:val="24"/>
          <w:szCs w:val="24"/>
        </w:rPr>
        <w:t> Grand Rapids, Zondervan Pub. House.</w:t>
      </w:r>
    </w:p>
    <w:p>
      <w:pPr>
        <w:pStyle w:val="2"/>
        <w:keepNext w:val="0"/>
        <w:keepLines w:val="0"/>
        <w:widowControl/>
        <w:suppressLineNumbers w:val="0"/>
        <w:spacing w:before="0" w:beforeAutospacing="0" w:after="0" w:afterAutospacing="0" w:line="315" w:lineRule="atLeast"/>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Wozencraft, J.M. and Irwin Mark Jacobs (1965). Principles of communication engineering. Prospect, Il: Waveland Press, Inc.</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Lampert, L. (2013). </w:t>
      </w:r>
      <w:r>
        <w:rPr>
          <w:rFonts w:hint="default" w:ascii="Arial" w:hAnsi="Arial" w:cs="Arial"/>
          <w:i/>
          <w:iCs/>
          <w:caps w:val="0"/>
          <w:color w:val="000000"/>
          <w:spacing w:val="0"/>
          <w:sz w:val="24"/>
          <w:szCs w:val="24"/>
        </w:rPr>
        <w:t>The enduring importance of Leo Strauss</w:t>
      </w:r>
      <w:r>
        <w:rPr>
          <w:rFonts w:hint="default" w:ascii="Arial" w:hAnsi="Arial" w:cs="Arial"/>
          <w:i w:val="0"/>
          <w:iCs w:val="0"/>
          <w:caps w:val="0"/>
          <w:color w:val="000000"/>
          <w:spacing w:val="0"/>
          <w:sz w:val="24"/>
          <w:szCs w:val="24"/>
        </w:rPr>
        <w:t>. Chicago: The University Of Chicago Press.</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Book, W. (2019). </w:t>
      </w:r>
      <w:r>
        <w:rPr>
          <w:rFonts w:hint="default" w:ascii="Arial" w:hAnsi="Arial" w:cs="Arial"/>
          <w:i/>
          <w:iCs/>
          <w:caps w:val="0"/>
          <w:color w:val="000000"/>
          <w:spacing w:val="0"/>
          <w:sz w:val="24"/>
          <w:szCs w:val="24"/>
        </w:rPr>
        <w:t>Communication.</w:t>
      </w:r>
      <w:r>
        <w:rPr>
          <w:rFonts w:hint="default" w:ascii="Arial" w:hAnsi="Arial" w:cs="Arial"/>
          <w:i w:val="0"/>
          <w:iCs w:val="0"/>
          <w:caps w:val="0"/>
          <w:color w:val="000000"/>
          <w:spacing w:val="0"/>
          <w:sz w:val="24"/>
          <w:szCs w:val="24"/>
        </w:rPr>
        <w:t> Chicago: World Book, Inc.</w:t>
      </w:r>
    </w:p>
    <w:p>
      <w:pPr>
        <w:pStyle w:val="2"/>
        <w:keepNext w:val="0"/>
        <w:keepLines w:val="0"/>
        <w:widowControl/>
        <w:suppressLineNumbers w:val="0"/>
        <w:ind w:left="0" w:firstLine="0"/>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w:t>
      </w:r>
    </w:p>
    <w:p>
      <w:pPr>
        <w:pStyle w:val="2"/>
        <w:keepNext w:val="0"/>
        <w:keepLines w:val="0"/>
        <w:widowControl/>
        <w:suppressLineNumbers w:val="0"/>
        <w:spacing w:before="0" w:beforeAutospacing="0" w:after="0" w:afterAutospacing="0" w:line="315" w:lineRule="atLeast"/>
        <w:ind w:left="0" w:right="0" w:firstLine="0"/>
        <w:jc w:val="both"/>
        <w:rPr>
          <w:rFonts w:hint="default" w:ascii="Calibri" w:hAnsi="Calibri" w:cs="Calibri"/>
          <w:i w:val="0"/>
          <w:iCs w:val="0"/>
          <w:caps w:val="0"/>
          <w:color w:val="000000"/>
          <w:spacing w:val="0"/>
          <w:sz w:val="21"/>
          <w:szCs w:val="21"/>
        </w:rPr>
      </w:pPr>
    </w:p>
    <w:p>
      <w:pPr>
        <w:pStyle w:val="2"/>
        <w:keepNext w:val="0"/>
        <w:keepLines w:val="0"/>
        <w:widowControl/>
        <w:suppressLineNumbers w:val="0"/>
        <w:spacing w:before="0" w:beforeAutospacing="0" w:after="0" w:afterAutospacing="0" w:line="315" w:lineRule="atLeast"/>
        <w:ind w:left="0" w:right="0" w:firstLine="0"/>
        <w:jc w:val="both"/>
        <w:rPr>
          <w:rFonts w:hint="default" w:ascii="Calibri" w:hAnsi="Calibri" w:cs="Calibri"/>
          <w:i w:val="0"/>
          <w:iCs w:val="0"/>
          <w:caps w:val="0"/>
          <w:color w:val="000000"/>
          <w:spacing w:val="0"/>
          <w:sz w:val="21"/>
          <w:szCs w:val="21"/>
        </w:rPr>
      </w:pPr>
      <w:r>
        <w:rPr>
          <w:rFonts w:hint="default" w:ascii="Calibri" w:hAnsi="Calibri" w:cs="Calibri"/>
          <w:i w:val="0"/>
          <w:iCs w:val="0"/>
          <w:caps w:val="0"/>
          <w:color w:val="000000"/>
          <w:spacing w:val="0"/>
          <w:sz w:val="21"/>
          <w:szCs w:val="21"/>
        </w:rPr>
        <w:t>‌</w:t>
      </w:r>
    </w:p>
    <w:p>
      <w:pPr>
        <w:pStyle w:val="2"/>
        <w:keepNext w:val="0"/>
        <w:keepLines w:val="0"/>
        <w:widowControl/>
        <w:suppressLineNumbers w:val="0"/>
        <w:spacing w:before="0" w:beforeAutospacing="0" w:after="0" w:afterAutospacing="0" w:line="315" w:lineRule="atLeast"/>
        <w:ind w:left="0" w:right="0" w:firstLine="0"/>
        <w:jc w:val="both"/>
        <w:rPr>
          <w:rFonts w:hint="default" w:ascii="Calibri" w:hAnsi="Calibri" w:cs="Calibri"/>
          <w:i w:val="0"/>
          <w:iCs w:val="0"/>
          <w:caps w:val="0"/>
          <w:color w:val="000000"/>
          <w:spacing w:val="0"/>
          <w:sz w:val="21"/>
          <w:szCs w:val="21"/>
        </w:rPr>
      </w:pPr>
    </w:p>
    <w:p>
      <w:pPr>
        <w:pStyle w:val="2"/>
        <w:keepNext w:val="0"/>
        <w:keepLines w:val="0"/>
        <w:widowControl/>
        <w:suppressLineNumbers w:val="0"/>
        <w:spacing w:before="0" w:beforeAutospacing="0" w:after="0" w:afterAutospacing="0" w:line="315" w:lineRule="atLeast"/>
        <w:ind w:left="0" w:right="0" w:firstLine="0"/>
        <w:jc w:val="both"/>
        <w:rPr>
          <w:rFonts w:hint="default" w:ascii="Calibri" w:hAnsi="Calibri" w:cs="Calibri"/>
          <w:i w:val="0"/>
          <w:iCs w:val="0"/>
          <w:caps w:val="0"/>
          <w:color w:val="000000"/>
          <w:spacing w:val="0"/>
          <w:sz w:val="21"/>
          <w:szCs w:val="21"/>
        </w:rPr>
      </w:pPr>
    </w:p>
    <w:p>
      <w:pPr>
        <w:pStyle w:val="2"/>
        <w:keepNext w:val="0"/>
        <w:keepLines w:val="0"/>
        <w:widowControl/>
        <w:suppressLineNumbers w:val="0"/>
        <w:ind w:left="0" w:firstLine="0"/>
        <w:jc w:val="both"/>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pStyle w:val="2"/>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2"/>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2"/>
        <w:keepNext w:val="0"/>
        <w:keepLines w:val="0"/>
        <w:widowControl/>
        <w:suppressLineNumbers w:val="0"/>
        <w:ind w:lef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pStyle w:val="2"/>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2"/>
        <w:keepNext w:val="0"/>
        <w:keepLines w:val="0"/>
        <w:widowControl/>
        <w:suppressLineNumbers w:val="0"/>
        <w:ind w:lef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pStyle w:val="2"/>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2"/>
        <w:keepNext w:val="0"/>
        <w:keepLines w:val="0"/>
        <w:widowControl/>
        <w:suppressLineNumbers w:val="0"/>
        <w:ind w:lef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pStyle w:val="2"/>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2"/>
        <w:keepNext w:val="0"/>
        <w:keepLines w:val="0"/>
        <w:widowControl/>
        <w:suppressLineNumbers w:val="0"/>
        <w:ind w:lef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pStyle w:val="2"/>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2"/>
        <w:keepNext w:val="0"/>
        <w:keepLines w:val="0"/>
        <w:widowControl/>
        <w:suppressLineNumbers w:val="0"/>
        <w:ind w:lef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pStyle w:val="2"/>
        <w:keepNext w:val="0"/>
        <w:keepLines w:val="0"/>
        <w:widowControl/>
        <w:suppressLineNumbers w:val="0"/>
        <w:ind w:left="0" w:firstLine="0"/>
        <w:rPr>
          <w:rFonts w:hint="default" w:ascii="Calibri" w:hAnsi="Calibri" w:cs="Calibri"/>
          <w:i w:val="0"/>
          <w:iCs w:val="0"/>
          <w:caps w:val="0"/>
          <w:color w:val="000000"/>
          <w:spacing w:val="0"/>
          <w:sz w:val="21"/>
          <w:szCs w:val="21"/>
        </w:rPr>
      </w:pPr>
    </w:p>
    <w:p>
      <w:pPr>
        <w:pStyle w:val="2"/>
        <w:keepNext w:val="0"/>
        <w:keepLines w:val="0"/>
        <w:widowControl/>
        <w:suppressLineNumbers w:val="0"/>
        <w:ind w:lef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pStyle w:val="2"/>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2"/>
        <w:keepNext w:val="0"/>
        <w:keepLines w:val="0"/>
        <w:widowControl/>
        <w:suppressLineNumbers w:val="0"/>
        <w:ind w:lef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pStyle w:val="2"/>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2"/>
        <w:keepNext w:val="0"/>
        <w:keepLines w:val="0"/>
        <w:widowControl/>
        <w:suppressLineNumbers w:val="0"/>
        <w:ind w:lef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jI2YTI2NDcxMjhhNjQyZmU5MjBhMjcxZWU4MGVlMjcifQ=="/>
  </w:docVars>
  <w:rsids>
    <w:rsidRoot w:val="17955585"/>
    <w:rsid w:val="17955585"/>
    <w:rsid w:val="56D67884"/>
    <w:rsid w:val="5D0B433F"/>
    <w:rsid w:val="7B4F58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autoRedefine/>
    <w:semiHidden/>
    <w:qFormat/>
    <w:uiPriority w:val="0"/>
  </w:style>
  <w:style w:type="table" w:default="1" w:styleId="3">
    <w:name w:val="Normal Table"/>
    <w:autoRedefine/>
    <w:semiHidden/>
    <w:qFormat/>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 w:type="paragraph" w:customStyle="1" w:styleId="5">
    <w:name w:val="WPSOffice手动目录 1"/>
    <w:uiPriority w:val="0"/>
    <w:pPr>
      <w:ind w:leftChars="0"/>
    </w:pPr>
    <w:rPr>
      <w:sz w:val="20"/>
      <w:szCs w:val="20"/>
    </w:rPr>
  </w:style>
  <w:style w:type="paragraph" w:customStyle="1" w:styleId="6">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Office_12.1.0.16250_F1E327BC-269C-435d-A152-05C5408002CA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2024-01-17T13:02:00Z</dcterms:created>
  <dc:creator>gtt</dc:creator>
  <cp:lastModifiedBy>gtt</cp:lastModifiedBy>
  <dcterms:modified xsi:type="dcterms:W3CDTF">2024-01-17T14:00:36Z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2052-12.1.0.16250</vt:lpwstr>
  </property>
  <property fmtid="{D5CDD505-2E9C-101B-9397-08002B2CF9AE}" pid="3" name="ICV">
    <vt:lpwstr>612A43B6152C4DADAD88788F244AA0AD_11</vt:lpwstr>
  </property>
</Properties>
</file>