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58CF4" w14:textId="77777777" w:rsidR="008F09E8" w:rsidRDefault="008F09E8" w:rsidP="008F09E8">
      <w:pPr>
        <w:pStyle w:val="Heading1"/>
        <w:jc w:val="center"/>
      </w:pPr>
    </w:p>
    <w:p w14:paraId="4AFD1913" w14:textId="77777777" w:rsidR="008F09E8" w:rsidRDefault="008F09E8" w:rsidP="008F09E8">
      <w:pPr>
        <w:pStyle w:val="Heading1"/>
        <w:jc w:val="center"/>
      </w:pPr>
      <w:r>
        <w:rPr>
          <w:noProof/>
        </w:rPr>
        <w:drawing>
          <wp:inline distT="0" distB="0" distL="0" distR="0" wp14:anchorId="05A3ADAE" wp14:editId="734A99FD">
            <wp:extent cx="1559374" cy="564771"/>
            <wp:effectExtent l="0" t="0" r="3175" b="0"/>
            <wp:docPr id="102745101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451012" name="Picture 1"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10800000" flipH="1" flipV="1">
                      <a:off x="0" y="0"/>
                      <a:ext cx="1799448" cy="651720"/>
                    </a:xfrm>
                    <a:prstGeom prst="rect">
                      <a:avLst/>
                    </a:prstGeom>
                  </pic:spPr>
                </pic:pic>
              </a:graphicData>
            </a:graphic>
          </wp:inline>
        </w:drawing>
      </w:r>
    </w:p>
    <w:p w14:paraId="6AB7BCBA" w14:textId="77777777" w:rsidR="008F09E8" w:rsidRDefault="008F09E8" w:rsidP="008F09E8">
      <w:pPr>
        <w:pStyle w:val="Heading1"/>
        <w:jc w:val="center"/>
      </w:pPr>
    </w:p>
    <w:p w14:paraId="25D008B5" w14:textId="77777777" w:rsidR="008F09E8" w:rsidRDefault="008F09E8" w:rsidP="008F09E8">
      <w:pPr>
        <w:pStyle w:val="Heading1"/>
        <w:jc w:val="center"/>
      </w:pPr>
      <w:r>
        <w:t>BA Business Management</w:t>
      </w:r>
    </w:p>
    <w:p w14:paraId="38EAD920" w14:textId="77777777" w:rsidR="008F09E8" w:rsidRDefault="008F09E8" w:rsidP="008F09E8">
      <w:pPr>
        <w:jc w:val="center"/>
        <w:rPr>
          <w:rFonts w:ascii="Times New Roman" w:eastAsia="Times New Roman" w:hAnsi="Times New Roman" w:cs="Times New Roman"/>
          <w:b/>
          <w:bCs/>
          <w:color w:val="000000" w:themeColor="text1"/>
          <w:sz w:val="48"/>
          <w:szCs w:val="48"/>
        </w:rPr>
      </w:pPr>
    </w:p>
    <w:p w14:paraId="24988482" w14:textId="77777777" w:rsidR="008F09E8" w:rsidRDefault="008F09E8" w:rsidP="008F09E8">
      <w:pPr>
        <w:jc w:val="center"/>
        <w:rPr>
          <w:rFonts w:ascii="Times New Roman" w:eastAsia="Times New Roman" w:hAnsi="Times New Roman" w:cs="Times New Roman"/>
          <w:b/>
          <w:bCs/>
          <w:color w:val="000000" w:themeColor="text1"/>
          <w:sz w:val="56"/>
          <w:szCs w:val="56"/>
        </w:rPr>
      </w:pPr>
      <w:r w:rsidRPr="66C720F1">
        <w:rPr>
          <w:rFonts w:ascii="Times New Roman" w:eastAsia="Times New Roman" w:hAnsi="Times New Roman" w:cs="Times New Roman"/>
          <w:b/>
          <w:bCs/>
          <w:color w:val="000000" w:themeColor="text1"/>
          <w:sz w:val="56"/>
          <w:szCs w:val="56"/>
        </w:rPr>
        <w:t xml:space="preserve">Causes and Impact of Nurses Attrition in UK </w:t>
      </w:r>
    </w:p>
    <w:p w14:paraId="0A202794" w14:textId="77777777" w:rsidR="008F09E8" w:rsidRDefault="008F09E8" w:rsidP="008F09E8">
      <w:pPr>
        <w:jc w:val="center"/>
        <w:rPr>
          <w:rFonts w:ascii="Times New Roman" w:eastAsia="Times New Roman" w:hAnsi="Times New Roman" w:cs="Times New Roman"/>
          <w:b/>
          <w:bCs/>
          <w:color w:val="000000" w:themeColor="text1"/>
          <w:sz w:val="40"/>
          <w:szCs w:val="40"/>
        </w:rPr>
      </w:pPr>
      <w:r w:rsidRPr="00E63022">
        <w:rPr>
          <w:rFonts w:ascii="Times New Roman" w:eastAsia="Times New Roman" w:hAnsi="Times New Roman" w:cs="Times New Roman"/>
          <w:b/>
          <w:bCs/>
          <w:color w:val="000000" w:themeColor="text1"/>
          <w:sz w:val="40"/>
          <w:szCs w:val="40"/>
        </w:rPr>
        <w:t>(Written Report)</w:t>
      </w:r>
    </w:p>
    <w:p w14:paraId="0E9AFCA9" w14:textId="77777777" w:rsidR="008F09E8" w:rsidRDefault="008F09E8" w:rsidP="008F09E8">
      <w:pPr>
        <w:jc w:val="center"/>
        <w:rPr>
          <w:rFonts w:ascii="Times New Roman" w:eastAsia="Times New Roman" w:hAnsi="Times New Roman" w:cs="Times New Roman"/>
          <w:b/>
          <w:bCs/>
          <w:color w:val="000000" w:themeColor="text1"/>
          <w:sz w:val="40"/>
          <w:szCs w:val="40"/>
        </w:rPr>
      </w:pPr>
    </w:p>
    <w:p w14:paraId="6ADB9318" w14:textId="77777777" w:rsidR="008F09E8" w:rsidRDefault="008F09E8" w:rsidP="008F09E8">
      <w:pPr>
        <w:jc w:val="center"/>
        <w:rPr>
          <w:rFonts w:ascii="Times New Roman" w:eastAsia="Times New Roman" w:hAnsi="Times New Roman" w:cs="Times New Roman"/>
          <w:b/>
          <w:bCs/>
          <w:color w:val="000000" w:themeColor="text1"/>
          <w:sz w:val="40"/>
          <w:szCs w:val="40"/>
        </w:rPr>
      </w:pPr>
    </w:p>
    <w:p w14:paraId="04A6E64D" w14:textId="77777777" w:rsidR="008F09E8" w:rsidRDefault="008F09E8" w:rsidP="008F09E8">
      <w:pPr>
        <w:jc w:val="center"/>
        <w:rPr>
          <w:rFonts w:ascii="Times New Roman" w:eastAsia="Times New Roman" w:hAnsi="Times New Roman" w:cs="Times New Roman"/>
          <w:b/>
          <w:bCs/>
          <w:color w:val="000000" w:themeColor="text1"/>
          <w:sz w:val="40"/>
          <w:szCs w:val="40"/>
        </w:rPr>
      </w:pPr>
    </w:p>
    <w:p w14:paraId="11DDBEB7" w14:textId="77777777" w:rsidR="008F09E8" w:rsidRPr="00E63022" w:rsidRDefault="008F09E8" w:rsidP="008F09E8">
      <w:pPr>
        <w:jc w:val="center"/>
        <w:rPr>
          <w:rFonts w:ascii="Times New Roman" w:eastAsia="Times New Roman" w:hAnsi="Times New Roman" w:cs="Times New Roman"/>
          <w:b/>
          <w:bCs/>
          <w:color w:val="000000" w:themeColor="text1"/>
          <w:sz w:val="44"/>
          <w:szCs w:val="44"/>
        </w:rPr>
      </w:pPr>
    </w:p>
    <w:p w14:paraId="02EA2270" w14:textId="77777777" w:rsidR="008F09E8" w:rsidRDefault="008F09E8" w:rsidP="008F09E8">
      <w:pPr>
        <w:rPr>
          <w:rFonts w:ascii="Times New Roman" w:eastAsia="Times New Roman" w:hAnsi="Times New Roman" w:cs="Times New Roman"/>
          <w:b/>
          <w:bCs/>
          <w:color w:val="000000" w:themeColor="text1"/>
          <w:sz w:val="24"/>
          <w:szCs w:val="24"/>
        </w:rPr>
      </w:pPr>
    </w:p>
    <w:p w14:paraId="6B37DFC0" w14:textId="77777777" w:rsidR="008F09E8" w:rsidRDefault="008F09E8" w:rsidP="008F09E8">
      <w:pPr>
        <w:rPr>
          <w:rFonts w:ascii="Times New Roman" w:eastAsia="Times New Roman" w:hAnsi="Times New Roman" w:cs="Times New Roman"/>
          <w:b/>
          <w:bCs/>
          <w:color w:val="000000" w:themeColor="text1"/>
          <w:sz w:val="24"/>
          <w:szCs w:val="24"/>
        </w:rPr>
      </w:pPr>
    </w:p>
    <w:p w14:paraId="598FCA61" w14:textId="77777777" w:rsidR="008F09E8" w:rsidRDefault="008F09E8" w:rsidP="008F09E8">
      <w:pPr>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Module code: LCBB5004</w:t>
      </w:r>
    </w:p>
    <w:p w14:paraId="7C53BEC8" w14:textId="77777777" w:rsidR="008F09E8" w:rsidRDefault="008F09E8" w:rsidP="008F09E8">
      <w:pPr>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 xml:space="preserve">Lecturer: Afzal </w:t>
      </w:r>
      <w:proofErr w:type="spellStart"/>
      <w:r>
        <w:rPr>
          <w:rFonts w:ascii="Times New Roman" w:eastAsia="Times New Roman" w:hAnsi="Times New Roman" w:cs="Times New Roman"/>
          <w:b/>
          <w:bCs/>
          <w:color w:val="000000" w:themeColor="text1"/>
          <w:sz w:val="24"/>
          <w:szCs w:val="24"/>
        </w:rPr>
        <w:t>Munna</w:t>
      </w:r>
      <w:proofErr w:type="spellEnd"/>
    </w:p>
    <w:p w14:paraId="33CAECCD" w14:textId="77777777" w:rsidR="008F09E8" w:rsidRDefault="008F09E8" w:rsidP="008F09E8">
      <w:pPr>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Written by: Deyvid Krumov</w:t>
      </w:r>
    </w:p>
    <w:p w14:paraId="0AEB4EC4" w14:textId="77777777" w:rsidR="008F09E8" w:rsidRDefault="008F09E8" w:rsidP="008F09E8">
      <w:pPr>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Student number: 2125371</w:t>
      </w:r>
    </w:p>
    <w:p w14:paraId="003963F6" w14:textId="77777777" w:rsidR="008F09E8" w:rsidRDefault="008F09E8" w:rsidP="008F09E8">
      <w:pPr>
        <w:pStyle w:val="Heading1"/>
      </w:pPr>
    </w:p>
    <w:p w14:paraId="34BC9508" w14:textId="77777777" w:rsidR="008F09E8" w:rsidRDefault="008F09E8" w:rsidP="008F09E8"/>
    <w:p w14:paraId="41AE2462" w14:textId="77777777" w:rsidR="008F09E8" w:rsidRDefault="008F09E8" w:rsidP="008F09E8"/>
    <w:p w14:paraId="50B6889C" w14:textId="77777777" w:rsidR="008F09E8" w:rsidRDefault="008F09E8" w:rsidP="008F09E8">
      <w:pPr>
        <w:pStyle w:val="Heading1"/>
      </w:pPr>
    </w:p>
    <w:p w14:paraId="281F282E" w14:textId="24FE7F86" w:rsidR="66C720F1" w:rsidRDefault="66C720F1" w:rsidP="66C720F1">
      <w:pPr>
        <w:pStyle w:val="Heading1"/>
      </w:pPr>
    </w:p>
    <w:p w14:paraId="797B4253" w14:textId="0DEFBB5C" w:rsidR="66C720F1" w:rsidRDefault="66C720F1" w:rsidP="66C720F1">
      <w:pPr>
        <w:pStyle w:val="Heading1"/>
      </w:pPr>
      <w:bookmarkStart w:id="0" w:name="_Toc1386242056"/>
      <w:r>
        <w:t>Table of Content</w:t>
      </w:r>
      <w:bookmarkEnd w:id="0"/>
    </w:p>
    <w:sdt>
      <w:sdtPr>
        <w:id w:val="1460387026"/>
        <w:docPartObj>
          <w:docPartGallery w:val="Table of Contents"/>
          <w:docPartUnique/>
        </w:docPartObj>
      </w:sdtPr>
      <w:sdtContent>
        <w:p w14:paraId="160028B3" w14:textId="1FEA9D8C" w:rsidR="66C720F1" w:rsidRDefault="66C720F1" w:rsidP="66C720F1">
          <w:pPr>
            <w:pStyle w:val="TOC1"/>
            <w:tabs>
              <w:tab w:val="right" w:leader="dot" w:pos="9360"/>
            </w:tabs>
            <w:rPr>
              <w:rStyle w:val="Hyperlink"/>
            </w:rPr>
          </w:pPr>
          <w:r>
            <w:fldChar w:fldCharType="begin"/>
          </w:r>
          <w:r>
            <w:instrText>TOC \o \z \u \h</w:instrText>
          </w:r>
          <w:r>
            <w:fldChar w:fldCharType="separate"/>
          </w:r>
          <w:hyperlink w:anchor="_Toc1386242056">
            <w:r w:rsidRPr="66C720F1">
              <w:rPr>
                <w:rStyle w:val="Hyperlink"/>
              </w:rPr>
              <w:t>Table of Content</w:t>
            </w:r>
            <w:r>
              <w:tab/>
            </w:r>
            <w:r>
              <w:fldChar w:fldCharType="begin"/>
            </w:r>
            <w:r>
              <w:instrText>PAGEREF _Toc1386242056 \h</w:instrText>
            </w:r>
            <w:r>
              <w:fldChar w:fldCharType="separate"/>
            </w:r>
            <w:r w:rsidRPr="66C720F1">
              <w:rPr>
                <w:rStyle w:val="Hyperlink"/>
              </w:rPr>
              <w:t>2</w:t>
            </w:r>
            <w:r>
              <w:fldChar w:fldCharType="end"/>
            </w:r>
          </w:hyperlink>
        </w:p>
        <w:p w14:paraId="4C0ED905" w14:textId="6C636BE9" w:rsidR="66C720F1" w:rsidRDefault="00000000" w:rsidP="66C720F1">
          <w:pPr>
            <w:pStyle w:val="TOC1"/>
            <w:tabs>
              <w:tab w:val="right" w:leader="dot" w:pos="9360"/>
            </w:tabs>
            <w:rPr>
              <w:rStyle w:val="Hyperlink"/>
            </w:rPr>
          </w:pPr>
          <w:hyperlink w:anchor="_Toc782888004">
            <w:r w:rsidR="66C720F1" w:rsidRPr="66C720F1">
              <w:rPr>
                <w:rStyle w:val="Hyperlink"/>
              </w:rPr>
              <w:t>Introduction:</w:t>
            </w:r>
            <w:r w:rsidR="66C720F1">
              <w:tab/>
            </w:r>
            <w:r w:rsidR="66C720F1">
              <w:fldChar w:fldCharType="begin"/>
            </w:r>
            <w:r w:rsidR="66C720F1">
              <w:instrText>PAGEREF _Toc782888004 \h</w:instrText>
            </w:r>
            <w:r w:rsidR="66C720F1">
              <w:fldChar w:fldCharType="separate"/>
            </w:r>
            <w:r w:rsidR="66C720F1" w:rsidRPr="66C720F1">
              <w:rPr>
                <w:rStyle w:val="Hyperlink"/>
              </w:rPr>
              <w:t>2</w:t>
            </w:r>
            <w:r w:rsidR="66C720F1">
              <w:fldChar w:fldCharType="end"/>
            </w:r>
          </w:hyperlink>
        </w:p>
        <w:p w14:paraId="7A87AC90" w14:textId="21FE6674" w:rsidR="66C720F1" w:rsidRDefault="00000000" w:rsidP="66C720F1">
          <w:pPr>
            <w:pStyle w:val="TOC1"/>
            <w:tabs>
              <w:tab w:val="right" w:leader="dot" w:pos="9360"/>
            </w:tabs>
            <w:rPr>
              <w:rStyle w:val="Hyperlink"/>
            </w:rPr>
          </w:pPr>
          <w:hyperlink w:anchor="_Toc51750427">
            <w:r w:rsidR="66C720F1" w:rsidRPr="66C720F1">
              <w:rPr>
                <w:rStyle w:val="Hyperlink"/>
              </w:rPr>
              <w:t>1. Causes and Effects of Employee Attrition:</w:t>
            </w:r>
            <w:r w:rsidR="66C720F1">
              <w:tab/>
            </w:r>
            <w:r w:rsidR="66C720F1">
              <w:fldChar w:fldCharType="begin"/>
            </w:r>
            <w:r w:rsidR="66C720F1">
              <w:instrText>PAGEREF _Toc51750427 \h</w:instrText>
            </w:r>
            <w:r w:rsidR="66C720F1">
              <w:fldChar w:fldCharType="separate"/>
            </w:r>
            <w:r w:rsidR="66C720F1" w:rsidRPr="66C720F1">
              <w:rPr>
                <w:rStyle w:val="Hyperlink"/>
              </w:rPr>
              <w:t>3</w:t>
            </w:r>
            <w:r w:rsidR="66C720F1">
              <w:fldChar w:fldCharType="end"/>
            </w:r>
          </w:hyperlink>
        </w:p>
        <w:p w14:paraId="472B4D91" w14:textId="3DE8E78D" w:rsidR="66C720F1" w:rsidRDefault="00000000" w:rsidP="66C720F1">
          <w:pPr>
            <w:pStyle w:val="TOC2"/>
            <w:tabs>
              <w:tab w:val="right" w:leader="dot" w:pos="9360"/>
            </w:tabs>
            <w:rPr>
              <w:rStyle w:val="Hyperlink"/>
            </w:rPr>
          </w:pPr>
          <w:hyperlink w:anchor="_Toc1786258986">
            <w:r w:rsidR="66C720F1" w:rsidRPr="66C720F1">
              <w:rPr>
                <w:rStyle w:val="Hyperlink"/>
              </w:rPr>
              <w:t>Impact of COVID-19:</w:t>
            </w:r>
            <w:r w:rsidR="66C720F1">
              <w:tab/>
            </w:r>
            <w:r w:rsidR="66C720F1">
              <w:fldChar w:fldCharType="begin"/>
            </w:r>
            <w:r w:rsidR="66C720F1">
              <w:instrText>PAGEREF _Toc1786258986 \h</w:instrText>
            </w:r>
            <w:r w:rsidR="66C720F1">
              <w:fldChar w:fldCharType="separate"/>
            </w:r>
            <w:r w:rsidR="66C720F1" w:rsidRPr="66C720F1">
              <w:rPr>
                <w:rStyle w:val="Hyperlink"/>
              </w:rPr>
              <w:t>3</w:t>
            </w:r>
            <w:r w:rsidR="66C720F1">
              <w:fldChar w:fldCharType="end"/>
            </w:r>
          </w:hyperlink>
        </w:p>
        <w:p w14:paraId="3F78845E" w14:textId="5FDBC5F1" w:rsidR="66C720F1" w:rsidRDefault="00000000" w:rsidP="66C720F1">
          <w:pPr>
            <w:pStyle w:val="TOC2"/>
            <w:tabs>
              <w:tab w:val="right" w:leader="dot" w:pos="9360"/>
            </w:tabs>
            <w:rPr>
              <w:rStyle w:val="Hyperlink"/>
            </w:rPr>
          </w:pPr>
          <w:hyperlink w:anchor="_Toc365044020">
            <w:r w:rsidR="66C720F1" w:rsidRPr="66C720F1">
              <w:rPr>
                <w:rStyle w:val="Hyperlink"/>
              </w:rPr>
              <w:t>Job Satisfaction:</w:t>
            </w:r>
            <w:r w:rsidR="66C720F1">
              <w:tab/>
            </w:r>
            <w:r w:rsidR="66C720F1">
              <w:fldChar w:fldCharType="begin"/>
            </w:r>
            <w:r w:rsidR="66C720F1">
              <w:instrText>PAGEREF _Toc365044020 \h</w:instrText>
            </w:r>
            <w:r w:rsidR="66C720F1">
              <w:fldChar w:fldCharType="separate"/>
            </w:r>
            <w:r w:rsidR="66C720F1" w:rsidRPr="66C720F1">
              <w:rPr>
                <w:rStyle w:val="Hyperlink"/>
              </w:rPr>
              <w:t>3</w:t>
            </w:r>
            <w:r w:rsidR="66C720F1">
              <w:fldChar w:fldCharType="end"/>
            </w:r>
          </w:hyperlink>
        </w:p>
        <w:p w14:paraId="0F758CC9" w14:textId="1E4244A9" w:rsidR="66C720F1" w:rsidRDefault="00000000" w:rsidP="66C720F1">
          <w:pPr>
            <w:pStyle w:val="TOC2"/>
            <w:tabs>
              <w:tab w:val="right" w:leader="dot" w:pos="9360"/>
            </w:tabs>
            <w:rPr>
              <w:rStyle w:val="Hyperlink"/>
            </w:rPr>
          </w:pPr>
          <w:hyperlink w:anchor="_Toc1222719069">
            <w:r w:rsidR="66C720F1" w:rsidRPr="66C720F1">
              <w:rPr>
                <w:rStyle w:val="Hyperlink"/>
              </w:rPr>
              <w:t>Burnout:</w:t>
            </w:r>
            <w:r w:rsidR="66C720F1">
              <w:tab/>
            </w:r>
            <w:r w:rsidR="66C720F1">
              <w:fldChar w:fldCharType="begin"/>
            </w:r>
            <w:r w:rsidR="66C720F1">
              <w:instrText>PAGEREF _Toc1222719069 \h</w:instrText>
            </w:r>
            <w:r w:rsidR="66C720F1">
              <w:fldChar w:fldCharType="separate"/>
            </w:r>
            <w:r w:rsidR="66C720F1" w:rsidRPr="66C720F1">
              <w:rPr>
                <w:rStyle w:val="Hyperlink"/>
              </w:rPr>
              <w:t>3</w:t>
            </w:r>
            <w:r w:rsidR="66C720F1">
              <w:fldChar w:fldCharType="end"/>
            </w:r>
          </w:hyperlink>
        </w:p>
        <w:p w14:paraId="6BAB8E82" w14:textId="115BDF56" w:rsidR="66C720F1" w:rsidRDefault="00000000" w:rsidP="66C720F1">
          <w:pPr>
            <w:pStyle w:val="TOC2"/>
            <w:tabs>
              <w:tab w:val="right" w:leader="dot" w:pos="9360"/>
            </w:tabs>
            <w:rPr>
              <w:rStyle w:val="Hyperlink"/>
            </w:rPr>
          </w:pPr>
          <w:hyperlink w:anchor="_Toc562605360">
            <w:r w:rsidR="66C720F1" w:rsidRPr="66C720F1">
              <w:rPr>
                <w:rStyle w:val="Hyperlink"/>
              </w:rPr>
              <w:t>Work-Life Balance:</w:t>
            </w:r>
            <w:r w:rsidR="66C720F1">
              <w:tab/>
            </w:r>
            <w:r w:rsidR="66C720F1">
              <w:fldChar w:fldCharType="begin"/>
            </w:r>
            <w:r w:rsidR="66C720F1">
              <w:instrText>PAGEREF _Toc562605360 \h</w:instrText>
            </w:r>
            <w:r w:rsidR="66C720F1">
              <w:fldChar w:fldCharType="separate"/>
            </w:r>
            <w:r w:rsidR="66C720F1" w:rsidRPr="66C720F1">
              <w:rPr>
                <w:rStyle w:val="Hyperlink"/>
              </w:rPr>
              <w:t>4</w:t>
            </w:r>
            <w:r w:rsidR="66C720F1">
              <w:fldChar w:fldCharType="end"/>
            </w:r>
          </w:hyperlink>
        </w:p>
        <w:p w14:paraId="3F56FA62" w14:textId="02EA40B0" w:rsidR="66C720F1" w:rsidRDefault="00000000" w:rsidP="66C720F1">
          <w:pPr>
            <w:pStyle w:val="TOC2"/>
            <w:tabs>
              <w:tab w:val="right" w:leader="dot" w:pos="9360"/>
            </w:tabs>
            <w:rPr>
              <w:rStyle w:val="Hyperlink"/>
            </w:rPr>
          </w:pPr>
          <w:hyperlink w:anchor="_Toc851263862">
            <w:r w:rsidR="66C720F1" w:rsidRPr="66C720F1">
              <w:rPr>
                <w:rStyle w:val="Hyperlink"/>
              </w:rPr>
              <w:t>Ethical Dilemmas:</w:t>
            </w:r>
            <w:r w:rsidR="66C720F1">
              <w:tab/>
            </w:r>
            <w:r w:rsidR="66C720F1">
              <w:fldChar w:fldCharType="begin"/>
            </w:r>
            <w:r w:rsidR="66C720F1">
              <w:instrText>PAGEREF _Toc851263862 \h</w:instrText>
            </w:r>
            <w:r w:rsidR="66C720F1">
              <w:fldChar w:fldCharType="separate"/>
            </w:r>
            <w:r w:rsidR="66C720F1" w:rsidRPr="66C720F1">
              <w:rPr>
                <w:rStyle w:val="Hyperlink"/>
              </w:rPr>
              <w:t>4</w:t>
            </w:r>
            <w:r w:rsidR="66C720F1">
              <w:fldChar w:fldCharType="end"/>
            </w:r>
          </w:hyperlink>
        </w:p>
        <w:p w14:paraId="53A7678E" w14:textId="0A2E8AF6" w:rsidR="66C720F1" w:rsidRDefault="00000000" w:rsidP="66C720F1">
          <w:pPr>
            <w:pStyle w:val="TOC2"/>
            <w:tabs>
              <w:tab w:val="right" w:leader="dot" w:pos="9360"/>
            </w:tabs>
            <w:rPr>
              <w:rStyle w:val="Hyperlink"/>
            </w:rPr>
          </w:pPr>
          <w:hyperlink w:anchor="_Toc1425552498">
            <w:r w:rsidR="66C720F1" w:rsidRPr="66C720F1">
              <w:rPr>
                <w:rStyle w:val="Hyperlink"/>
              </w:rPr>
              <w:t>Effects:</w:t>
            </w:r>
            <w:r w:rsidR="66C720F1">
              <w:tab/>
            </w:r>
            <w:r w:rsidR="66C720F1">
              <w:fldChar w:fldCharType="begin"/>
            </w:r>
            <w:r w:rsidR="66C720F1">
              <w:instrText>PAGEREF _Toc1425552498 \h</w:instrText>
            </w:r>
            <w:r w:rsidR="66C720F1">
              <w:fldChar w:fldCharType="separate"/>
            </w:r>
            <w:r w:rsidR="66C720F1" w:rsidRPr="66C720F1">
              <w:rPr>
                <w:rStyle w:val="Hyperlink"/>
              </w:rPr>
              <w:t>4</w:t>
            </w:r>
            <w:r w:rsidR="66C720F1">
              <w:fldChar w:fldCharType="end"/>
            </w:r>
          </w:hyperlink>
        </w:p>
        <w:p w14:paraId="4E12A761" w14:textId="6E444DE4" w:rsidR="66C720F1" w:rsidRDefault="00000000" w:rsidP="66C720F1">
          <w:pPr>
            <w:pStyle w:val="TOC1"/>
            <w:tabs>
              <w:tab w:val="right" w:leader="dot" w:pos="9360"/>
            </w:tabs>
            <w:rPr>
              <w:rStyle w:val="Hyperlink"/>
            </w:rPr>
          </w:pPr>
          <w:hyperlink w:anchor="_Toc209415232">
            <w:r w:rsidR="66C720F1" w:rsidRPr="66C720F1">
              <w:rPr>
                <w:rStyle w:val="Hyperlink"/>
              </w:rPr>
              <w:t>2. Retention Schemes Used by NHS</w:t>
            </w:r>
            <w:r w:rsidR="66C720F1">
              <w:tab/>
            </w:r>
            <w:r w:rsidR="66C720F1">
              <w:fldChar w:fldCharType="begin"/>
            </w:r>
            <w:r w:rsidR="66C720F1">
              <w:instrText>PAGEREF _Toc209415232 \h</w:instrText>
            </w:r>
            <w:r w:rsidR="66C720F1">
              <w:fldChar w:fldCharType="separate"/>
            </w:r>
            <w:r w:rsidR="66C720F1" w:rsidRPr="66C720F1">
              <w:rPr>
                <w:rStyle w:val="Hyperlink"/>
              </w:rPr>
              <w:t>5</w:t>
            </w:r>
            <w:r w:rsidR="66C720F1">
              <w:fldChar w:fldCharType="end"/>
            </w:r>
          </w:hyperlink>
        </w:p>
        <w:p w14:paraId="1539444B" w14:textId="6B7FD22D" w:rsidR="66C720F1" w:rsidRDefault="00000000" w:rsidP="66C720F1">
          <w:pPr>
            <w:pStyle w:val="TOC2"/>
            <w:tabs>
              <w:tab w:val="right" w:leader="dot" w:pos="9360"/>
            </w:tabs>
            <w:rPr>
              <w:rStyle w:val="Hyperlink"/>
            </w:rPr>
          </w:pPr>
          <w:hyperlink w:anchor="_Toc25979129">
            <w:r w:rsidR="66C720F1" w:rsidRPr="66C720F1">
              <w:rPr>
                <w:rStyle w:val="Hyperlink"/>
              </w:rPr>
              <w:t>Monetary Retention Schemes:</w:t>
            </w:r>
            <w:r w:rsidR="66C720F1">
              <w:tab/>
            </w:r>
            <w:r w:rsidR="66C720F1">
              <w:fldChar w:fldCharType="begin"/>
            </w:r>
            <w:r w:rsidR="66C720F1">
              <w:instrText>PAGEREF _Toc25979129 \h</w:instrText>
            </w:r>
            <w:r w:rsidR="66C720F1">
              <w:fldChar w:fldCharType="separate"/>
            </w:r>
            <w:r w:rsidR="66C720F1" w:rsidRPr="66C720F1">
              <w:rPr>
                <w:rStyle w:val="Hyperlink"/>
              </w:rPr>
              <w:t>5</w:t>
            </w:r>
            <w:r w:rsidR="66C720F1">
              <w:fldChar w:fldCharType="end"/>
            </w:r>
          </w:hyperlink>
        </w:p>
        <w:p w14:paraId="241113AA" w14:textId="5C30BCDB" w:rsidR="66C720F1" w:rsidRDefault="00000000" w:rsidP="66C720F1">
          <w:pPr>
            <w:pStyle w:val="TOC2"/>
            <w:tabs>
              <w:tab w:val="right" w:leader="dot" w:pos="9360"/>
            </w:tabs>
            <w:rPr>
              <w:rStyle w:val="Hyperlink"/>
            </w:rPr>
          </w:pPr>
          <w:hyperlink w:anchor="_Toc189331498">
            <w:r w:rsidR="66C720F1" w:rsidRPr="66C720F1">
              <w:rPr>
                <w:rStyle w:val="Hyperlink"/>
              </w:rPr>
              <w:t>Non-Monetary Retention Schemes:</w:t>
            </w:r>
            <w:r w:rsidR="66C720F1">
              <w:tab/>
            </w:r>
            <w:r w:rsidR="66C720F1">
              <w:fldChar w:fldCharType="begin"/>
            </w:r>
            <w:r w:rsidR="66C720F1">
              <w:instrText>PAGEREF _Toc189331498 \h</w:instrText>
            </w:r>
            <w:r w:rsidR="66C720F1">
              <w:fldChar w:fldCharType="separate"/>
            </w:r>
            <w:r w:rsidR="66C720F1" w:rsidRPr="66C720F1">
              <w:rPr>
                <w:rStyle w:val="Hyperlink"/>
              </w:rPr>
              <w:t>6</w:t>
            </w:r>
            <w:r w:rsidR="66C720F1">
              <w:fldChar w:fldCharType="end"/>
            </w:r>
          </w:hyperlink>
        </w:p>
        <w:p w14:paraId="22020F48" w14:textId="71886F84" w:rsidR="66C720F1" w:rsidRDefault="00000000" w:rsidP="66C720F1">
          <w:pPr>
            <w:pStyle w:val="TOC1"/>
            <w:tabs>
              <w:tab w:val="right" w:leader="dot" w:pos="9360"/>
            </w:tabs>
            <w:rPr>
              <w:rStyle w:val="Hyperlink"/>
            </w:rPr>
          </w:pPr>
          <w:hyperlink w:anchor="_Toc315127102">
            <w:r w:rsidR="66C720F1" w:rsidRPr="66C720F1">
              <w:rPr>
                <w:rStyle w:val="Hyperlink"/>
              </w:rPr>
              <w:t>3. Recommendation:</w:t>
            </w:r>
            <w:r w:rsidR="66C720F1">
              <w:tab/>
            </w:r>
            <w:r w:rsidR="66C720F1">
              <w:fldChar w:fldCharType="begin"/>
            </w:r>
            <w:r w:rsidR="66C720F1">
              <w:instrText>PAGEREF _Toc315127102 \h</w:instrText>
            </w:r>
            <w:r w:rsidR="66C720F1">
              <w:fldChar w:fldCharType="separate"/>
            </w:r>
            <w:r w:rsidR="66C720F1" w:rsidRPr="66C720F1">
              <w:rPr>
                <w:rStyle w:val="Hyperlink"/>
              </w:rPr>
              <w:t>7</w:t>
            </w:r>
            <w:r w:rsidR="66C720F1">
              <w:fldChar w:fldCharType="end"/>
            </w:r>
          </w:hyperlink>
        </w:p>
        <w:p w14:paraId="5EA3712A" w14:textId="288EED7C" w:rsidR="66C720F1" w:rsidRDefault="00000000" w:rsidP="66C720F1">
          <w:pPr>
            <w:pStyle w:val="TOC2"/>
            <w:tabs>
              <w:tab w:val="right" w:leader="dot" w:pos="9360"/>
            </w:tabs>
            <w:rPr>
              <w:rStyle w:val="Hyperlink"/>
            </w:rPr>
          </w:pPr>
          <w:hyperlink w:anchor="_Toc1665566037">
            <w:r w:rsidR="66C720F1" w:rsidRPr="66C720F1">
              <w:rPr>
                <w:rStyle w:val="Hyperlink"/>
              </w:rPr>
              <w:t>Short-Term Recommendations:</w:t>
            </w:r>
            <w:r w:rsidR="66C720F1">
              <w:tab/>
            </w:r>
            <w:r w:rsidR="66C720F1">
              <w:fldChar w:fldCharType="begin"/>
            </w:r>
            <w:r w:rsidR="66C720F1">
              <w:instrText>PAGEREF _Toc1665566037 \h</w:instrText>
            </w:r>
            <w:r w:rsidR="66C720F1">
              <w:fldChar w:fldCharType="separate"/>
            </w:r>
            <w:r w:rsidR="66C720F1" w:rsidRPr="66C720F1">
              <w:rPr>
                <w:rStyle w:val="Hyperlink"/>
              </w:rPr>
              <w:t>7</w:t>
            </w:r>
            <w:r w:rsidR="66C720F1">
              <w:fldChar w:fldCharType="end"/>
            </w:r>
          </w:hyperlink>
        </w:p>
        <w:p w14:paraId="7516151F" w14:textId="5F14651C" w:rsidR="66C720F1" w:rsidRDefault="00000000" w:rsidP="66C720F1">
          <w:pPr>
            <w:pStyle w:val="TOC2"/>
            <w:tabs>
              <w:tab w:val="right" w:leader="dot" w:pos="9360"/>
            </w:tabs>
            <w:rPr>
              <w:rStyle w:val="Hyperlink"/>
            </w:rPr>
          </w:pPr>
          <w:hyperlink w:anchor="_Toc755231149">
            <w:r w:rsidR="66C720F1" w:rsidRPr="66C720F1">
              <w:rPr>
                <w:rStyle w:val="Hyperlink"/>
              </w:rPr>
              <w:t>Long-Term Recommendations:</w:t>
            </w:r>
            <w:r w:rsidR="66C720F1">
              <w:tab/>
            </w:r>
            <w:r w:rsidR="66C720F1">
              <w:fldChar w:fldCharType="begin"/>
            </w:r>
            <w:r w:rsidR="66C720F1">
              <w:instrText>PAGEREF _Toc755231149 \h</w:instrText>
            </w:r>
            <w:r w:rsidR="66C720F1">
              <w:fldChar w:fldCharType="separate"/>
            </w:r>
            <w:r w:rsidR="66C720F1" w:rsidRPr="66C720F1">
              <w:rPr>
                <w:rStyle w:val="Hyperlink"/>
              </w:rPr>
              <w:t>8</w:t>
            </w:r>
            <w:r w:rsidR="66C720F1">
              <w:fldChar w:fldCharType="end"/>
            </w:r>
          </w:hyperlink>
        </w:p>
        <w:p w14:paraId="3F7D186C" w14:textId="0D94229E" w:rsidR="66C720F1" w:rsidRDefault="00000000" w:rsidP="66C720F1">
          <w:pPr>
            <w:pStyle w:val="TOC1"/>
            <w:tabs>
              <w:tab w:val="right" w:leader="dot" w:pos="9360"/>
            </w:tabs>
            <w:rPr>
              <w:rStyle w:val="Hyperlink"/>
            </w:rPr>
          </w:pPr>
          <w:hyperlink w:anchor="_Toc897326908">
            <w:r w:rsidR="66C720F1" w:rsidRPr="66C720F1">
              <w:rPr>
                <w:rStyle w:val="Hyperlink"/>
              </w:rPr>
              <w:t>Conclusion:</w:t>
            </w:r>
            <w:r w:rsidR="66C720F1">
              <w:tab/>
            </w:r>
            <w:r w:rsidR="66C720F1">
              <w:fldChar w:fldCharType="begin"/>
            </w:r>
            <w:r w:rsidR="66C720F1">
              <w:instrText>PAGEREF _Toc897326908 \h</w:instrText>
            </w:r>
            <w:r w:rsidR="66C720F1">
              <w:fldChar w:fldCharType="separate"/>
            </w:r>
            <w:r w:rsidR="66C720F1" w:rsidRPr="66C720F1">
              <w:rPr>
                <w:rStyle w:val="Hyperlink"/>
              </w:rPr>
              <w:t>9</w:t>
            </w:r>
            <w:r w:rsidR="66C720F1">
              <w:fldChar w:fldCharType="end"/>
            </w:r>
          </w:hyperlink>
        </w:p>
        <w:p w14:paraId="230116B6" w14:textId="2667ABBA" w:rsidR="66C720F1" w:rsidRDefault="00000000" w:rsidP="66C720F1">
          <w:pPr>
            <w:pStyle w:val="TOC1"/>
            <w:tabs>
              <w:tab w:val="right" w:leader="dot" w:pos="9360"/>
            </w:tabs>
            <w:rPr>
              <w:rStyle w:val="Hyperlink"/>
            </w:rPr>
          </w:pPr>
          <w:hyperlink w:anchor="_Toc1245629998">
            <w:r w:rsidR="66C720F1" w:rsidRPr="66C720F1">
              <w:rPr>
                <w:rStyle w:val="Hyperlink"/>
              </w:rPr>
              <w:t>References:</w:t>
            </w:r>
            <w:r w:rsidR="66C720F1">
              <w:tab/>
            </w:r>
            <w:r w:rsidR="66C720F1">
              <w:fldChar w:fldCharType="begin"/>
            </w:r>
            <w:r w:rsidR="66C720F1">
              <w:instrText>PAGEREF _Toc1245629998 \h</w:instrText>
            </w:r>
            <w:r w:rsidR="66C720F1">
              <w:fldChar w:fldCharType="separate"/>
            </w:r>
            <w:r w:rsidR="66C720F1" w:rsidRPr="66C720F1">
              <w:rPr>
                <w:rStyle w:val="Hyperlink"/>
              </w:rPr>
              <w:t>9</w:t>
            </w:r>
            <w:r w:rsidR="66C720F1">
              <w:fldChar w:fldCharType="end"/>
            </w:r>
          </w:hyperlink>
          <w:r w:rsidR="66C720F1">
            <w:fldChar w:fldCharType="end"/>
          </w:r>
        </w:p>
      </w:sdtContent>
    </w:sdt>
    <w:p w14:paraId="3407347E" w14:textId="3EFEF2A5" w:rsidR="66C720F1" w:rsidRDefault="66C720F1" w:rsidP="66C720F1">
      <w:pPr>
        <w:pStyle w:val="Heading1"/>
      </w:pPr>
    </w:p>
    <w:p w14:paraId="6C351914" w14:textId="154E12B4" w:rsidR="66C720F1" w:rsidRDefault="66C720F1">
      <w:r>
        <w:br w:type="page"/>
      </w:r>
    </w:p>
    <w:p w14:paraId="33493326" w14:textId="53B0B6A7" w:rsidR="66C720F1" w:rsidRDefault="66C720F1" w:rsidP="66C720F1">
      <w:pPr>
        <w:pStyle w:val="Heading1"/>
      </w:pPr>
      <w:bookmarkStart w:id="1" w:name="_Toc782888004"/>
      <w:r>
        <w:lastRenderedPageBreak/>
        <w:t>Introduction:</w:t>
      </w:r>
      <w:bookmarkEnd w:id="1"/>
    </w:p>
    <w:p w14:paraId="657336F2" w14:textId="70194E4C" w:rsidR="66C720F1" w:rsidRDefault="66C720F1" w:rsidP="66C720F1">
      <w:pPr>
        <w:spacing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color w:val="000000" w:themeColor="text1"/>
          <w:sz w:val="24"/>
          <w:szCs w:val="24"/>
        </w:rPr>
        <w:t>In the dynamic landscape of healthcare, the role of nursing professionals is indispensable. The National Health Service (NHS) in the UK has recognized the pressing need to address the escalating challenge of nurse attrition within the healthcare sector. The departure of skilled nursing professionals not only strains patient care quality but also burdens the system with increased recruitment costs (</w:t>
      </w:r>
      <w:proofErr w:type="spellStart"/>
      <w:r w:rsidRPr="66C720F1">
        <w:rPr>
          <w:rFonts w:ascii="Times New Roman" w:eastAsia="Times New Roman" w:hAnsi="Times New Roman" w:cs="Times New Roman"/>
          <w:color w:val="000000" w:themeColor="text1"/>
          <w:sz w:val="24"/>
          <w:szCs w:val="24"/>
        </w:rPr>
        <w:t>Moscelli</w:t>
      </w:r>
      <w:proofErr w:type="spellEnd"/>
      <w:r w:rsidRPr="66C720F1">
        <w:rPr>
          <w:rFonts w:ascii="Times New Roman" w:eastAsia="Times New Roman" w:hAnsi="Times New Roman" w:cs="Times New Roman"/>
          <w:color w:val="000000" w:themeColor="text1"/>
          <w:sz w:val="24"/>
          <w:szCs w:val="24"/>
        </w:rPr>
        <w:t xml:space="preserve">, </w:t>
      </w:r>
      <w:proofErr w:type="spellStart"/>
      <w:r w:rsidRPr="66C720F1">
        <w:rPr>
          <w:rFonts w:ascii="Times New Roman" w:eastAsia="Times New Roman" w:hAnsi="Times New Roman" w:cs="Times New Roman"/>
          <w:color w:val="000000" w:themeColor="text1"/>
          <w:sz w:val="24"/>
          <w:szCs w:val="24"/>
        </w:rPr>
        <w:t>Sayli</w:t>
      </w:r>
      <w:proofErr w:type="spellEnd"/>
      <w:r w:rsidRPr="66C720F1">
        <w:rPr>
          <w:rFonts w:ascii="Times New Roman" w:eastAsia="Times New Roman" w:hAnsi="Times New Roman" w:cs="Times New Roman"/>
          <w:color w:val="000000" w:themeColor="text1"/>
          <w:sz w:val="24"/>
          <w:szCs w:val="24"/>
        </w:rPr>
        <w:t xml:space="preserve"> and Mello, 2022). As a response to this critical issue, the NHS seeks to analyze the causes and effects of nurse attrition, evaluate existing retention schemes, and propose innovative recommendations to retain and nurture its nursing workforce. In this report, the researcher delves into the multifaceted dimensions of nurse attrition within the UK's healthcare sector. Moreover, this report will present a comprehensive set of recommendations aimed at curbing attrition.</w:t>
      </w:r>
    </w:p>
    <w:p w14:paraId="34E30039" w14:textId="0B6F47A1" w:rsidR="70741A22" w:rsidRDefault="66C720F1" w:rsidP="66C720F1">
      <w:pPr>
        <w:pStyle w:val="Heading1"/>
        <w:rPr>
          <w:sz w:val="24"/>
          <w:szCs w:val="24"/>
        </w:rPr>
      </w:pPr>
      <w:bookmarkStart w:id="2" w:name="_Toc51750427"/>
      <w:r>
        <w:t>1. Causes and Effects of Employee Attrition:</w:t>
      </w:r>
      <w:bookmarkEnd w:id="2"/>
    </w:p>
    <w:p w14:paraId="2C42B45D" w14:textId="12B30FEC" w:rsidR="66C720F1" w:rsidRDefault="66C720F1" w:rsidP="66C720F1">
      <w:pPr>
        <w:spacing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color w:val="000000" w:themeColor="text1"/>
          <w:sz w:val="24"/>
          <w:szCs w:val="24"/>
        </w:rPr>
        <w:t xml:space="preserve">The strain exerted on the healthcare system is a direct consequence of nurse attrition. The industry grapples with a shortage of competent professionals when skilled nurses leave. This places an increased workload on the remaining nurses. Fatigued nurses are less equipped to provide optimal patient care. As a result, compromised health outcomes are achieved. Patients are the most important part of any healthcare institution. The quality of patient care is intricately linked to nurse attrition. Nurses play a pivotal role in monitoring patients. Nurses find themselves struggling to allocate time as attrition drives nurse-patient ratios askew. Several other reasons lead to attrition and impact on the organization negatively. </w:t>
      </w:r>
    </w:p>
    <w:p w14:paraId="1164175C" w14:textId="50A02B91" w:rsidR="70741A22" w:rsidRDefault="66C720F1" w:rsidP="66C720F1">
      <w:pPr>
        <w:pStyle w:val="Heading2"/>
      </w:pPr>
      <w:bookmarkStart w:id="3" w:name="_Toc1786258986"/>
      <w:r>
        <w:t>Impact of COVID-19:</w:t>
      </w:r>
      <w:bookmarkEnd w:id="3"/>
    </w:p>
    <w:p w14:paraId="0A5EBD44" w14:textId="6009B068" w:rsidR="70741A22" w:rsidRDefault="66C720F1" w:rsidP="66C720F1">
      <w:pPr>
        <w:spacing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color w:val="000000" w:themeColor="text1"/>
          <w:sz w:val="24"/>
          <w:szCs w:val="24"/>
        </w:rPr>
        <w:t xml:space="preserve">Nurses faced unprecedented challenges due to Covid-19, especially in 2020 to 2022. The pressure was of increased workloads and exposure to infection. It ultimately led to emotional stress among nurses. The relentless demands of the pandemic led many nurses to reassess their career choices (Patterson et al., 2020). </w:t>
      </w:r>
    </w:p>
    <w:p w14:paraId="59281164" w14:textId="1584EF92" w:rsidR="70741A22" w:rsidRDefault="66C720F1" w:rsidP="66C720F1">
      <w:pPr>
        <w:pStyle w:val="Heading2"/>
      </w:pPr>
      <w:bookmarkStart w:id="4" w:name="_Toc365044020"/>
      <w:r>
        <w:t>Job Satisfaction:</w:t>
      </w:r>
      <w:bookmarkEnd w:id="4"/>
    </w:p>
    <w:p w14:paraId="5D5152E5" w14:textId="4A4F5787" w:rsidR="70741A22" w:rsidRDefault="66C720F1" w:rsidP="66C720F1">
      <w:pPr>
        <w:spacing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color w:val="000000" w:themeColor="text1"/>
          <w:sz w:val="24"/>
          <w:szCs w:val="24"/>
        </w:rPr>
        <w:t xml:space="preserve">The lack of competitive wages relative to the responsibility's nurses’ shoulder contributes to dissatisfaction. Inadequate financial recognition leads nurses to explore opportunities that offer better remuneration. Nurses thrive in environments where their contributions are valued. </w:t>
      </w:r>
      <w:r w:rsidRPr="66C720F1">
        <w:rPr>
          <w:rFonts w:ascii="Times New Roman" w:eastAsia="Times New Roman" w:hAnsi="Times New Roman" w:cs="Times New Roman"/>
          <w:color w:val="000000" w:themeColor="text1"/>
          <w:sz w:val="24"/>
          <w:szCs w:val="24"/>
        </w:rPr>
        <w:lastRenderedPageBreak/>
        <w:t>Inadequate recognition from management leads to diminished job satisfaction. Nurses who feel unsupported are more likely to seek positions where their efforts are recognized.</w:t>
      </w:r>
    </w:p>
    <w:p w14:paraId="23F67F4C" w14:textId="2D117D2D" w:rsidR="70741A22" w:rsidRDefault="66C720F1" w:rsidP="66C720F1">
      <w:pPr>
        <w:pStyle w:val="Heading2"/>
      </w:pPr>
      <w:bookmarkStart w:id="5" w:name="_Toc1222719069"/>
      <w:r>
        <w:t>Burnout:</w:t>
      </w:r>
      <w:bookmarkEnd w:id="5"/>
    </w:p>
    <w:p w14:paraId="533B8556" w14:textId="7916A163" w:rsidR="70741A22" w:rsidRDefault="66C720F1" w:rsidP="66C720F1">
      <w:pPr>
        <w:spacing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color w:val="000000" w:themeColor="text1"/>
          <w:sz w:val="24"/>
          <w:szCs w:val="24"/>
        </w:rPr>
        <w:t>The workload in nursing is notorious for its intensity. Irregular schedules can lead to burnout among. The emotional toll of witnessing suffering and dealing with life-and-death situations also contributes to emotional exhaustion. Nurses experiencing burnout often seek positions with less stress and more manageable workloads. The nursing industry also grapples with an aging workforce. As older nurses retire, the loss of experienced professionals contributes to attrition. Younger nurses perceive a lack of mentorship due to the departure of their more seasoned colleagues (Salama et al., 2022).</w:t>
      </w:r>
    </w:p>
    <w:p w14:paraId="5C3326BC" w14:textId="3370F3DD" w:rsidR="70741A22" w:rsidRDefault="66C720F1" w:rsidP="66C720F1">
      <w:pPr>
        <w:pStyle w:val="Heading2"/>
      </w:pPr>
      <w:bookmarkStart w:id="6" w:name="_Toc562605360"/>
      <w:r>
        <w:t>Work-Life Balance:</w:t>
      </w:r>
      <w:bookmarkEnd w:id="6"/>
    </w:p>
    <w:p w14:paraId="697B4E02" w14:textId="72EE776E" w:rsidR="70741A22" w:rsidRDefault="66C720F1" w:rsidP="66C720F1">
      <w:pPr>
        <w:spacing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color w:val="000000" w:themeColor="text1"/>
          <w:sz w:val="24"/>
          <w:szCs w:val="24"/>
        </w:rPr>
        <w:t>Nursing's demanding hours and irregular shifts can disrupt work-life balance. Nurses with families often find it challenging to manage their personal responsibilities with their professional duties. The imbalance can lead to frustration. As a result, they find other employment options that offer a healthier equilibrium between work and personal life. Nurses require a supportive workplace culture (Maben et al., 2022). Poor interpersonal dynamic contributes to nurses' dissatisfaction and imbalance in work and life. An overwhelming patient load affects patient care quality. It intensifies nurses' workload.</w:t>
      </w:r>
    </w:p>
    <w:p w14:paraId="28280EE2" w14:textId="21D9E4E8" w:rsidR="70741A22" w:rsidRDefault="66C720F1" w:rsidP="66C720F1">
      <w:pPr>
        <w:pStyle w:val="Heading2"/>
      </w:pPr>
      <w:bookmarkStart w:id="7" w:name="_Toc851263862"/>
      <w:r>
        <w:t>Ethical Dilemmas:</w:t>
      </w:r>
      <w:bookmarkEnd w:id="7"/>
    </w:p>
    <w:p w14:paraId="3F2474D8" w14:textId="4ADB19E1" w:rsidR="70741A22" w:rsidRDefault="66C720F1" w:rsidP="66C720F1">
      <w:pPr>
        <w:spacing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color w:val="000000" w:themeColor="text1"/>
          <w:sz w:val="24"/>
          <w:szCs w:val="24"/>
        </w:rPr>
        <w:t>Nursing often involves navigating complex ethical dilemmas. Decisions related to patient care conflict with nurses' values and lead to moral distress. Nurses seek roles where their ethical principles align better with their practice.</w:t>
      </w:r>
    </w:p>
    <w:p w14:paraId="5D5B7282" w14:textId="27558F26" w:rsidR="70741A22" w:rsidRDefault="66C720F1" w:rsidP="66C720F1">
      <w:pPr>
        <w:spacing w:line="360" w:lineRule="auto"/>
        <w:rPr>
          <w:rFonts w:ascii="Times New Roman" w:eastAsia="Times New Roman" w:hAnsi="Times New Roman" w:cs="Times New Roman"/>
          <w:color w:val="000000" w:themeColor="text1"/>
          <w:sz w:val="24"/>
          <w:szCs w:val="24"/>
        </w:rPr>
      </w:pPr>
      <w:bookmarkStart w:id="8" w:name="_Toc1425552498"/>
      <w:r w:rsidRPr="66C720F1">
        <w:rPr>
          <w:rStyle w:val="Heading2Char"/>
          <w:rFonts w:eastAsiaTheme="minorHAnsi"/>
        </w:rPr>
        <w:t>Effects:</w:t>
      </w:r>
      <w:bookmarkEnd w:id="8"/>
      <w:r w:rsidR="70741A22">
        <w:br/>
      </w:r>
      <w:r w:rsidRPr="66C720F1">
        <w:rPr>
          <w:rFonts w:ascii="Times New Roman" w:eastAsia="Times New Roman" w:hAnsi="Times New Roman" w:cs="Times New Roman"/>
          <w:color w:val="000000" w:themeColor="text1"/>
          <w:sz w:val="24"/>
          <w:szCs w:val="24"/>
        </w:rPr>
        <w:t xml:space="preserve">Several causes of shortage of nurses have negative impact on nursing profession and field. The financial reverberations of nurse attrition are not limited to recruitment and training expenses alone. The shortage of nurses can extend patients' lengths of stay. As a result, it escalates the financial burden on patients and healthcare institutions alike (Poon et al., 2022). Addressing the aftermath of attrition-induced complications diverts resources from other crucial financial cycles. These strains impact on the morale and job satisfaction of the nursing workforce. Constant turnover generates a climate of instability. The departure of colleagues leads to questioning of </w:t>
      </w:r>
      <w:r w:rsidRPr="66C720F1">
        <w:rPr>
          <w:rFonts w:ascii="Times New Roman" w:eastAsia="Times New Roman" w:hAnsi="Times New Roman" w:cs="Times New Roman"/>
          <w:color w:val="000000" w:themeColor="text1"/>
          <w:sz w:val="24"/>
          <w:szCs w:val="24"/>
        </w:rPr>
        <w:lastRenderedPageBreak/>
        <w:t>career decisions among remaining nurses. These several factors become a hinder in new recruitments (Prowse, Sutton and Randell, 2022). Healthcare institutions grappling with high attrition rates struggle to appeal to prospective talent. The reputation of being an organization marked by attrition can deter potential candidates. Continuity of care takes a hit as attrition disrupts the seamless provision of patient care. Patients form relationships with their nurses. Frequent alterations in nursing staff disrupt these connections.</w:t>
      </w:r>
    </w:p>
    <w:p w14:paraId="1B4BEC45" w14:textId="77908679" w:rsidR="70741A22" w:rsidRDefault="66C720F1" w:rsidP="66C720F1">
      <w:pPr>
        <w:spacing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color w:val="000000" w:themeColor="text1"/>
          <w:sz w:val="24"/>
          <w:szCs w:val="24"/>
        </w:rPr>
        <w:t>The departure of experienced nurses leaves a void in terms of professional development. The guidance offered by experienced nurses is indispensable for newer colleagues. The nurturing of skills and knowledge acquisition becomes challenging when attrition depletes the ranks of seasoned. The reputation of healthcare organizations can also be negatively impacted by high nurse attrition rates. News of elevated turnover and potential implications for patient care tarnishes an organization's standing. This not only hampers the recruitment but also erodes patient trust (</w:t>
      </w:r>
      <w:proofErr w:type="spellStart"/>
      <w:r w:rsidRPr="66C720F1">
        <w:rPr>
          <w:rFonts w:ascii="Times New Roman" w:eastAsia="Times New Roman" w:hAnsi="Times New Roman" w:cs="Times New Roman"/>
          <w:color w:val="000000" w:themeColor="text1"/>
          <w:sz w:val="24"/>
          <w:szCs w:val="24"/>
        </w:rPr>
        <w:t>Rasekhuta</w:t>
      </w:r>
      <w:proofErr w:type="spellEnd"/>
      <w:r w:rsidRPr="66C720F1">
        <w:rPr>
          <w:rFonts w:ascii="Times New Roman" w:eastAsia="Times New Roman" w:hAnsi="Times New Roman" w:cs="Times New Roman"/>
          <w:color w:val="000000" w:themeColor="text1"/>
          <w:sz w:val="24"/>
          <w:szCs w:val="24"/>
        </w:rPr>
        <w:t xml:space="preserve"> and </w:t>
      </w:r>
      <w:proofErr w:type="spellStart"/>
      <w:r w:rsidRPr="66C720F1">
        <w:rPr>
          <w:rFonts w:ascii="Times New Roman" w:eastAsia="Times New Roman" w:hAnsi="Times New Roman" w:cs="Times New Roman"/>
          <w:color w:val="000000" w:themeColor="text1"/>
          <w:sz w:val="24"/>
          <w:szCs w:val="24"/>
        </w:rPr>
        <w:t>Lephalala</w:t>
      </w:r>
      <w:proofErr w:type="spellEnd"/>
      <w:r w:rsidRPr="66C720F1">
        <w:rPr>
          <w:rFonts w:ascii="Times New Roman" w:eastAsia="Times New Roman" w:hAnsi="Times New Roman" w:cs="Times New Roman"/>
          <w:color w:val="000000" w:themeColor="text1"/>
          <w:sz w:val="24"/>
          <w:szCs w:val="24"/>
        </w:rPr>
        <w:t>, 2006). Patient trust and safety is the most important part of any healthcare institute. Reduced nursing staff poses a direct threat to patient safety. Overburdened nurses may struggle to maintain rigorous medication checks. This heightened workload contributes to an increased likelihood of medical errors.</w:t>
      </w:r>
    </w:p>
    <w:p w14:paraId="5C7B5002" w14:textId="5DBABDEE" w:rsidR="66C720F1" w:rsidRDefault="66C720F1" w:rsidP="66C720F1">
      <w:pPr>
        <w:pStyle w:val="Heading1"/>
        <w:rPr>
          <w:sz w:val="24"/>
          <w:szCs w:val="24"/>
        </w:rPr>
      </w:pPr>
      <w:bookmarkStart w:id="9" w:name="_Toc209415232"/>
      <w:r>
        <w:t>2. Retention Schemes Used by NHS</w:t>
      </w:r>
      <w:bookmarkEnd w:id="9"/>
      <w:r>
        <w:t xml:space="preserve"> </w:t>
      </w:r>
    </w:p>
    <w:p w14:paraId="48550BE9" w14:textId="4A5B0081" w:rsidR="66C720F1" w:rsidRDefault="66C720F1" w:rsidP="66C720F1">
      <w:pPr>
        <w:spacing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color w:val="000000" w:themeColor="text1"/>
          <w:sz w:val="24"/>
          <w:szCs w:val="24"/>
        </w:rPr>
        <w:t xml:space="preserve">In the NHS, professionals focus on prompting the implementation of diverse strategies. These strategies are aimed at curbing attrition rates. These approaches encompass both monetary and non-monetary measures. </w:t>
      </w:r>
    </w:p>
    <w:p w14:paraId="307FB639" w14:textId="425ABACE" w:rsidR="66C720F1" w:rsidRDefault="66C720F1" w:rsidP="66C720F1">
      <w:pPr>
        <w:pStyle w:val="Heading2"/>
      </w:pPr>
      <w:bookmarkStart w:id="10" w:name="_Toc25979129"/>
      <w:r w:rsidRPr="66C720F1">
        <w:t>Monetary Retention Schemes:</w:t>
      </w:r>
      <w:bookmarkEnd w:id="10"/>
    </w:p>
    <w:p w14:paraId="1AAFFF2C" w14:textId="0D9E1F39" w:rsidR="66C720F1" w:rsidRDefault="66C720F1" w:rsidP="66C720F1">
      <w:pPr>
        <w:pStyle w:val="ListParagraph"/>
        <w:numPr>
          <w:ilvl w:val="0"/>
          <w:numId w:val="5"/>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Competitive Compensation:</w:t>
      </w:r>
      <w:r w:rsidRPr="66C720F1">
        <w:rPr>
          <w:rFonts w:ascii="Times New Roman" w:eastAsia="Times New Roman" w:hAnsi="Times New Roman" w:cs="Times New Roman"/>
          <w:color w:val="000000" w:themeColor="text1"/>
          <w:sz w:val="24"/>
          <w:szCs w:val="24"/>
        </w:rPr>
        <w:t xml:space="preserve"> Competitive salaries play a vital role in nurse retention. The correlation between compensation and sustained retention involves multifaceted considerations, while higher wages can alleviate financial concerns. It's equally imperative to address underlying issues such as job satisfaction when addressing financial aspects. A comprehensive strategy ensures fair remuneration for the demanding nature of nursing roles.</w:t>
      </w:r>
    </w:p>
    <w:p w14:paraId="3B337196" w14:textId="2A2DC22D" w:rsidR="66C720F1" w:rsidRDefault="66C720F1" w:rsidP="66C720F1">
      <w:pPr>
        <w:pStyle w:val="ListParagraph"/>
        <w:numPr>
          <w:ilvl w:val="0"/>
          <w:numId w:val="5"/>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 xml:space="preserve">Retention Bonuses: </w:t>
      </w:r>
      <w:r w:rsidRPr="66C720F1">
        <w:rPr>
          <w:rFonts w:ascii="Times New Roman" w:eastAsia="Times New Roman" w:hAnsi="Times New Roman" w:cs="Times New Roman"/>
          <w:color w:val="000000" w:themeColor="text1"/>
          <w:sz w:val="24"/>
          <w:szCs w:val="24"/>
        </w:rPr>
        <w:t xml:space="preserve">Retention bonuses serve as immediate financial incentives to encourage nurses to commit to longer tenures. However, the long-term efficacy of these bonuses requires careful examination. The impact of retention bonuses is directly linked </w:t>
      </w:r>
      <w:r w:rsidRPr="66C720F1">
        <w:rPr>
          <w:rFonts w:ascii="Times New Roman" w:eastAsia="Times New Roman" w:hAnsi="Times New Roman" w:cs="Times New Roman"/>
          <w:color w:val="000000" w:themeColor="text1"/>
          <w:sz w:val="24"/>
          <w:szCs w:val="24"/>
        </w:rPr>
        <w:lastRenderedPageBreak/>
        <w:t>to their size and perceived value by nurses. Retention bonuses should be accompanied by a comprehensive approach that consistently focuses on improving workplace conditions to maximize their effect (Ocean and Meyer, 2023). Simply offering bonuses without addressing other factors contributing to attrition yields limited results.</w:t>
      </w:r>
    </w:p>
    <w:p w14:paraId="7999C340" w14:textId="125433D1" w:rsidR="66C720F1" w:rsidRDefault="66C720F1" w:rsidP="66C720F1">
      <w:pPr>
        <w:pStyle w:val="ListParagraph"/>
        <w:numPr>
          <w:ilvl w:val="0"/>
          <w:numId w:val="5"/>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Overtime Pay:</w:t>
      </w:r>
      <w:r w:rsidRPr="66C720F1">
        <w:rPr>
          <w:rFonts w:ascii="Times New Roman" w:eastAsia="Times New Roman" w:hAnsi="Times New Roman" w:cs="Times New Roman"/>
          <w:color w:val="000000" w:themeColor="text1"/>
          <w:sz w:val="24"/>
          <w:szCs w:val="24"/>
        </w:rPr>
        <w:t xml:space="preserve"> Overtime compensation serves as a tangible recognition of extra efforts. A heavy reliance on overtime indicates underlying staffing challenges. Overburdening nurses with excessive overtime work can contribute to burnout (</w:t>
      </w:r>
      <w:proofErr w:type="spellStart"/>
      <w:r w:rsidRPr="66C720F1">
        <w:rPr>
          <w:rFonts w:ascii="Times New Roman" w:eastAsia="Times New Roman" w:hAnsi="Times New Roman" w:cs="Times New Roman"/>
          <w:color w:val="000000" w:themeColor="text1"/>
          <w:sz w:val="24"/>
          <w:szCs w:val="24"/>
        </w:rPr>
        <w:t>Saberi</w:t>
      </w:r>
      <w:proofErr w:type="spellEnd"/>
      <w:r w:rsidRPr="66C720F1">
        <w:rPr>
          <w:rFonts w:ascii="Times New Roman" w:eastAsia="Times New Roman" w:hAnsi="Times New Roman" w:cs="Times New Roman"/>
          <w:color w:val="000000" w:themeColor="text1"/>
          <w:sz w:val="24"/>
          <w:szCs w:val="24"/>
        </w:rPr>
        <w:t xml:space="preserve"> et al., 2023). Balancing the recognition of overtime efforts with proper staffing levels for recovery is essential for optimizing this strategy.</w:t>
      </w:r>
    </w:p>
    <w:p w14:paraId="1E6D0067" w14:textId="3F12B527" w:rsidR="66C720F1" w:rsidRDefault="66C720F1" w:rsidP="66C720F1">
      <w:pPr>
        <w:pStyle w:val="ListParagraph"/>
        <w:numPr>
          <w:ilvl w:val="0"/>
          <w:numId w:val="5"/>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 xml:space="preserve">Educational Support: </w:t>
      </w:r>
      <w:r w:rsidRPr="66C720F1">
        <w:rPr>
          <w:rFonts w:ascii="Times New Roman" w:eastAsia="Times New Roman" w:hAnsi="Times New Roman" w:cs="Times New Roman"/>
          <w:color w:val="000000" w:themeColor="text1"/>
          <w:sz w:val="24"/>
          <w:szCs w:val="24"/>
        </w:rPr>
        <w:t xml:space="preserve">Investing in nurses' professional development through educational support demonstrates a commitment to their growth. Offering financial assistance for further education is a potent retention strategy. It aligns with nurses' aspirations for skill enhancement. However, the effectiveness of this strategy depends on the availability of relevant educational opportunities. This strategy ensures educational opportunities that these are well-aligned with nurses' career goals. It must provide tangible benefits to nurses’ roles.  </w:t>
      </w:r>
    </w:p>
    <w:p w14:paraId="74D78371" w14:textId="4E5836D3" w:rsidR="66C720F1" w:rsidRDefault="66C720F1" w:rsidP="66C720F1">
      <w:pPr>
        <w:pStyle w:val="ListParagraph"/>
        <w:numPr>
          <w:ilvl w:val="0"/>
          <w:numId w:val="5"/>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Pension Plans:</w:t>
      </w:r>
      <w:r w:rsidRPr="66C720F1">
        <w:rPr>
          <w:rFonts w:ascii="Times New Roman" w:eastAsia="Times New Roman" w:hAnsi="Times New Roman" w:cs="Times New Roman"/>
          <w:color w:val="000000" w:themeColor="text1"/>
          <w:sz w:val="24"/>
          <w:szCs w:val="24"/>
        </w:rPr>
        <w:t xml:space="preserve"> Robust pension plans offer nurses a sense of financial security in the long term. These plans play a role in nurses' overall commitment to their careers. However, pensions might not have an immediate impact on daily job satisfaction. The transparency of pension plans is crucial for their effectiveness. Clearly communicating the details of pension plans is crucial in healthcare organizations. It ensures that nurses perceive them as an asset. It contributes to a sense of loyalty and higher retention rates.</w:t>
      </w:r>
    </w:p>
    <w:p w14:paraId="3C5617FD" w14:textId="2BE81A32" w:rsidR="66C720F1" w:rsidRDefault="66C720F1" w:rsidP="66C720F1">
      <w:pPr>
        <w:spacing w:after="0" w:line="360" w:lineRule="auto"/>
        <w:rPr>
          <w:rFonts w:ascii="Times New Roman" w:eastAsia="Times New Roman" w:hAnsi="Times New Roman" w:cs="Times New Roman"/>
          <w:color w:val="000000" w:themeColor="text1"/>
          <w:sz w:val="24"/>
          <w:szCs w:val="24"/>
        </w:rPr>
      </w:pPr>
    </w:p>
    <w:p w14:paraId="65239917" w14:textId="6FC2F1FC" w:rsidR="66C720F1" w:rsidRDefault="66C720F1" w:rsidP="66C720F1">
      <w:pPr>
        <w:pStyle w:val="Heading2"/>
      </w:pPr>
      <w:bookmarkStart w:id="11" w:name="_Toc189331498"/>
      <w:r w:rsidRPr="66C720F1">
        <w:t>Non-Monetary Retention Schemes:</w:t>
      </w:r>
      <w:bookmarkEnd w:id="11"/>
    </w:p>
    <w:p w14:paraId="77495EA7" w14:textId="1A2EABDB" w:rsidR="66C720F1" w:rsidRDefault="66C720F1" w:rsidP="66C720F1">
      <w:pPr>
        <w:pStyle w:val="ListParagraph"/>
        <w:numPr>
          <w:ilvl w:val="0"/>
          <w:numId w:val="4"/>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Flexible Scheduling:</w:t>
      </w:r>
      <w:r w:rsidRPr="66C720F1">
        <w:rPr>
          <w:rFonts w:ascii="Times New Roman" w:eastAsia="Times New Roman" w:hAnsi="Times New Roman" w:cs="Times New Roman"/>
          <w:color w:val="000000" w:themeColor="text1"/>
          <w:sz w:val="24"/>
          <w:szCs w:val="24"/>
        </w:rPr>
        <w:t xml:space="preserve"> Flexible scheduling addresses a fundamental aspect of nurse's well-being—work-life balance. Providing nurses with the flexibility to choose shifts contributes to job satisfaction. Managers should make sure that shifts align with their personal lives. However, the successful implementation of flexible scheduling depends on effective workforce management and proper staffing. Striking a balance between accommodating nurses' scheduling preferences and ensuring that staffing levels meet </w:t>
      </w:r>
      <w:r w:rsidRPr="66C720F1">
        <w:rPr>
          <w:rFonts w:ascii="Times New Roman" w:eastAsia="Times New Roman" w:hAnsi="Times New Roman" w:cs="Times New Roman"/>
          <w:color w:val="000000" w:themeColor="text1"/>
          <w:sz w:val="24"/>
          <w:szCs w:val="24"/>
        </w:rPr>
        <w:lastRenderedPageBreak/>
        <w:t>patient care demands also plays a vital role (</w:t>
      </w:r>
      <w:proofErr w:type="spellStart"/>
      <w:r w:rsidRPr="66C720F1">
        <w:rPr>
          <w:rFonts w:ascii="Times New Roman" w:eastAsia="Times New Roman" w:hAnsi="Times New Roman" w:cs="Times New Roman"/>
          <w:color w:val="000000" w:themeColor="text1"/>
          <w:sz w:val="24"/>
          <w:szCs w:val="24"/>
        </w:rPr>
        <w:t>Ndikumana</w:t>
      </w:r>
      <w:proofErr w:type="spellEnd"/>
      <w:r w:rsidRPr="66C720F1">
        <w:rPr>
          <w:rFonts w:ascii="Times New Roman" w:eastAsia="Times New Roman" w:hAnsi="Times New Roman" w:cs="Times New Roman"/>
          <w:color w:val="000000" w:themeColor="text1"/>
          <w:sz w:val="24"/>
          <w:szCs w:val="24"/>
        </w:rPr>
        <w:t xml:space="preserve">, </w:t>
      </w:r>
      <w:proofErr w:type="spellStart"/>
      <w:r w:rsidRPr="66C720F1">
        <w:rPr>
          <w:rFonts w:ascii="Times New Roman" w:eastAsia="Times New Roman" w:hAnsi="Times New Roman" w:cs="Times New Roman"/>
          <w:color w:val="000000" w:themeColor="text1"/>
          <w:sz w:val="24"/>
          <w:szCs w:val="24"/>
        </w:rPr>
        <w:t>Kwonyike</w:t>
      </w:r>
      <w:proofErr w:type="spellEnd"/>
      <w:r w:rsidRPr="66C720F1">
        <w:rPr>
          <w:rFonts w:ascii="Times New Roman" w:eastAsia="Times New Roman" w:hAnsi="Times New Roman" w:cs="Times New Roman"/>
          <w:color w:val="000000" w:themeColor="text1"/>
          <w:sz w:val="24"/>
          <w:szCs w:val="24"/>
        </w:rPr>
        <w:t xml:space="preserve"> and </w:t>
      </w:r>
      <w:proofErr w:type="spellStart"/>
      <w:r w:rsidRPr="66C720F1">
        <w:rPr>
          <w:rFonts w:ascii="Times New Roman" w:eastAsia="Times New Roman" w:hAnsi="Times New Roman" w:cs="Times New Roman"/>
          <w:color w:val="000000" w:themeColor="text1"/>
          <w:sz w:val="24"/>
          <w:szCs w:val="24"/>
        </w:rPr>
        <w:t>Tubey</w:t>
      </w:r>
      <w:proofErr w:type="spellEnd"/>
      <w:r w:rsidRPr="66C720F1">
        <w:rPr>
          <w:rFonts w:ascii="Times New Roman" w:eastAsia="Times New Roman" w:hAnsi="Times New Roman" w:cs="Times New Roman"/>
          <w:color w:val="000000" w:themeColor="text1"/>
          <w:sz w:val="24"/>
          <w:szCs w:val="24"/>
        </w:rPr>
        <w:t xml:space="preserve">, 2019). It impacts the effectiveness of organization. </w:t>
      </w:r>
    </w:p>
    <w:p w14:paraId="7673BC04" w14:textId="59B63F9F" w:rsidR="66C720F1" w:rsidRDefault="66C720F1" w:rsidP="66C720F1">
      <w:pPr>
        <w:pStyle w:val="ListParagraph"/>
        <w:numPr>
          <w:ilvl w:val="0"/>
          <w:numId w:val="4"/>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Career Development Pathways:</w:t>
      </w:r>
      <w:r w:rsidRPr="66C720F1">
        <w:rPr>
          <w:rFonts w:ascii="Times New Roman" w:eastAsia="Times New Roman" w:hAnsi="Times New Roman" w:cs="Times New Roman"/>
          <w:color w:val="000000" w:themeColor="text1"/>
          <w:sz w:val="24"/>
          <w:szCs w:val="24"/>
        </w:rPr>
        <w:t xml:space="preserve"> Clear and achievable career development pathways are also essential for nurse retention. The evaluation of this strategy centers on its transparency. Nurses are more likely to remain committed to the organization when they have well-defined pathways. However, to fully realize the potential of this strategy, the pathways must be accessible. Nurses should be well-communicated regarding the pathways. As a result, the organization is successful in fostering a sense of empowerment.</w:t>
      </w:r>
    </w:p>
    <w:p w14:paraId="31469811" w14:textId="77F59A11" w:rsidR="66C720F1" w:rsidRDefault="66C720F1" w:rsidP="66C720F1">
      <w:pPr>
        <w:pStyle w:val="ListParagraph"/>
        <w:numPr>
          <w:ilvl w:val="0"/>
          <w:numId w:val="4"/>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Recognition Programs:</w:t>
      </w:r>
      <w:r w:rsidRPr="66C720F1">
        <w:rPr>
          <w:rFonts w:ascii="Times New Roman" w:eastAsia="Times New Roman" w:hAnsi="Times New Roman" w:cs="Times New Roman"/>
          <w:color w:val="000000" w:themeColor="text1"/>
          <w:sz w:val="24"/>
          <w:szCs w:val="24"/>
        </w:rPr>
        <w:t xml:space="preserve"> The impact of recognition programs is contingent on their meaningfulness. Superficial acknowledgment does not create a lasting positive effect. Recognition efforts should be personalized and aligned with nurses' contributions. It will lead to higher retention rates. It should foster a positive work atmosphere in the organization. </w:t>
      </w:r>
    </w:p>
    <w:p w14:paraId="0DF64EA1" w14:textId="55BFED8A" w:rsidR="66C720F1" w:rsidRDefault="66C720F1" w:rsidP="66C720F1">
      <w:pPr>
        <w:pStyle w:val="ListParagraph"/>
        <w:numPr>
          <w:ilvl w:val="0"/>
          <w:numId w:val="4"/>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Mentorship Programs:</w:t>
      </w:r>
      <w:r w:rsidRPr="66C720F1">
        <w:rPr>
          <w:rFonts w:ascii="Times New Roman" w:eastAsia="Times New Roman" w:hAnsi="Times New Roman" w:cs="Times New Roman"/>
          <w:color w:val="000000" w:themeColor="text1"/>
          <w:sz w:val="24"/>
          <w:szCs w:val="24"/>
        </w:rPr>
        <w:t xml:space="preserve"> Mentorship programs facilitate skill development among nurses. The success of these programs hinges on the quality of mentorship relationships. An effective mentorship program creates a supportive work environment. These programs are specially coupled with opportunities for ongoing learning of nurses.</w:t>
      </w:r>
    </w:p>
    <w:p w14:paraId="2217034B" w14:textId="0F58CAB6" w:rsidR="66C720F1" w:rsidRDefault="66C720F1" w:rsidP="66C720F1">
      <w:pPr>
        <w:pStyle w:val="ListParagraph"/>
        <w:numPr>
          <w:ilvl w:val="0"/>
          <w:numId w:val="4"/>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Wellness Initiatives:</w:t>
      </w:r>
      <w:r w:rsidRPr="66C720F1">
        <w:rPr>
          <w:rFonts w:ascii="Times New Roman" w:eastAsia="Times New Roman" w:hAnsi="Times New Roman" w:cs="Times New Roman"/>
          <w:color w:val="000000" w:themeColor="text1"/>
          <w:sz w:val="24"/>
          <w:szCs w:val="24"/>
        </w:rPr>
        <w:t xml:space="preserve"> Wellness initiatives address nurses' holistic well-being, including physical, mental, and emotional health. The success of wellness programs depends on consistent implementation. Prioritizing nurses' well-being creates an environment where they feel supported. These initiatives lead to improved job satisfaction. </w:t>
      </w:r>
    </w:p>
    <w:p w14:paraId="733A3E21" w14:textId="61D446A8" w:rsidR="66C720F1" w:rsidRDefault="66C720F1" w:rsidP="66C720F1">
      <w:pPr>
        <w:spacing w:after="0" w:line="360" w:lineRule="auto"/>
        <w:rPr>
          <w:rFonts w:ascii="Times New Roman" w:eastAsia="Times New Roman" w:hAnsi="Times New Roman" w:cs="Times New Roman"/>
          <w:color w:val="000000" w:themeColor="text1"/>
          <w:sz w:val="24"/>
          <w:szCs w:val="24"/>
        </w:rPr>
      </w:pPr>
    </w:p>
    <w:p w14:paraId="79DD6166" w14:textId="669F20AE" w:rsidR="66C720F1" w:rsidRDefault="66C720F1" w:rsidP="66C720F1">
      <w:pPr>
        <w:pStyle w:val="Heading1"/>
        <w:rPr>
          <w:sz w:val="24"/>
          <w:szCs w:val="24"/>
        </w:rPr>
      </w:pPr>
      <w:bookmarkStart w:id="12" w:name="_Toc315127102"/>
      <w:r>
        <w:t>3. Recommendation:</w:t>
      </w:r>
      <w:bookmarkEnd w:id="12"/>
    </w:p>
    <w:p w14:paraId="6DDFC7A4" w14:textId="1635F013" w:rsidR="66C720F1" w:rsidRDefault="66C720F1" w:rsidP="66C720F1">
      <w:pPr>
        <w:pStyle w:val="Heading2"/>
      </w:pPr>
      <w:bookmarkStart w:id="13" w:name="_Toc1665566037"/>
      <w:r w:rsidRPr="66C720F1">
        <w:t>Short-Term Recommendations:</w:t>
      </w:r>
      <w:bookmarkEnd w:id="13"/>
    </w:p>
    <w:p w14:paraId="3E84D705" w14:textId="17419CF4" w:rsidR="66C720F1" w:rsidRDefault="66C720F1" w:rsidP="66C720F1">
      <w:pPr>
        <w:pStyle w:val="ListParagraph"/>
        <w:numPr>
          <w:ilvl w:val="0"/>
          <w:numId w:val="3"/>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Nurse Resilience Training:</w:t>
      </w:r>
      <w:r w:rsidRPr="66C720F1">
        <w:rPr>
          <w:rFonts w:ascii="Times New Roman" w:eastAsia="Times New Roman" w:hAnsi="Times New Roman" w:cs="Times New Roman"/>
          <w:color w:val="000000" w:themeColor="text1"/>
          <w:sz w:val="24"/>
          <w:szCs w:val="24"/>
        </w:rPr>
        <w:t xml:space="preserve"> Introducing targeted resilience training programs can equip nurses with effective coping mechanisms to navigate high-stress situations. These programs can provide them with strategies to manage emotional exhaustion (Halter et al., 2017). It will enhance their well-being and job satisfaction. This training can contribute to increased retention rates by empowering nurses with the tools to handle challenging scenarios.</w:t>
      </w:r>
    </w:p>
    <w:p w14:paraId="48D7011B" w14:textId="5900DADC" w:rsidR="66C720F1" w:rsidRDefault="66C720F1" w:rsidP="66C720F1">
      <w:pPr>
        <w:pStyle w:val="ListParagraph"/>
        <w:numPr>
          <w:ilvl w:val="0"/>
          <w:numId w:val="3"/>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lastRenderedPageBreak/>
        <w:t>Peer Support Networks:</w:t>
      </w:r>
      <w:r w:rsidRPr="66C720F1">
        <w:rPr>
          <w:rFonts w:ascii="Times New Roman" w:eastAsia="Times New Roman" w:hAnsi="Times New Roman" w:cs="Times New Roman"/>
          <w:color w:val="000000" w:themeColor="text1"/>
          <w:sz w:val="24"/>
          <w:szCs w:val="24"/>
        </w:rPr>
        <w:t xml:space="preserve"> Experienced nurses can mentor newer colleagues. It will create a supportive community within the workplace. This mentorship can help newcomers acclimate to the demands of the profession. Such networks strengthen social bonds and cultivate a sense of belonging.</w:t>
      </w:r>
    </w:p>
    <w:p w14:paraId="4FC4F193" w14:textId="415531FA" w:rsidR="66C720F1" w:rsidRDefault="66C720F1" w:rsidP="66C720F1">
      <w:pPr>
        <w:pStyle w:val="ListParagraph"/>
        <w:numPr>
          <w:ilvl w:val="0"/>
          <w:numId w:val="3"/>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Micro-Recognition Initiatives:</w:t>
      </w:r>
      <w:r w:rsidRPr="66C720F1">
        <w:rPr>
          <w:rFonts w:ascii="Times New Roman" w:eastAsia="Times New Roman" w:hAnsi="Times New Roman" w:cs="Times New Roman"/>
          <w:color w:val="000000" w:themeColor="text1"/>
          <w:sz w:val="24"/>
          <w:szCs w:val="24"/>
        </w:rPr>
        <w:t xml:space="preserve"> Implementing a digital platform for micro-recognition enables nurses to appreciate each other's achievement. This instant recognition not only boosts morale but also creates a positive work atmosphere. The visibility of these micro-recognitions can enhance nurses' job satisfaction.</w:t>
      </w:r>
    </w:p>
    <w:p w14:paraId="486F7ABD" w14:textId="03D494C5" w:rsidR="66C720F1" w:rsidRDefault="66C720F1" w:rsidP="66C720F1">
      <w:pPr>
        <w:pStyle w:val="ListParagraph"/>
        <w:numPr>
          <w:ilvl w:val="0"/>
          <w:numId w:val="3"/>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Task Rotation:</w:t>
      </w:r>
      <w:r w:rsidRPr="66C720F1">
        <w:rPr>
          <w:rFonts w:ascii="Times New Roman" w:eastAsia="Times New Roman" w:hAnsi="Times New Roman" w:cs="Times New Roman"/>
          <w:color w:val="000000" w:themeColor="text1"/>
          <w:sz w:val="24"/>
          <w:szCs w:val="24"/>
        </w:rPr>
        <w:t xml:space="preserve"> Introducing task rotation allows nurses to engage in different aspects of their roles. Nurses can find motivation in their work by diversifying their responsibilities. This variety counteracts monotony (Teoh et al., 2022). As a result, organizations can prevent burnouts associated with repetitive tasks. Task rotation also provides opportunities for cross-training.</w:t>
      </w:r>
    </w:p>
    <w:p w14:paraId="5044BFE0" w14:textId="5B21A81F" w:rsidR="66C720F1" w:rsidRDefault="66C720F1" w:rsidP="66C720F1">
      <w:pPr>
        <w:pStyle w:val="ListParagraph"/>
        <w:numPr>
          <w:ilvl w:val="0"/>
          <w:numId w:val="3"/>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Flexible Learning Hours:</w:t>
      </w:r>
      <w:r w:rsidRPr="66C720F1">
        <w:rPr>
          <w:rFonts w:ascii="Times New Roman" w:eastAsia="Times New Roman" w:hAnsi="Times New Roman" w:cs="Times New Roman"/>
          <w:color w:val="000000" w:themeColor="text1"/>
          <w:sz w:val="24"/>
          <w:szCs w:val="24"/>
        </w:rPr>
        <w:t xml:space="preserve"> Offering flexibility in learning hours helps nurses in getting varying schedules. Nurses can engage in professional development, such as workshops or online courses. This flexibility empowers nurses to pursue growth without adding stress to their already demanding schedules. The ability to enhance their skills on their terms can lead to the desire to remain with the organization (Edwards et al., 2022).</w:t>
      </w:r>
    </w:p>
    <w:p w14:paraId="4A9C392D" w14:textId="050F22FD" w:rsidR="66C720F1" w:rsidRDefault="66C720F1" w:rsidP="66C720F1">
      <w:pPr>
        <w:pStyle w:val="Heading2"/>
      </w:pPr>
      <w:bookmarkStart w:id="14" w:name="_Toc755231149"/>
      <w:r w:rsidRPr="66C720F1">
        <w:t>Long-Term Recommendations:</w:t>
      </w:r>
      <w:bookmarkEnd w:id="14"/>
    </w:p>
    <w:p w14:paraId="379A3345" w14:textId="2BE1570A" w:rsidR="66C720F1" w:rsidRDefault="66C720F1" w:rsidP="66C720F1">
      <w:pPr>
        <w:pStyle w:val="ListParagraph"/>
        <w:numPr>
          <w:ilvl w:val="0"/>
          <w:numId w:val="2"/>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Nurse-Led Innovation Hubs:</w:t>
      </w:r>
      <w:r w:rsidRPr="66C720F1">
        <w:rPr>
          <w:rFonts w:ascii="Times New Roman" w:eastAsia="Times New Roman" w:hAnsi="Times New Roman" w:cs="Times New Roman"/>
          <w:color w:val="000000" w:themeColor="text1"/>
          <w:sz w:val="24"/>
          <w:szCs w:val="24"/>
        </w:rPr>
        <w:t xml:space="preserve"> innovation and development lab is a must in any organization. Similarly, nurses need an innovation hub for their skills development. Establishing nurse-led innovation hubs provides nurses with a platform to contribute their insights to challenges in patient care. These hubs help in developing a sense of ownership in their profession.</w:t>
      </w:r>
    </w:p>
    <w:p w14:paraId="3C1E1D44" w14:textId="3C077961" w:rsidR="66C720F1" w:rsidRDefault="66C720F1" w:rsidP="66C720F1">
      <w:pPr>
        <w:pStyle w:val="ListParagraph"/>
        <w:numPr>
          <w:ilvl w:val="0"/>
          <w:numId w:val="2"/>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Career Mapping Workshops:</w:t>
      </w:r>
      <w:r w:rsidRPr="66C720F1">
        <w:rPr>
          <w:rFonts w:ascii="Times New Roman" w:eastAsia="Times New Roman" w:hAnsi="Times New Roman" w:cs="Times New Roman"/>
          <w:color w:val="000000" w:themeColor="text1"/>
          <w:sz w:val="24"/>
          <w:szCs w:val="24"/>
        </w:rPr>
        <w:t xml:space="preserve"> Organize regular workshops where nurses collaboratively map out their long-term career paths within the organization. These sessions can offer guidance on potential roles, growth opportunities, and skill development. Such workshops provide nurses with a clear vision of their trajectory (Buchan and Shaffer, 2022).</w:t>
      </w:r>
    </w:p>
    <w:p w14:paraId="46558D2D" w14:textId="261D52E5" w:rsidR="66C720F1" w:rsidRDefault="66C720F1" w:rsidP="66C720F1">
      <w:pPr>
        <w:pStyle w:val="ListParagraph"/>
        <w:numPr>
          <w:ilvl w:val="0"/>
          <w:numId w:val="2"/>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Nurse Wellness Retreats:</w:t>
      </w:r>
      <w:r w:rsidRPr="66C720F1">
        <w:rPr>
          <w:rFonts w:ascii="Times New Roman" w:eastAsia="Times New Roman" w:hAnsi="Times New Roman" w:cs="Times New Roman"/>
          <w:color w:val="000000" w:themeColor="text1"/>
          <w:sz w:val="24"/>
          <w:szCs w:val="24"/>
        </w:rPr>
        <w:t xml:space="preserve"> Healthcare organizations should develop wellness retreats that offer nurses a blend of relaxation and skill enhancement. These retreats provide a </w:t>
      </w:r>
      <w:r w:rsidRPr="66C720F1">
        <w:rPr>
          <w:rFonts w:ascii="Times New Roman" w:eastAsia="Times New Roman" w:hAnsi="Times New Roman" w:cs="Times New Roman"/>
          <w:color w:val="000000" w:themeColor="text1"/>
          <w:sz w:val="24"/>
          <w:szCs w:val="24"/>
        </w:rPr>
        <w:lastRenderedPageBreak/>
        <w:t>reprieve from the demanding healthcare environment. It will offer skill-enhancement workshops during these retreats, which demonstrates the organization's commitment to their professional growth.</w:t>
      </w:r>
    </w:p>
    <w:p w14:paraId="0DEE050F" w14:textId="4A7501D8" w:rsidR="66C720F1" w:rsidRDefault="66C720F1" w:rsidP="66C720F1">
      <w:pPr>
        <w:pStyle w:val="ListParagraph"/>
        <w:numPr>
          <w:ilvl w:val="0"/>
          <w:numId w:val="2"/>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Cross-Disciplinary Exchanges:</w:t>
      </w:r>
      <w:r w:rsidRPr="66C720F1">
        <w:rPr>
          <w:rFonts w:ascii="Times New Roman" w:eastAsia="Times New Roman" w:hAnsi="Times New Roman" w:cs="Times New Roman"/>
          <w:color w:val="000000" w:themeColor="text1"/>
          <w:sz w:val="24"/>
          <w:szCs w:val="24"/>
        </w:rPr>
        <w:t xml:space="preserve"> They should create programs that enable nurses to spend short periods in different healthcare disciplines. This cross-disciplinary exposure expands their skill sets. The experience of working in various areas of healthcare broadens their perspectives (</w:t>
      </w:r>
      <w:proofErr w:type="spellStart"/>
      <w:r w:rsidRPr="66C720F1">
        <w:rPr>
          <w:rFonts w:ascii="Times New Roman" w:eastAsia="Times New Roman" w:hAnsi="Times New Roman" w:cs="Times New Roman"/>
          <w:color w:val="000000" w:themeColor="text1"/>
          <w:sz w:val="24"/>
          <w:szCs w:val="24"/>
        </w:rPr>
        <w:t>Thusini</w:t>
      </w:r>
      <w:proofErr w:type="spellEnd"/>
      <w:r w:rsidRPr="66C720F1">
        <w:rPr>
          <w:rFonts w:ascii="Times New Roman" w:eastAsia="Times New Roman" w:hAnsi="Times New Roman" w:cs="Times New Roman"/>
          <w:color w:val="000000" w:themeColor="text1"/>
          <w:sz w:val="24"/>
          <w:szCs w:val="24"/>
        </w:rPr>
        <w:t xml:space="preserve"> et al., 2022).</w:t>
      </w:r>
    </w:p>
    <w:p w14:paraId="2477BE22" w14:textId="38F02D69" w:rsidR="66C720F1" w:rsidRDefault="66C720F1" w:rsidP="66C720F1">
      <w:pPr>
        <w:pStyle w:val="ListParagraph"/>
        <w:numPr>
          <w:ilvl w:val="0"/>
          <w:numId w:val="2"/>
        </w:num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b/>
          <w:bCs/>
          <w:color w:val="000000" w:themeColor="text1"/>
          <w:sz w:val="24"/>
          <w:szCs w:val="24"/>
        </w:rPr>
        <w:t>Innovative Recognition Programs:</w:t>
      </w:r>
      <w:r w:rsidRPr="66C720F1">
        <w:rPr>
          <w:rFonts w:ascii="Times New Roman" w:eastAsia="Times New Roman" w:hAnsi="Times New Roman" w:cs="Times New Roman"/>
          <w:color w:val="000000" w:themeColor="text1"/>
          <w:sz w:val="24"/>
          <w:szCs w:val="24"/>
        </w:rPr>
        <w:t xml:space="preserve"> Launch recognition programs that incorporate innovative approaches, such as gamified platforms. Engage nurses in challenges that recognize their achievements. This approach infuses an element of fun and healthy competition into the workplace.</w:t>
      </w:r>
      <w:r>
        <w:br/>
      </w:r>
    </w:p>
    <w:p w14:paraId="175D3928" w14:textId="35CFE14D" w:rsidR="66C720F1" w:rsidRDefault="66C720F1" w:rsidP="66C720F1">
      <w:pPr>
        <w:pStyle w:val="Heading1"/>
        <w:rPr>
          <w:b w:val="0"/>
          <w:bCs w:val="0"/>
          <w:sz w:val="24"/>
          <w:szCs w:val="24"/>
        </w:rPr>
      </w:pPr>
      <w:bookmarkStart w:id="15" w:name="_Toc897326908"/>
      <w:r w:rsidRPr="66C720F1">
        <w:t>Conclusion:</w:t>
      </w:r>
      <w:bookmarkEnd w:id="15"/>
      <w:r w:rsidRPr="66C720F1">
        <w:t xml:space="preserve"> </w:t>
      </w:r>
    </w:p>
    <w:p w14:paraId="0D34A898" w14:textId="5609A660" w:rsidR="66C720F1" w:rsidRDefault="66C720F1" w:rsidP="66C720F1">
      <w:pPr>
        <w:spacing w:after="0"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color w:val="000000" w:themeColor="text1"/>
          <w:sz w:val="24"/>
          <w:szCs w:val="24"/>
        </w:rPr>
        <w:t>Nurse retention within the UK's healthcare sector is a pressing concern that demands a comprehensive response. The intricate causes of attrition must be met with a strategic blend of monetary and non-monetary retention schemes. The NHS's existing strategies require harmonization with efforts to address underlying issues. Short-term actions such as support systems, recognition, and workload management can yield immediate results. Meanwhile, long-term investments in leadership development, career pathways, empowerment, and feedback mechanisms help in enduring commitment to the profession.</w:t>
      </w:r>
    </w:p>
    <w:p w14:paraId="7A5B60F8" w14:textId="117B9BD3" w:rsidR="66C720F1" w:rsidRDefault="66C720F1" w:rsidP="66C720F1">
      <w:pPr>
        <w:spacing w:line="360" w:lineRule="auto"/>
        <w:rPr>
          <w:rFonts w:ascii="Times New Roman" w:eastAsia="Times New Roman" w:hAnsi="Times New Roman" w:cs="Times New Roman"/>
          <w:color w:val="000000" w:themeColor="text1"/>
          <w:sz w:val="24"/>
          <w:szCs w:val="24"/>
        </w:rPr>
      </w:pPr>
      <w:r w:rsidRPr="66C720F1">
        <w:rPr>
          <w:rFonts w:ascii="Times New Roman" w:eastAsia="Times New Roman" w:hAnsi="Times New Roman" w:cs="Times New Roman"/>
          <w:color w:val="000000" w:themeColor="text1"/>
          <w:sz w:val="24"/>
          <w:szCs w:val="24"/>
        </w:rPr>
        <w:br w:type="page"/>
      </w:r>
    </w:p>
    <w:p w14:paraId="10AACD5F" w14:textId="717B7B76" w:rsidR="66C720F1" w:rsidRDefault="66C720F1" w:rsidP="66C720F1">
      <w:pPr>
        <w:pStyle w:val="Heading1"/>
      </w:pPr>
      <w:bookmarkStart w:id="16" w:name="_Toc1245629998"/>
      <w:r>
        <w:lastRenderedPageBreak/>
        <w:t>References:</w:t>
      </w:r>
      <w:bookmarkEnd w:id="16"/>
    </w:p>
    <w:p w14:paraId="25E22D3D" w14:textId="58EEBEF5" w:rsidR="66C720F1" w:rsidRDefault="66C720F1" w:rsidP="66C720F1">
      <w:pPr>
        <w:spacing w:line="360" w:lineRule="auto"/>
      </w:pPr>
      <w:r w:rsidRPr="66C720F1">
        <w:rPr>
          <w:rFonts w:ascii="Times New Roman" w:eastAsia="Times New Roman" w:hAnsi="Times New Roman" w:cs="Times New Roman"/>
          <w:sz w:val="24"/>
          <w:szCs w:val="24"/>
        </w:rPr>
        <w:t xml:space="preserve">Buchan, J. and Shaffer, F. (2022). </w:t>
      </w:r>
      <w:r w:rsidRPr="66C720F1">
        <w:rPr>
          <w:rFonts w:ascii="Times New Roman" w:eastAsia="Times New Roman" w:hAnsi="Times New Roman" w:cs="Times New Roman"/>
          <w:i/>
          <w:iCs/>
          <w:sz w:val="24"/>
          <w:szCs w:val="24"/>
        </w:rPr>
        <w:t xml:space="preserve">Sustain and </w:t>
      </w:r>
      <w:proofErr w:type="gramStart"/>
      <w:r w:rsidRPr="66C720F1">
        <w:rPr>
          <w:rFonts w:ascii="Times New Roman" w:eastAsia="Times New Roman" w:hAnsi="Times New Roman" w:cs="Times New Roman"/>
          <w:i/>
          <w:iCs/>
          <w:sz w:val="24"/>
          <w:szCs w:val="24"/>
        </w:rPr>
        <w:t>Retain</w:t>
      </w:r>
      <w:proofErr w:type="gramEnd"/>
      <w:r w:rsidRPr="66C720F1">
        <w:rPr>
          <w:rFonts w:ascii="Times New Roman" w:eastAsia="Times New Roman" w:hAnsi="Times New Roman" w:cs="Times New Roman"/>
          <w:i/>
          <w:iCs/>
          <w:sz w:val="24"/>
          <w:szCs w:val="24"/>
        </w:rPr>
        <w:t xml:space="preserve"> in 2022 and Beyond</w:t>
      </w:r>
      <w:r w:rsidRPr="66C720F1">
        <w:rPr>
          <w:rFonts w:ascii="Times New Roman" w:eastAsia="Times New Roman" w:hAnsi="Times New Roman" w:cs="Times New Roman"/>
          <w:sz w:val="24"/>
          <w:szCs w:val="24"/>
        </w:rPr>
        <w:t xml:space="preserve">. [online] Available at: </w:t>
      </w:r>
      <w:hyperlink r:id="rId8">
        <w:r w:rsidRPr="66C720F1">
          <w:rPr>
            <w:rStyle w:val="Hyperlink"/>
            <w:rFonts w:ascii="Times New Roman" w:eastAsia="Times New Roman" w:hAnsi="Times New Roman" w:cs="Times New Roman"/>
            <w:sz w:val="24"/>
            <w:szCs w:val="24"/>
          </w:rPr>
          <w:t>https://www.intlnursemigration.org/wp-content/uploads/2022/01/Sustain-and-Retain-in-2022-and-Beyond-The-global-nursing-workforce-and-the-COVID-19-pandemic.pdf</w:t>
        </w:r>
      </w:hyperlink>
      <w:r w:rsidRPr="66C720F1">
        <w:rPr>
          <w:rFonts w:ascii="Times New Roman" w:eastAsia="Times New Roman" w:hAnsi="Times New Roman" w:cs="Times New Roman"/>
          <w:sz w:val="24"/>
          <w:szCs w:val="24"/>
        </w:rPr>
        <w:t>.</w:t>
      </w:r>
    </w:p>
    <w:p w14:paraId="2525285F" w14:textId="10BFD911" w:rsidR="66C720F1" w:rsidRDefault="66C720F1" w:rsidP="66C720F1">
      <w:pPr>
        <w:spacing w:line="360" w:lineRule="auto"/>
      </w:pPr>
      <w:r w:rsidRPr="66C720F1">
        <w:rPr>
          <w:rFonts w:ascii="Times New Roman" w:eastAsia="Times New Roman" w:hAnsi="Times New Roman" w:cs="Times New Roman"/>
          <w:sz w:val="24"/>
          <w:szCs w:val="24"/>
        </w:rPr>
        <w:t xml:space="preserve">Edwards, D., </w:t>
      </w:r>
      <w:proofErr w:type="spellStart"/>
      <w:r w:rsidRPr="66C720F1">
        <w:rPr>
          <w:rFonts w:ascii="Times New Roman" w:eastAsia="Times New Roman" w:hAnsi="Times New Roman" w:cs="Times New Roman"/>
          <w:sz w:val="24"/>
          <w:szCs w:val="24"/>
        </w:rPr>
        <w:t>Csontos</w:t>
      </w:r>
      <w:proofErr w:type="spellEnd"/>
      <w:r w:rsidRPr="66C720F1">
        <w:rPr>
          <w:rFonts w:ascii="Times New Roman" w:eastAsia="Times New Roman" w:hAnsi="Times New Roman" w:cs="Times New Roman"/>
          <w:sz w:val="24"/>
          <w:szCs w:val="24"/>
        </w:rPr>
        <w:t xml:space="preserve">, J., Gillen, E., Carrier, J., Lewis, R., Cooper, A., Gal, M., Law, R.-J., Greenwell, J. and Edwards, A. (2022). A rapid review of the effectiveness of interventions and innovations relevant to the Welsh NHS context to support recruitment and retention of clinical staff. </w:t>
      </w:r>
      <w:proofErr w:type="spellStart"/>
      <w:proofErr w:type="gramStart"/>
      <w:r w:rsidRPr="66C720F1">
        <w:rPr>
          <w:rFonts w:ascii="Times New Roman" w:eastAsia="Times New Roman" w:hAnsi="Times New Roman" w:cs="Times New Roman"/>
          <w:sz w:val="24"/>
          <w:szCs w:val="24"/>
        </w:rPr>
        <w:t>doi:https</w:t>
      </w:r>
      <w:proofErr w:type="spellEnd"/>
      <w:r w:rsidRPr="66C720F1">
        <w:rPr>
          <w:rFonts w:ascii="Times New Roman" w:eastAsia="Times New Roman" w:hAnsi="Times New Roman" w:cs="Times New Roman"/>
          <w:sz w:val="24"/>
          <w:szCs w:val="24"/>
        </w:rPr>
        <w:t>://doi.org/10.1101/2022.05.11.22274903</w:t>
      </w:r>
      <w:proofErr w:type="gramEnd"/>
      <w:r w:rsidRPr="66C720F1">
        <w:rPr>
          <w:rFonts w:ascii="Times New Roman" w:eastAsia="Times New Roman" w:hAnsi="Times New Roman" w:cs="Times New Roman"/>
          <w:sz w:val="24"/>
          <w:szCs w:val="24"/>
        </w:rPr>
        <w:t>.</w:t>
      </w:r>
    </w:p>
    <w:p w14:paraId="19634AF5" w14:textId="56433A6D" w:rsidR="66C720F1" w:rsidRDefault="66C720F1" w:rsidP="66C720F1">
      <w:pPr>
        <w:spacing w:line="360" w:lineRule="auto"/>
      </w:pPr>
      <w:r w:rsidRPr="66C720F1">
        <w:rPr>
          <w:rFonts w:ascii="Times New Roman" w:eastAsia="Times New Roman" w:hAnsi="Times New Roman" w:cs="Times New Roman"/>
          <w:sz w:val="24"/>
          <w:szCs w:val="24"/>
        </w:rPr>
        <w:t xml:space="preserve">Halter, M., </w:t>
      </w:r>
      <w:proofErr w:type="spellStart"/>
      <w:r w:rsidRPr="66C720F1">
        <w:rPr>
          <w:rFonts w:ascii="Times New Roman" w:eastAsia="Times New Roman" w:hAnsi="Times New Roman" w:cs="Times New Roman"/>
          <w:sz w:val="24"/>
          <w:szCs w:val="24"/>
        </w:rPr>
        <w:t>Pelone</w:t>
      </w:r>
      <w:proofErr w:type="spellEnd"/>
      <w:r w:rsidRPr="66C720F1">
        <w:rPr>
          <w:rFonts w:ascii="Times New Roman" w:eastAsia="Times New Roman" w:hAnsi="Times New Roman" w:cs="Times New Roman"/>
          <w:sz w:val="24"/>
          <w:szCs w:val="24"/>
        </w:rPr>
        <w:t xml:space="preserve">, F., </w:t>
      </w:r>
      <w:proofErr w:type="spellStart"/>
      <w:r w:rsidRPr="66C720F1">
        <w:rPr>
          <w:rFonts w:ascii="Times New Roman" w:eastAsia="Times New Roman" w:hAnsi="Times New Roman" w:cs="Times New Roman"/>
          <w:sz w:val="24"/>
          <w:szCs w:val="24"/>
        </w:rPr>
        <w:t>Boiko</w:t>
      </w:r>
      <w:proofErr w:type="spellEnd"/>
      <w:r w:rsidRPr="66C720F1">
        <w:rPr>
          <w:rFonts w:ascii="Times New Roman" w:eastAsia="Times New Roman" w:hAnsi="Times New Roman" w:cs="Times New Roman"/>
          <w:sz w:val="24"/>
          <w:szCs w:val="24"/>
        </w:rPr>
        <w:t xml:space="preserve">, O., Beighton, C., Harris, R., Gale, J., </w:t>
      </w:r>
      <w:proofErr w:type="spellStart"/>
      <w:r w:rsidRPr="66C720F1">
        <w:rPr>
          <w:rFonts w:ascii="Times New Roman" w:eastAsia="Times New Roman" w:hAnsi="Times New Roman" w:cs="Times New Roman"/>
          <w:sz w:val="24"/>
          <w:szCs w:val="24"/>
        </w:rPr>
        <w:t>Gourlay</w:t>
      </w:r>
      <w:proofErr w:type="spellEnd"/>
      <w:r w:rsidRPr="66C720F1">
        <w:rPr>
          <w:rFonts w:ascii="Times New Roman" w:eastAsia="Times New Roman" w:hAnsi="Times New Roman" w:cs="Times New Roman"/>
          <w:sz w:val="24"/>
          <w:szCs w:val="24"/>
        </w:rPr>
        <w:t xml:space="preserve">, S. and Drennan, V. (2017). Interventions to Reduce Adult Nursing Turnover: A Systematic Review of Systematic Reviews. </w:t>
      </w:r>
      <w:r w:rsidRPr="66C720F1">
        <w:rPr>
          <w:rFonts w:ascii="Times New Roman" w:eastAsia="Times New Roman" w:hAnsi="Times New Roman" w:cs="Times New Roman"/>
          <w:i/>
          <w:iCs/>
          <w:sz w:val="24"/>
          <w:szCs w:val="24"/>
        </w:rPr>
        <w:t>The Open Nursing Journal</w:t>
      </w:r>
      <w:r w:rsidRPr="66C720F1">
        <w:rPr>
          <w:rFonts w:ascii="Times New Roman" w:eastAsia="Times New Roman" w:hAnsi="Times New Roman" w:cs="Times New Roman"/>
          <w:sz w:val="24"/>
          <w:szCs w:val="24"/>
        </w:rPr>
        <w:t xml:space="preserve">, [online] 11(1), pp.108–123. </w:t>
      </w:r>
      <w:proofErr w:type="spellStart"/>
      <w:proofErr w:type="gramStart"/>
      <w:r w:rsidRPr="66C720F1">
        <w:rPr>
          <w:rFonts w:ascii="Times New Roman" w:eastAsia="Times New Roman" w:hAnsi="Times New Roman" w:cs="Times New Roman"/>
          <w:sz w:val="24"/>
          <w:szCs w:val="24"/>
        </w:rPr>
        <w:t>doi:https</w:t>
      </w:r>
      <w:proofErr w:type="spellEnd"/>
      <w:r w:rsidRPr="66C720F1">
        <w:rPr>
          <w:rFonts w:ascii="Times New Roman" w:eastAsia="Times New Roman" w:hAnsi="Times New Roman" w:cs="Times New Roman"/>
          <w:sz w:val="24"/>
          <w:szCs w:val="24"/>
        </w:rPr>
        <w:t>://doi.org/10.2174/1874434601711010108</w:t>
      </w:r>
      <w:proofErr w:type="gramEnd"/>
      <w:r w:rsidRPr="66C720F1">
        <w:rPr>
          <w:rFonts w:ascii="Times New Roman" w:eastAsia="Times New Roman" w:hAnsi="Times New Roman" w:cs="Times New Roman"/>
          <w:sz w:val="24"/>
          <w:szCs w:val="24"/>
        </w:rPr>
        <w:t>.</w:t>
      </w:r>
    </w:p>
    <w:p w14:paraId="1B96874D" w14:textId="48BFD8F9" w:rsidR="66C720F1" w:rsidRDefault="66C720F1" w:rsidP="66C720F1">
      <w:pPr>
        <w:spacing w:line="360" w:lineRule="auto"/>
      </w:pPr>
      <w:r w:rsidRPr="66C720F1">
        <w:rPr>
          <w:rFonts w:ascii="Times New Roman" w:eastAsia="Times New Roman" w:hAnsi="Times New Roman" w:cs="Times New Roman"/>
          <w:sz w:val="24"/>
          <w:szCs w:val="24"/>
        </w:rPr>
        <w:t xml:space="preserve">Maben, J., Conolly, A., Abrams, R., Rowland, E., Harris, R., Kelly, D., Kent, B. and Couper, K. (2022). ‘You can’t walk through water without getting wet’ UK nurses’ distress and psychological health needs during the Covid-19 pandemic: A longitudinal interview study. </w:t>
      </w:r>
      <w:r w:rsidRPr="66C720F1">
        <w:rPr>
          <w:rFonts w:ascii="Times New Roman" w:eastAsia="Times New Roman" w:hAnsi="Times New Roman" w:cs="Times New Roman"/>
          <w:i/>
          <w:iCs/>
          <w:sz w:val="24"/>
          <w:szCs w:val="24"/>
        </w:rPr>
        <w:t>International Journal of Nursing Studies</w:t>
      </w:r>
      <w:r w:rsidRPr="66C720F1">
        <w:rPr>
          <w:rFonts w:ascii="Times New Roman" w:eastAsia="Times New Roman" w:hAnsi="Times New Roman" w:cs="Times New Roman"/>
          <w:sz w:val="24"/>
          <w:szCs w:val="24"/>
        </w:rPr>
        <w:t xml:space="preserve">, [online] 131, p.104242. </w:t>
      </w:r>
      <w:proofErr w:type="spellStart"/>
      <w:proofErr w:type="gramStart"/>
      <w:r w:rsidRPr="66C720F1">
        <w:rPr>
          <w:rFonts w:ascii="Times New Roman" w:eastAsia="Times New Roman" w:hAnsi="Times New Roman" w:cs="Times New Roman"/>
          <w:sz w:val="24"/>
          <w:szCs w:val="24"/>
        </w:rPr>
        <w:t>doi:https</w:t>
      </w:r>
      <w:proofErr w:type="spellEnd"/>
      <w:r w:rsidRPr="66C720F1">
        <w:rPr>
          <w:rFonts w:ascii="Times New Roman" w:eastAsia="Times New Roman" w:hAnsi="Times New Roman" w:cs="Times New Roman"/>
          <w:sz w:val="24"/>
          <w:szCs w:val="24"/>
        </w:rPr>
        <w:t>://doi.org/10.1016/j.ijnurstu.2022.104242</w:t>
      </w:r>
      <w:proofErr w:type="gramEnd"/>
      <w:r w:rsidRPr="66C720F1">
        <w:rPr>
          <w:rFonts w:ascii="Times New Roman" w:eastAsia="Times New Roman" w:hAnsi="Times New Roman" w:cs="Times New Roman"/>
          <w:sz w:val="24"/>
          <w:szCs w:val="24"/>
        </w:rPr>
        <w:t>.</w:t>
      </w:r>
    </w:p>
    <w:p w14:paraId="7D59BF78" w14:textId="58DF6092" w:rsidR="66C720F1" w:rsidRDefault="66C720F1" w:rsidP="66C720F1">
      <w:pPr>
        <w:spacing w:line="360" w:lineRule="auto"/>
      </w:pPr>
      <w:proofErr w:type="spellStart"/>
      <w:r w:rsidRPr="66C720F1">
        <w:rPr>
          <w:rFonts w:ascii="Times New Roman" w:eastAsia="Times New Roman" w:hAnsi="Times New Roman" w:cs="Times New Roman"/>
          <w:sz w:val="24"/>
          <w:szCs w:val="24"/>
        </w:rPr>
        <w:t>Moscelli</w:t>
      </w:r>
      <w:proofErr w:type="spellEnd"/>
      <w:r w:rsidRPr="66C720F1">
        <w:rPr>
          <w:rFonts w:ascii="Times New Roman" w:eastAsia="Times New Roman" w:hAnsi="Times New Roman" w:cs="Times New Roman"/>
          <w:sz w:val="24"/>
          <w:szCs w:val="24"/>
        </w:rPr>
        <w:t xml:space="preserve">, G., </w:t>
      </w:r>
      <w:proofErr w:type="spellStart"/>
      <w:r w:rsidRPr="66C720F1">
        <w:rPr>
          <w:rFonts w:ascii="Times New Roman" w:eastAsia="Times New Roman" w:hAnsi="Times New Roman" w:cs="Times New Roman"/>
          <w:sz w:val="24"/>
          <w:szCs w:val="24"/>
        </w:rPr>
        <w:t>Sayli</w:t>
      </w:r>
      <w:proofErr w:type="spellEnd"/>
      <w:r w:rsidRPr="66C720F1">
        <w:rPr>
          <w:rFonts w:ascii="Times New Roman" w:eastAsia="Times New Roman" w:hAnsi="Times New Roman" w:cs="Times New Roman"/>
          <w:sz w:val="24"/>
          <w:szCs w:val="24"/>
        </w:rPr>
        <w:t xml:space="preserve">, M. and Mello, M. (2022). </w:t>
      </w:r>
      <w:r w:rsidRPr="66C720F1">
        <w:rPr>
          <w:rFonts w:ascii="Times New Roman" w:eastAsia="Times New Roman" w:hAnsi="Times New Roman" w:cs="Times New Roman"/>
          <w:i/>
          <w:iCs/>
          <w:sz w:val="24"/>
          <w:szCs w:val="24"/>
        </w:rPr>
        <w:t>Staff Engagement, Coworkers’ Complementarity and Employee Retention: Evidence from English NHS Hospitals</w:t>
      </w:r>
      <w:r w:rsidRPr="66C720F1">
        <w:rPr>
          <w:rFonts w:ascii="Times New Roman" w:eastAsia="Times New Roman" w:hAnsi="Times New Roman" w:cs="Times New Roman"/>
          <w:sz w:val="24"/>
          <w:szCs w:val="24"/>
        </w:rPr>
        <w:t xml:space="preserve">. [online] papers.ssrn.com. Available at: </w:t>
      </w:r>
      <w:hyperlink r:id="rId9">
        <w:r w:rsidRPr="66C720F1">
          <w:rPr>
            <w:rStyle w:val="Hyperlink"/>
            <w:rFonts w:ascii="Times New Roman" w:eastAsia="Times New Roman" w:hAnsi="Times New Roman" w:cs="Times New Roman"/>
            <w:sz w:val="24"/>
            <w:szCs w:val="24"/>
          </w:rPr>
          <w:t>https://papers.ssrn.com/sol3/papers.cfm?abstract_id=4247492</w:t>
        </w:r>
      </w:hyperlink>
      <w:r w:rsidRPr="66C720F1">
        <w:rPr>
          <w:rFonts w:ascii="Times New Roman" w:eastAsia="Times New Roman" w:hAnsi="Times New Roman" w:cs="Times New Roman"/>
          <w:sz w:val="24"/>
          <w:szCs w:val="24"/>
        </w:rPr>
        <w:t>.</w:t>
      </w:r>
    </w:p>
    <w:p w14:paraId="41B454C2" w14:textId="1D6BC8B7" w:rsidR="66C720F1" w:rsidRDefault="66C720F1" w:rsidP="66C720F1">
      <w:pPr>
        <w:spacing w:line="360" w:lineRule="auto"/>
      </w:pPr>
      <w:proofErr w:type="spellStart"/>
      <w:r w:rsidRPr="66C720F1">
        <w:rPr>
          <w:rFonts w:ascii="Times New Roman" w:eastAsia="Times New Roman" w:hAnsi="Times New Roman" w:cs="Times New Roman"/>
          <w:sz w:val="24"/>
          <w:szCs w:val="24"/>
        </w:rPr>
        <w:t>Ndikumana</w:t>
      </w:r>
      <w:proofErr w:type="spellEnd"/>
      <w:r w:rsidRPr="66C720F1">
        <w:rPr>
          <w:rFonts w:ascii="Times New Roman" w:eastAsia="Times New Roman" w:hAnsi="Times New Roman" w:cs="Times New Roman"/>
          <w:sz w:val="24"/>
          <w:szCs w:val="24"/>
        </w:rPr>
        <w:t xml:space="preserve">, C., </w:t>
      </w:r>
      <w:proofErr w:type="spellStart"/>
      <w:r w:rsidRPr="66C720F1">
        <w:rPr>
          <w:rFonts w:ascii="Times New Roman" w:eastAsia="Times New Roman" w:hAnsi="Times New Roman" w:cs="Times New Roman"/>
          <w:sz w:val="24"/>
          <w:szCs w:val="24"/>
        </w:rPr>
        <w:t>Kwonyike</w:t>
      </w:r>
      <w:proofErr w:type="spellEnd"/>
      <w:r w:rsidRPr="66C720F1">
        <w:rPr>
          <w:rFonts w:ascii="Times New Roman" w:eastAsia="Times New Roman" w:hAnsi="Times New Roman" w:cs="Times New Roman"/>
          <w:sz w:val="24"/>
          <w:szCs w:val="24"/>
        </w:rPr>
        <w:t xml:space="preserve">, J. and </w:t>
      </w:r>
      <w:proofErr w:type="spellStart"/>
      <w:r w:rsidRPr="66C720F1">
        <w:rPr>
          <w:rFonts w:ascii="Times New Roman" w:eastAsia="Times New Roman" w:hAnsi="Times New Roman" w:cs="Times New Roman"/>
          <w:sz w:val="24"/>
          <w:szCs w:val="24"/>
        </w:rPr>
        <w:t>Tubey</w:t>
      </w:r>
      <w:proofErr w:type="spellEnd"/>
      <w:r w:rsidRPr="66C720F1">
        <w:rPr>
          <w:rFonts w:ascii="Times New Roman" w:eastAsia="Times New Roman" w:hAnsi="Times New Roman" w:cs="Times New Roman"/>
          <w:sz w:val="24"/>
          <w:szCs w:val="24"/>
        </w:rPr>
        <w:t xml:space="preserve">, R. (2019). Non-financial incentives and professional health workers’ intentions to stay in public district hospitals in Rwanda: A cross-sectional study. </w:t>
      </w:r>
      <w:proofErr w:type="spellStart"/>
      <w:r w:rsidRPr="66C720F1">
        <w:rPr>
          <w:rFonts w:ascii="Times New Roman" w:eastAsia="Times New Roman" w:hAnsi="Times New Roman" w:cs="Times New Roman"/>
          <w:i/>
          <w:iCs/>
          <w:sz w:val="24"/>
          <w:szCs w:val="24"/>
        </w:rPr>
        <w:t>Wellcome</w:t>
      </w:r>
      <w:proofErr w:type="spellEnd"/>
      <w:r w:rsidRPr="66C720F1">
        <w:rPr>
          <w:rFonts w:ascii="Times New Roman" w:eastAsia="Times New Roman" w:hAnsi="Times New Roman" w:cs="Times New Roman"/>
          <w:i/>
          <w:iCs/>
          <w:sz w:val="24"/>
          <w:szCs w:val="24"/>
        </w:rPr>
        <w:t xml:space="preserve"> Open Research</w:t>
      </w:r>
      <w:r w:rsidRPr="66C720F1">
        <w:rPr>
          <w:rFonts w:ascii="Times New Roman" w:eastAsia="Times New Roman" w:hAnsi="Times New Roman" w:cs="Times New Roman"/>
          <w:sz w:val="24"/>
          <w:szCs w:val="24"/>
        </w:rPr>
        <w:t xml:space="preserve">, 3, p.41. </w:t>
      </w:r>
      <w:proofErr w:type="spellStart"/>
      <w:proofErr w:type="gramStart"/>
      <w:r w:rsidRPr="66C720F1">
        <w:rPr>
          <w:rFonts w:ascii="Times New Roman" w:eastAsia="Times New Roman" w:hAnsi="Times New Roman" w:cs="Times New Roman"/>
          <w:sz w:val="24"/>
          <w:szCs w:val="24"/>
        </w:rPr>
        <w:t>doi:https</w:t>
      </w:r>
      <w:proofErr w:type="spellEnd"/>
      <w:r w:rsidRPr="66C720F1">
        <w:rPr>
          <w:rFonts w:ascii="Times New Roman" w:eastAsia="Times New Roman" w:hAnsi="Times New Roman" w:cs="Times New Roman"/>
          <w:sz w:val="24"/>
          <w:szCs w:val="24"/>
        </w:rPr>
        <w:t>://doi.org/10.12688/wellcomeopenres.14501.2</w:t>
      </w:r>
      <w:proofErr w:type="gramEnd"/>
      <w:r w:rsidRPr="66C720F1">
        <w:rPr>
          <w:rFonts w:ascii="Times New Roman" w:eastAsia="Times New Roman" w:hAnsi="Times New Roman" w:cs="Times New Roman"/>
          <w:sz w:val="24"/>
          <w:szCs w:val="24"/>
        </w:rPr>
        <w:t>.</w:t>
      </w:r>
    </w:p>
    <w:p w14:paraId="2CA29571" w14:textId="49DDDFA1" w:rsidR="66C720F1" w:rsidRDefault="66C720F1" w:rsidP="66C720F1">
      <w:pPr>
        <w:spacing w:line="360" w:lineRule="auto"/>
      </w:pPr>
      <w:r w:rsidRPr="66C720F1">
        <w:rPr>
          <w:rFonts w:ascii="Times New Roman" w:eastAsia="Times New Roman" w:hAnsi="Times New Roman" w:cs="Times New Roman"/>
          <w:sz w:val="24"/>
          <w:szCs w:val="24"/>
        </w:rPr>
        <w:t xml:space="preserve">Ocean, N. and Meyer, C. (2023). Satisfaction and attrition in the UK healthcare sector over the past decade. </w:t>
      </w:r>
      <w:r w:rsidRPr="66C720F1">
        <w:rPr>
          <w:rFonts w:ascii="Times New Roman" w:eastAsia="Times New Roman" w:hAnsi="Times New Roman" w:cs="Times New Roman"/>
          <w:i/>
          <w:iCs/>
          <w:sz w:val="24"/>
          <w:szCs w:val="24"/>
        </w:rPr>
        <w:t>PLOS ONE</w:t>
      </w:r>
      <w:r w:rsidRPr="66C720F1">
        <w:rPr>
          <w:rFonts w:ascii="Times New Roman" w:eastAsia="Times New Roman" w:hAnsi="Times New Roman" w:cs="Times New Roman"/>
          <w:sz w:val="24"/>
          <w:szCs w:val="24"/>
        </w:rPr>
        <w:t xml:space="preserve">, 18(4), </w:t>
      </w:r>
      <w:proofErr w:type="gramStart"/>
      <w:r w:rsidRPr="66C720F1">
        <w:rPr>
          <w:rFonts w:ascii="Times New Roman" w:eastAsia="Times New Roman" w:hAnsi="Times New Roman" w:cs="Times New Roman"/>
          <w:sz w:val="24"/>
          <w:szCs w:val="24"/>
        </w:rPr>
        <w:t>pp.e</w:t>
      </w:r>
      <w:proofErr w:type="gramEnd"/>
      <w:r w:rsidRPr="66C720F1">
        <w:rPr>
          <w:rFonts w:ascii="Times New Roman" w:eastAsia="Times New Roman" w:hAnsi="Times New Roman" w:cs="Times New Roman"/>
          <w:sz w:val="24"/>
          <w:szCs w:val="24"/>
        </w:rPr>
        <w:t xml:space="preserve">0284516–e0284516. </w:t>
      </w:r>
      <w:proofErr w:type="spellStart"/>
      <w:proofErr w:type="gramStart"/>
      <w:r w:rsidRPr="66C720F1">
        <w:rPr>
          <w:rFonts w:ascii="Times New Roman" w:eastAsia="Times New Roman" w:hAnsi="Times New Roman" w:cs="Times New Roman"/>
          <w:sz w:val="24"/>
          <w:szCs w:val="24"/>
        </w:rPr>
        <w:t>doi:https</w:t>
      </w:r>
      <w:proofErr w:type="spellEnd"/>
      <w:r w:rsidRPr="66C720F1">
        <w:rPr>
          <w:rFonts w:ascii="Times New Roman" w:eastAsia="Times New Roman" w:hAnsi="Times New Roman" w:cs="Times New Roman"/>
          <w:sz w:val="24"/>
          <w:szCs w:val="24"/>
        </w:rPr>
        <w:t>://doi.org/10.1371/journal.pone.0284516</w:t>
      </w:r>
      <w:proofErr w:type="gramEnd"/>
      <w:r w:rsidRPr="66C720F1">
        <w:rPr>
          <w:rFonts w:ascii="Times New Roman" w:eastAsia="Times New Roman" w:hAnsi="Times New Roman" w:cs="Times New Roman"/>
          <w:sz w:val="24"/>
          <w:szCs w:val="24"/>
        </w:rPr>
        <w:t>.</w:t>
      </w:r>
    </w:p>
    <w:p w14:paraId="4ED1436C" w14:textId="2394778D" w:rsidR="66C720F1" w:rsidRDefault="66C720F1" w:rsidP="66C720F1">
      <w:pPr>
        <w:spacing w:line="360" w:lineRule="auto"/>
      </w:pPr>
      <w:r w:rsidRPr="66C720F1">
        <w:rPr>
          <w:rFonts w:ascii="Times New Roman" w:eastAsia="Times New Roman" w:hAnsi="Times New Roman" w:cs="Times New Roman"/>
          <w:sz w:val="24"/>
          <w:szCs w:val="24"/>
        </w:rPr>
        <w:t xml:space="preserve">Patterson, P.B., Weinberg, T., McRae, S., Pollack, C. and Dutton, D. (2020). Long-Term Care Staffing Policies Pre-COVID-19 and Pandemic Responses: A Case Comparison of Ontario and </w:t>
      </w:r>
      <w:r w:rsidRPr="66C720F1">
        <w:rPr>
          <w:rFonts w:ascii="Times New Roman" w:eastAsia="Times New Roman" w:hAnsi="Times New Roman" w:cs="Times New Roman"/>
          <w:sz w:val="24"/>
          <w:szCs w:val="24"/>
        </w:rPr>
        <w:lastRenderedPageBreak/>
        <w:t xml:space="preserve">British Columbia. </w:t>
      </w:r>
      <w:r w:rsidRPr="66C720F1">
        <w:rPr>
          <w:rFonts w:ascii="Times New Roman" w:eastAsia="Times New Roman" w:hAnsi="Times New Roman" w:cs="Times New Roman"/>
          <w:i/>
          <w:iCs/>
          <w:sz w:val="24"/>
          <w:szCs w:val="24"/>
        </w:rPr>
        <w:t>Canadian Public Policy</w:t>
      </w:r>
      <w:r w:rsidRPr="66C720F1">
        <w:rPr>
          <w:rFonts w:ascii="Times New Roman" w:eastAsia="Times New Roman" w:hAnsi="Times New Roman" w:cs="Times New Roman"/>
          <w:sz w:val="24"/>
          <w:szCs w:val="24"/>
        </w:rPr>
        <w:t xml:space="preserve">, COVID-19. </w:t>
      </w:r>
      <w:proofErr w:type="spellStart"/>
      <w:proofErr w:type="gramStart"/>
      <w:r w:rsidRPr="66C720F1">
        <w:rPr>
          <w:rFonts w:ascii="Times New Roman" w:eastAsia="Times New Roman" w:hAnsi="Times New Roman" w:cs="Times New Roman"/>
          <w:sz w:val="24"/>
          <w:szCs w:val="24"/>
        </w:rPr>
        <w:t>doi:https</w:t>
      </w:r>
      <w:proofErr w:type="spellEnd"/>
      <w:r w:rsidRPr="66C720F1">
        <w:rPr>
          <w:rFonts w:ascii="Times New Roman" w:eastAsia="Times New Roman" w:hAnsi="Times New Roman" w:cs="Times New Roman"/>
          <w:sz w:val="24"/>
          <w:szCs w:val="24"/>
        </w:rPr>
        <w:t>://doi.org/10.3138/cpp.2022-011</w:t>
      </w:r>
      <w:proofErr w:type="gramEnd"/>
      <w:r w:rsidRPr="66C720F1">
        <w:rPr>
          <w:rFonts w:ascii="Times New Roman" w:eastAsia="Times New Roman" w:hAnsi="Times New Roman" w:cs="Times New Roman"/>
          <w:sz w:val="24"/>
          <w:szCs w:val="24"/>
        </w:rPr>
        <w:t>.</w:t>
      </w:r>
    </w:p>
    <w:p w14:paraId="4E5F5487" w14:textId="0CBB70CC" w:rsidR="66C720F1" w:rsidRDefault="66C720F1" w:rsidP="66C720F1">
      <w:pPr>
        <w:spacing w:line="360" w:lineRule="auto"/>
      </w:pPr>
      <w:r w:rsidRPr="66C720F1">
        <w:rPr>
          <w:rFonts w:ascii="Times New Roman" w:eastAsia="Times New Roman" w:hAnsi="Times New Roman" w:cs="Times New Roman"/>
          <w:sz w:val="24"/>
          <w:szCs w:val="24"/>
        </w:rPr>
        <w:t xml:space="preserve">Poon, Y.-S.R., Lin, Y.P., Griffiths, P., Yong, K.K., </w:t>
      </w:r>
      <w:proofErr w:type="spellStart"/>
      <w:r w:rsidRPr="66C720F1">
        <w:rPr>
          <w:rFonts w:ascii="Times New Roman" w:eastAsia="Times New Roman" w:hAnsi="Times New Roman" w:cs="Times New Roman"/>
          <w:sz w:val="24"/>
          <w:szCs w:val="24"/>
        </w:rPr>
        <w:t>Seah</w:t>
      </w:r>
      <w:proofErr w:type="spellEnd"/>
      <w:r w:rsidRPr="66C720F1">
        <w:rPr>
          <w:rFonts w:ascii="Times New Roman" w:eastAsia="Times New Roman" w:hAnsi="Times New Roman" w:cs="Times New Roman"/>
          <w:sz w:val="24"/>
          <w:szCs w:val="24"/>
        </w:rPr>
        <w:t xml:space="preserve">, B. and </w:t>
      </w:r>
      <w:proofErr w:type="spellStart"/>
      <w:r w:rsidRPr="66C720F1">
        <w:rPr>
          <w:rFonts w:ascii="Times New Roman" w:eastAsia="Times New Roman" w:hAnsi="Times New Roman" w:cs="Times New Roman"/>
          <w:sz w:val="24"/>
          <w:szCs w:val="24"/>
        </w:rPr>
        <w:t>Liaw</w:t>
      </w:r>
      <w:proofErr w:type="spellEnd"/>
      <w:r w:rsidRPr="66C720F1">
        <w:rPr>
          <w:rFonts w:ascii="Times New Roman" w:eastAsia="Times New Roman" w:hAnsi="Times New Roman" w:cs="Times New Roman"/>
          <w:sz w:val="24"/>
          <w:szCs w:val="24"/>
        </w:rPr>
        <w:t xml:space="preserve">, S.Y. (2022). A global overview of healthcare workers’ turnover intention amid COVID-19 pandemic: a systematic review with future directions. </w:t>
      </w:r>
      <w:r w:rsidRPr="66C720F1">
        <w:rPr>
          <w:rFonts w:ascii="Times New Roman" w:eastAsia="Times New Roman" w:hAnsi="Times New Roman" w:cs="Times New Roman"/>
          <w:i/>
          <w:iCs/>
          <w:sz w:val="24"/>
          <w:szCs w:val="24"/>
        </w:rPr>
        <w:t>Human Resources for Health</w:t>
      </w:r>
      <w:r w:rsidRPr="66C720F1">
        <w:rPr>
          <w:rFonts w:ascii="Times New Roman" w:eastAsia="Times New Roman" w:hAnsi="Times New Roman" w:cs="Times New Roman"/>
          <w:sz w:val="24"/>
          <w:szCs w:val="24"/>
        </w:rPr>
        <w:t xml:space="preserve">, 20(1). </w:t>
      </w:r>
      <w:proofErr w:type="spellStart"/>
      <w:proofErr w:type="gramStart"/>
      <w:r w:rsidRPr="66C720F1">
        <w:rPr>
          <w:rFonts w:ascii="Times New Roman" w:eastAsia="Times New Roman" w:hAnsi="Times New Roman" w:cs="Times New Roman"/>
          <w:sz w:val="24"/>
          <w:szCs w:val="24"/>
        </w:rPr>
        <w:t>doi:https</w:t>
      </w:r>
      <w:proofErr w:type="spellEnd"/>
      <w:r w:rsidRPr="66C720F1">
        <w:rPr>
          <w:rFonts w:ascii="Times New Roman" w:eastAsia="Times New Roman" w:hAnsi="Times New Roman" w:cs="Times New Roman"/>
          <w:sz w:val="24"/>
          <w:szCs w:val="24"/>
        </w:rPr>
        <w:t>://doi.org/10.1186/s12960-022-00764-7</w:t>
      </w:r>
      <w:proofErr w:type="gramEnd"/>
      <w:r w:rsidRPr="66C720F1">
        <w:rPr>
          <w:rFonts w:ascii="Times New Roman" w:eastAsia="Times New Roman" w:hAnsi="Times New Roman" w:cs="Times New Roman"/>
          <w:sz w:val="24"/>
          <w:szCs w:val="24"/>
        </w:rPr>
        <w:t>.</w:t>
      </w:r>
    </w:p>
    <w:p w14:paraId="19B31AB5" w14:textId="140EA643" w:rsidR="66C720F1" w:rsidRDefault="66C720F1" w:rsidP="66C720F1">
      <w:pPr>
        <w:spacing w:line="360" w:lineRule="auto"/>
      </w:pPr>
      <w:r w:rsidRPr="66C720F1">
        <w:rPr>
          <w:rFonts w:ascii="Times New Roman" w:eastAsia="Times New Roman" w:hAnsi="Times New Roman" w:cs="Times New Roman"/>
          <w:sz w:val="24"/>
          <w:szCs w:val="24"/>
        </w:rPr>
        <w:t xml:space="preserve">Prowse, J.M., Sutton, C. and Randell, R. (2022). </w:t>
      </w:r>
      <w:r w:rsidRPr="66C720F1">
        <w:rPr>
          <w:rFonts w:ascii="Times New Roman" w:eastAsia="Times New Roman" w:hAnsi="Times New Roman" w:cs="Times New Roman"/>
          <w:i/>
          <w:iCs/>
          <w:sz w:val="24"/>
          <w:szCs w:val="24"/>
        </w:rPr>
        <w:t>Recruitment and retention of the health and social care digital workforce: A rapid review</w:t>
      </w:r>
      <w:r w:rsidRPr="66C720F1">
        <w:rPr>
          <w:rFonts w:ascii="Times New Roman" w:eastAsia="Times New Roman" w:hAnsi="Times New Roman" w:cs="Times New Roman"/>
          <w:sz w:val="24"/>
          <w:szCs w:val="24"/>
        </w:rPr>
        <w:t xml:space="preserve">. [online] bradscholars.brad.ac.uk. Available at: </w:t>
      </w:r>
      <w:hyperlink r:id="rId10">
        <w:r w:rsidRPr="66C720F1">
          <w:rPr>
            <w:rStyle w:val="Hyperlink"/>
            <w:rFonts w:ascii="Times New Roman" w:eastAsia="Times New Roman" w:hAnsi="Times New Roman" w:cs="Times New Roman"/>
            <w:sz w:val="24"/>
            <w:szCs w:val="24"/>
          </w:rPr>
          <w:t>https://bradscholars.brad.ac.uk/handle/10454/19285</w:t>
        </w:r>
      </w:hyperlink>
      <w:r w:rsidRPr="66C720F1">
        <w:rPr>
          <w:rFonts w:ascii="Times New Roman" w:eastAsia="Times New Roman" w:hAnsi="Times New Roman" w:cs="Times New Roman"/>
          <w:sz w:val="24"/>
          <w:szCs w:val="24"/>
        </w:rPr>
        <w:t>.</w:t>
      </w:r>
    </w:p>
    <w:p w14:paraId="7F19ED20" w14:textId="5E5094EA" w:rsidR="66C720F1" w:rsidRDefault="66C720F1" w:rsidP="66C720F1">
      <w:pPr>
        <w:spacing w:line="360" w:lineRule="auto"/>
      </w:pPr>
      <w:proofErr w:type="spellStart"/>
      <w:r w:rsidRPr="66C720F1">
        <w:rPr>
          <w:rFonts w:ascii="Times New Roman" w:eastAsia="Times New Roman" w:hAnsi="Times New Roman" w:cs="Times New Roman"/>
          <w:sz w:val="24"/>
          <w:szCs w:val="24"/>
        </w:rPr>
        <w:t>Rasekhuta</w:t>
      </w:r>
      <w:proofErr w:type="spellEnd"/>
      <w:r w:rsidRPr="66C720F1">
        <w:rPr>
          <w:rFonts w:ascii="Times New Roman" w:eastAsia="Times New Roman" w:hAnsi="Times New Roman" w:cs="Times New Roman"/>
          <w:sz w:val="24"/>
          <w:szCs w:val="24"/>
        </w:rPr>
        <w:t xml:space="preserve">, M. and </w:t>
      </w:r>
      <w:proofErr w:type="spellStart"/>
      <w:r w:rsidRPr="66C720F1">
        <w:rPr>
          <w:rFonts w:ascii="Times New Roman" w:eastAsia="Times New Roman" w:hAnsi="Times New Roman" w:cs="Times New Roman"/>
          <w:sz w:val="24"/>
          <w:szCs w:val="24"/>
        </w:rPr>
        <w:t>Lephalala</w:t>
      </w:r>
      <w:proofErr w:type="spellEnd"/>
      <w:r w:rsidRPr="66C720F1">
        <w:rPr>
          <w:rFonts w:ascii="Times New Roman" w:eastAsia="Times New Roman" w:hAnsi="Times New Roman" w:cs="Times New Roman"/>
          <w:sz w:val="24"/>
          <w:szCs w:val="24"/>
        </w:rPr>
        <w:t xml:space="preserve">, P. (2006). </w:t>
      </w:r>
      <w:r w:rsidRPr="66C720F1">
        <w:rPr>
          <w:rFonts w:ascii="Times New Roman" w:eastAsia="Times New Roman" w:hAnsi="Times New Roman" w:cs="Times New Roman"/>
          <w:i/>
          <w:iCs/>
          <w:sz w:val="24"/>
          <w:szCs w:val="24"/>
        </w:rPr>
        <w:t>FACTORS INFLUENCING NURSING TURNOVER IN SELECTED PRIVATE HOSPITALS IN ENGLAND</w:t>
      </w:r>
      <w:r w:rsidRPr="66C720F1">
        <w:rPr>
          <w:rFonts w:ascii="Times New Roman" w:eastAsia="Times New Roman" w:hAnsi="Times New Roman" w:cs="Times New Roman"/>
          <w:sz w:val="24"/>
          <w:szCs w:val="24"/>
        </w:rPr>
        <w:t xml:space="preserve">. [online] Available at: </w:t>
      </w:r>
      <w:hyperlink r:id="rId11">
        <w:r w:rsidRPr="66C720F1">
          <w:rPr>
            <w:rStyle w:val="Hyperlink"/>
            <w:rFonts w:ascii="Times New Roman" w:eastAsia="Times New Roman" w:hAnsi="Times New Roman" w:cs="Times New Roman"/>
            <w:sz w:val="24"/>
            <w:szCs w:val="24"/>
          </w:rPr>
          <w:t>https://core.ac.uk/download/pdf/43165697.pdf</w:t>
        </w:r>
      </w:hyperlink>
      <w:r w:rsidRPr="66C720F1">
        <w:rPr>
          <w:rFonts w:ascii="Times New Roman" w:eastAsia="Times New Roman" w:hAnsi="Times New Roman" w:cs="Times New Roman"/>
          <w:sz w:val="24"/>
          <w:szCs w:val="24"/>
        </w:rPr>
        <w:t>.</w:t>
      </w:r>
    </w:p>
    <w:p w14:paraId="55182E19" w14:textId="06FE93B7" w:rsidR="66C720F1" w:rsidRDefault="66C720F1" w:rsidP="66C720F1">
      <w:pPr>
        <w:spacing w:line="360" w:lineRule="auto"/>
      </w:pPr>
      <w:proofErr w:type="spellStart"/>
      <w:r w:rsidRPr="66C720F1">
        <w:rPr>
          <w:rFonts w:ascii="Times New Roman" w:eastAsia="Times New Roman" w:hAnsi="Times New Roman" w:cs="Times New Roman"/>
          <w:sz w:val="24"/>
          <w:szCs w:val="24"/>
        </w:rPr>
        <w:t>Saberi</w:t>
      </w:r>
      <w:proofErr w:type="spellEnd"/>
      <w:r w:rsidRPr="66C720F1">
        <w:rPr>
          <w:rFonts w:ascii="Times New Roman" w:eastAsia="Times New Roman" w:hAnsi="Times New Roman" w:cs="Times New Roman"/>
          <w:sz w:val="24"/>
          <w:szCs w:val="24"/>
        </w:rPr>
        <w:t xml:space="preserve">, H.R., </w:t>
      </w:r>
      <w:proofErr w:type="spellStart"/>
      <w:r w:rsidRPr="66C720F1">
        <w:rPr>
          <w:rFonts w:ascii="Times New Roman" w:eastAsia="Times New Roman" w:hAnsi="Times New Roman" w:cs="Times New Roman"/>
          <w:sz w:val="24"/>
          <w:szCs w:val="24"/>
        </w:rPr>
        <w:t>Khoshakhlagh</w:t>
      </w:r>
      <w:proofErr w:type="spellEnd"/>
      <w:r w:rsidRPr="66C720F1">
        <w:rPr>
          <w:rFonts w:ascii="Times New Roman" w:eastAsia="Times New Roman" w:hAnsi="Times New Roman" w:cs="Times New Roman"/>
          <w:sz w:val="24"/>
          <w:szCs w:val="24"/>
        </w:rPr>
        <w:t xml:space="preserve">, A.H., Laal, F., </w:t>
      </w:r>
      <w:proofErr w:type="spellStart"/>
      <w:r w:rsidRPr="66C720F1">
        <w:rPr>
          <w:rFonts w:ascii="Times New Roman" w:eastAsia="Times New Roman" w:hAnsi="Times New Roman" w:cs="Times New Roman"/>
          <w:sz w:val="24"/>
          <w:szCs w:val="24"/>
        </w:rPr>
        <w:t>Mirzahosseininejad</w:t>
      </w:r>
      <w:proofErr w:type="spellEnd"/>
      <w:r w:rsidRPr="66C720F1">
        <w:rPr>
          <w:rFonts w:ascii="Times New Roman" w:eastAsia="Times New Roman" w:hAnsi="Times New Roman" w:cs="Times New Roman"/>
          <w:sz w:val="24"/>
          <w:szCs w:val="24"/>
        </w:rPr>
        <w:t xml:space="preserve">, M., </w:t>
      </w:r>
      <w:proofErr w:type="spellStart"/>
      <w:r w:rsidRPr="66C720F1">
        <w:rPr>
          <w:rFonts w:ascii="Times New Roman" w:eastAsia="Times New Roman" w:hAnsi="Times New Roman" w:cs="Times New Roman"/>
          <w:sz w:val="24"/>
          <w:szCs w:val="24"/>
        </w:rPr>
        <w:t>Hannani</w:t>
      </w:r>
      <w:proofErr w:type="spellEnd"/>
      <w:r w:rsidRPr="66C720F1">
        <w:rPr>
          <w:rFonts w:ascii="Times New Roman" w:eastAsia="Times New Roman" w:hAnsi="Times New Roman" w:cs="Times New Roman"/>
          <w:sz w:val="24"/>
          <w:szCs w:val="24"/>
        </w:rPr>
        <w:t xml:space="preserve">, M. and </w:t>
      </w:r>
      <w:proofErr w:type="spellStart"/>
      <w:r w:rsidRPr="66C720F1">
        <w:rPr>
          <w:rFonts w:ascii="Times New Roman" w:eastAsia="Times New Roman" w:hAnsi="Times New Roman" w:cs="Times New Roman"/>
          <w:sz w:val="24"/>
          <w:szCs w:val="24"/>
        </w:rPr>
        <w:t>Bamel</w:t>
      </w:r>
      <w:proofErr w:type="spellEnd"/>
      <w:r w:rsidRPr="66C720F1">
        <w:rPr>
          <w:rFonts w:ascii="Times New Roman" w:eastAsia="Times New Roman" w:hAnsi="Times New Roman" w:cs="Times New Roman"/>
          <w:sz w:val="24"/>
          <w:szCs w:val="24"/>
        </w:rPr>
        <w:t xml:space="preserve">, U. (2023). Investigating the Reasons for Turnover Intention of Workers in the Spinning and Weaving Industries in Iran. </w:t>
      </w:r>
      <w:r w:rsidRPr="66C720F1">
        <w:rPr>
          <w:rFonts w:ascii="Times New Roman" w:eastAsia="Times New Roman" w:hAnsi="Times New Roman" w:cs="Times New Roman"/>
          <w:i/>
          <w:iCs/>
          <w:sz w:val="24"/>
          <w:szCs w:val="24"/>
        </w:rPr>
        <w:t>Corporate Reputation Review</w:t>
      </w:r>
      <w:r w:rsidRPr="66C720F1">
        <w:rPr>
          <w:rFonts w:ascii="Times New Roman" w:eastAsia="Times New Roman" w:hAnsi="Times New Roman" w:cs="Times New Roman"/>
          <w:sz w:val="24"/>
          <w:szCs w:val="24"/>
        </w:rPr>
        <w:t xml:space="preserve">. </w:t>
      </w:r>
      <w:proofErr w:type="spellStart"/>
      <w:proofErr w:type="gramStart"/>
      <w:r w:rsidRPr="66C720F1">
        <w:rPr>
          <w:rFonts w:ascii="Times New Roman" w:eastAsia="Times New Roman" w:hAnsi="Times New Roman" w:cs="Times New Roman"/>
          <w:sz w:val="24"/>
          <w:szCs w:val="24"/>
        </w:rPr>
        <w:t>doi:https</w:t>
      </w:r>
      <w:proofErr w:type="spellEnd"/>
      <w:r w:rsidRPr="66C720F1">
        <w:rPr>
          <w:rFonts w:ascii="Times New Roman" w:eastAsia="Times New Roman" w:hAnsi="Times New Roman" w:cs="Times New Roman"/>
          <w:sz w:val="24"/>
          <w:szCs w:val="24"/>
        </w:rPr>
        <w:t>://doi.org/10.1057/s41299-022-00157-5</w:t>
      </w:r>
      <w:proofErr w:type="gramEnd"/>
      <w:r w:rsidRPr="66C720F1">
        <w:rPr>
          <w:rFonts w:ascii="Times New Roman" w:eastAsia="Times New Roman" w:hAnsi="Times New Roman" w:cs="Times New Roman"/>
          <w:sz w:val="24"/>
          <w:szCs w:val="24"/>
        </w:rPr>
        <w:t>.</w:t>
      </w:r>
    </w:p>
    <w:p w14:paraId="6633C97D" w14:textId="4C001C13" w:rsidR="66C720F1" w:rsidRDefault="66C720F1" w:rsidP="66C720F1">
      <w:pPr>
        <w:spacing w:line="360" w:lineRule="auto"/>
      </w:pPr>
      <w:r w:rsidRPr="66C720F1">
        <w:rPr>
          <w:rFonts w:ascii="Times New Roman" w:eastAsia="Times New Roman" w:hAnsi="Times New Roman" w:cs="Times New Roman"/>
          <w:sz w:val="24"/>
          <w:szCs w:val="24"/>
        </w:rPr>
        <w:t xml:space="preserve">Salama, W., Abdou, A.H., Mohamed, S.A.K. and Shehata, H.S. (2022). Impact of Work Stress and Job Burnout on Turnover Intentions among Hotel Employees. </w:t>
      </w:r>
      <w:r w:rsidRPr="66C720F1">
        <w:rPr>
          <w:rFonts w:ascii="Times New Roman" w:eastAsia="Times New Roman" w:hAnsi="Times New Roman" w:cs="Times New Roman"/>
          <w:i/>
          <w:iCs/>
          <w:sz w:val="24"/>
          <w:szCs w:val="24"/>
        </w:rPr>
        <w:t>International Journal of Environmental Research and Public Health</w:t>
      </w:r>
      <w:r w:rsidRPr="66C720F1">
        <w:rPr>
          <w:rFonts w:ascii="Times New Roman" w:eastAsia="Times New Roman" w:hAnsi="Times New Roman" w:cs="Times New Roman"/>
          <w:sz w:val="24"/>
          <w:szCs w:val="24"/>
        </w:rPr>
        <w:t xml:space="preserve">, 19(15), p.9724. </w:t>
      </w:r>
      <w:proofErr w:type="spellStart"/>
      <w:proofErr w:type="gramStart"/>
      <w:r w:rsidRPr="66C720F1">
        <w:rPr>
          <w:rFonts w:ascii="Times New Roman" w:eastAsia="Times New Roman" w:hAnsi="Times New Roman" w:cs="Times New Roman"/>
          <w:sz w:val="24"/>
          <w:szCs w:val="24"/>
        </w:rPr>
        <w:t>doi:https</w:t>
      </w:r>
      <w:proofErr w:type="spellEnd"/>
      <w:r w:rsidRPr="66C720F1">
        <w:rPr>
          <w:rFonts w:ascii="Times New Roman" w:eastAsia="Times New Roman" w:hAnsi="Times New Roman" w:cs="Times New Roman"/>
          <w:sz w:val="24"/>
          <w:szCs w:val="24"/>
        </w:rPr>
        <w:t>://doi.org/10.3390/ijerph19159724</w:t>
      </w:r>
      <w:proofErr w:type="gramEnd"/>
      <w:r w:rsidRPr="66C720F1">
        <w:rPr>
          <w:rFonts w:ascii="Times New Roman" w:eastAsia="Times New Roman" w:hAnsi="Times New Roman" w:cs="Times New Roman"/>
          <w:sz w:val="24"/>
          <w:szCs w:val="24"/>
        </w:rPr>
        <w:t>.</w:t>
      </w:r>
    </w:p>
    <w:p w14:paraId="75856673" w14:textId="1DC5E4AA" w:rsidR="66C720F1" w:rsidRDefault="66C720F1" w:rsidP="66C720F1">
      <w:pPr>
        <w:spacing w:line="360" w:lineRule="auto"/>
      </w:pPr>
      <w:r w:rsidRPr="66C720F1">
        <w:rPr>
          <w:rFonts w:ascii="Times New Roman" w:eastAsia="Times New Roman" w:hAnsi="Times New Roman" w:cs="Times New Roman"/>
          <w:sz w:val="24"/>
          <w:szCs w:val="24"/>
        </w:rPr>
        <w:t xml:space="preserve">Teoh, K.R., </w:t>
      </w:r>
      <w:proofErr w:type="spellStart"/>
      <w:r w:rsidRPr="66C720F1">
        <w:rPr>
          <w:rFonts w:ascii="Times New Roman" w:eastAsia="Times New Roman" w:hAnsi="Times New Roman" w:cs="Times New Roman"/>
          <w:sz w:val="24"/>
          <w:szCs w:val="24"/>
        </w:rPr>
        <w:t>Kinman</w:t>
      </w:r>
      <w:proofErr w:type="spellEnd"/>
      <w:r w:rsidRPr="66C720F1">
        <w:rPr>
          <w:rFonts w:ascii="Times New Roman" w:eastAsia="Times New Roman" w:hAnsi="Times New Roman" w:cs="Times New Roman"/>
          <w:sz w:val="24"/>
          <w:szCs w:val="24"/>
        </w:rPr>
        <w:t xml:space="preserve">, G., </w:t>
      </w:r>
      <w:proofErr w:type="spellStart"/>
      <w:r w:rsidRPr="66C720F1">
        <w:rPr>
          <w:rFonts w:ascii="Times New Roman" w:eastAsia="Times New Roman" w:hAnsi="Times New Roman" w:cs="Times New Roman"/>
          <w:sz w:val="24"/>
          <w:szCs w:val="24"/>
        </w:rPr>
        <w:t>Harriss</w:t>
      </w:r>
      <w:proofErr w:type="spellEnd"/>
      <w:r w:rsidRPr="66C720F1">
        <w:rPr>
          <w:rFonts w:ascii="Times New Roman" w:eastAsia="Times New Roman" w:hAnsi="Times New Roman" w:cs="Times New Roman"/>
          <w:sz w:val="24"/>
          <w:szCs w:val="24"/>
        </w:rPr>
        <w:t xml:space="preserve">, A. and </w:t>
      </w:r>
      <w:proofErr w:type="spellStart"/>
      <w:r w:rsidRPr="66C720F1">
        <w:rPr>
          <w:rFonts w:ascii="Times New Roman" w:eastAsia="Times New Roman" w:hAnsi="Times New Roman" w:cs="Times New Roman"/>
          <w:sz w:val="24"/>
          <w:szCs w:val="24"/>
        </w:rPr>
        <w:t>Robus</w:t>
      </w:r>
      <w:proofErr w:type="spellEnd"/>
      <w:r w:rsidRPr="66C720F1">
        <w:rPr>
          <w:rFonts w:ascii="Times New Roman" w:eastAsia="Times New Roman" w:hAnsi="Times New Roman" w:cs="Times New Roman"/>
          <w:sz w:val="24"/>
          <w:szCs w:val="24"/>
        </w:rPr>
        <w:t xml:space="preserve">, C. (2022). Recommendations to support the mental wellbeing of nurses and midwives in the United Kingdom: A Delphi study. </w:t>
      </w:r>
      <w:r w:rsidRPr="66C720F1">
        <w:rPr>
          <w:rFonts w:ascii="Times New Roman" w:eastAsia="Times New Roman" w:hAnsi="Times New Roman" w:cs="Times New Roman"/>
          <w:i/>
          <w:iCs/>
          <w:sz w:val="24"/>
          <w:szCs w:val="24"/>
        </w:rPr>
        <w:t>Journal of Advanced Nursing</w:t>
      </w:r>
      <w:r w:rsidRPr="66C720F1">
        <w:rPr>
          <w:rFonts w:ascii="Times New Roman" w:eastAsia="Times New Roman" w:hAnsi="Times New Roman" w:cs="Times New Roman"/>
          <w:sz w:val="24"/>
          <w:szCs w:val="24"/>
        </w:rPr>
        <w:t xml:space="preserve">, 78(9). </w:t>
      </w:r>
      <w:proofErr w:type="spellStart"/>
      <w:proofErr w:type="gramStart"/>
      <w:r w:rsidRPr="66C720F1">
        <w:rPr>
          <w:rFonts w:ascii="Times New Roman" w:eastAsia="Times New Roman" w:hAnsi="Times New Roman" w:cs="Times New Roman"/>
          <w:sz w:val="24"/>
          <w:szCs w:val="24"/>
        </w:rPr>
        <w:t>doi:https</w:t>
      </w:r>
      <w:proofErr w:type="spellEnd"/>
      <w:r w:rsidRPr="66C720F1">
        <w:rPr>
          <w:rFonts w:ascii="Times New Roman" w:eastAsia="Times New Roman" w:hAnsi="Times New Roman" w:cs="Times New Roman"/>
          <w:sz w:val="24"/>
          <w:szCs w:val="24"/>
        </w:rPr>
        <w:t>://doi.org/10.1111/jan.15359</w:t>
      </w:r>
      <w:proofErr w:type="gramEnd"/>
      <w:r w:rsidRPr="66C720F1">
        <w:rPr>
          <w:rFonts w:ascii="Times New Roman" w:eastAsia="Times New Roman" w:hAnsi="Times New Roman" w:cs="Times New Roman"/>
          <w:sz w:val="24"/>
          <w:szCs w:val="24"/>
        </w:rPr>
        <w:t>.</w:t>
      </w:r>
    </w:p>
    <w:p w14:paraId="1D9058AA" w14:textId="4A57128F" w:rsidR="66C720F1" w:rsidRDefault="66C720F1" w:rsidP="66C720F1">
      <w:pPr>
        <w:spacing w:line="360" w:lineRule="auto"/>
      </w:pPr>
      <w:proofErr w:type="spellStart"/>
      <w:r w:rsidRPr="66C720F1">
        <w:rPr>
          <w:rFonts w:ascii="Times New Roman" w:eastAsia="Times New Roman" w:hAnsi="Times New Roman" w:cs="Times New Roman"/>
          <w:sz w:val="24"/>
          <w:szCs w:val="24"/>
        </w:rPr>
        <w:t>Thusini</w:t>
      </w:r>
      <w:proofErr w:type="spellEnd"/>
      <w:r w:rsidRPr="66C720F1">
        <w:rPr>
          <w:rFonts w:ascii="Times New Roman" w:eastAsia="Times New Roman" w:hAnsi="Times New Roman" w:cs="Times New Roman"/>
          <w:sz w:val="24"/>
          <w:szCs w:val="24"/>
        </w:rPr>
        <w:t xml:space="preserve">, S., </w:t>
      </w:r>
      <w:proofErr w:type="spellStart"/>
      <w:r w:rsidRPr="66C720F1">
        <w:rPr>
          <w:rFonts w:ascii="Times New Roman" w:eastAsia="Times New Roman" w:hAnsi="Times New Roman" w:cs="Times New Roman"/>
          <w:sz w:val="24"/>
          <w:szCs w:val="24"/>
        </w:rPr>
        <w:t>Milenova</w:t>
      </w:r>
      <w:proofErr w:type="spellEnd"/>
      <w:r w:rsidRPr="66C720F1">
        <w:rPr>
          <w:rFonts w:ascii="Times New Roman" w:eastAsia="Times New Roman" w:hAnsi="Times New Roman" w:cs="Times New Roman"/>
          <w:sz w:val="24"/>
          <w:szCs w:val="24"/>
        </w:rPr>
        <w:t xml:space="preserve">, M., </w:t>
      </w:r>
      <w:proofErr w:type="spellStart"/>
      <w:r w:rsidRPr="66C720F1">
        <w:rPr>
          <w:rFonts w:ascii="Times New Roman" w:eastAsia="Times New Roman" w:hAnsi="Times New Roman" w:cs="Times New Roman"/>
          <w:sz w:val="24"/>
          <w:szCs w:val="24"/>
        </w:rPr>
        <w:t>Nahabedian</w:t>
      </w:r>
      <w:proofErr w:type="spellEnd"/>
      <w:r w:rsidRPr="66C720F1">
        <w:rPr>
          <w:rFonts w:ascii="Times New Roman" w:eastAsia="Times New Roman" w:hAnsi="Times New Roman" w:cs="Times New Roman"/>
          <w:sz w:val="24"/>
          <w:szCs w:val="24"/>
        </w:rPr>
        <w:t xml:space="preserve">, N., Grey, B., Soukup, T. and Henderson, C. (2022). Identifying and understanding benefits associated with return-on-investment from large-scale healthcare Quality Improvement </w:t>
      </w:r>
      <w:proofErr w:type="spellStart"/>
      <w:r w:rsidRPr="66C720F1">
        <w:rPr>
          <w:rFonts w:ascii="Times New Roman" w:eastAsia="Times New Roman" w:hAnsi="Times New Roman" w:cs="Times New Roman"/>
          <w:sz w:val="24"/>
          <w:szCs w:val="24"/>
        </w:rPr>
        <w:t>programmes</w:t>
      </w:r>
      <w:proofErr w:type="spellEnd"/>
      <w:r w:rsidRPr="66C720F1">
        <w:rPr>
          <w:rFonts w:ascii="Times New Roman" w:eastAsia="Times New Roman" w:hAnsi="Times New Roman" w:cs="Times New Roman"/>
          <w:sz w:val="24"/>
          <w:szCs w:val="24"/>
        </w:rPr>
        <w:t xml:space="preserve">: an integrative systematic literature review. </w:t>
      </w:r>
      <w:r w:rsidRPr="66C720F1">
        <w:rPr>
          <w:rFonts w:ascii="Times New Roman" w:eastAsia="Times New Roman" w:hAnsi="Times New Roman" w:cs="Times New Roman"/>
          <w:i/>
          <w:iCs/>
          <w:sz w:val="24"/>
          <w:szCs w:val="24"/>
        </w:rPr>
        <w:t>BMC Health Services Research</w:t>
      </w:r>
      <w:r w:rsidRPr="66C720F1">
        <w:rPr>
          <w:rFonts w:ascii="Times New Roman" w:eastAsia="Times New Roman" w:hAnsi="Times New Roman" w:cs="Times New Roman"/>
          <w:sz w:val="24"/>
          <w:szCs w:val="24"/>
        </w:rPr>
        <w:t xml:space="preserve">, 22(1). </w:t>
      </w:r>
      <w:proofErr w:type="spellStart"/>
      <w:proofErr w:type="gramStart"/>
      <w:r w:rsidRPr="66C720F1">
        <w:rPr>
          <w:rFonts w:ascii="Times New Roman" w:eastAsia="Times New Roman" w:hAnsi="Times New Roman" w:cs="Times New Roman"/>
          <w:sz w:val="24"/>
          <w:szCs w:val="24"/>
        </w:rPr>
        <w:t>doi:https</w:t>
      </w:r>
      <w:proofErr w:type="spellEnd"/>
      <w:r w:rsidRPr="66C720F1">
        <w:rPr>
          <w:rFonts w:ascii="Times New Roman" w:eastAsia="Times New Roman" w:hAnsi="Times New Roman" w:cs="Times New Roman"/>
          <w:sz w:val="24"/>
          <w:szCs w:val="24"/>
        </w:rPr>
        <w:t>://doi.org/10.1186/s12913-022-08171-3</w:t>
      </w:r>
      <w:proofErr w:type="gramEnd"/>
      <w:r w:rsidRPr="66C720F1">
        <w:rPr>
          <w:rFonts w:ascii="Times New Roman" w:eastAsia="Times New Roman" w:hAnsi="Times New Roman" w:cs="Times New Roman"/>
          <w:sz w:val="24"/>
          <w:szCs w:val="24"/>
        </w:rPr>
        <w:t>.</w:t>
      </w:r>
    </w:p>
    <w:p w14:paraId="645131FB" w14:textId="6C34D660" w:rsidR="66C720F1" w:rsidRDefault="66C720F1" w:rsidP="66C720F1">
      <w:pPr>
        <w:spacing w:line="360" w:lineRule="auto"/>
        <w:rPr>
          <w:rFonts w:ascii="Times New Roman" w:eastAsia="Times New Roman" w:hAnsi="Times New Roman" w:cs="Times New Roman"/>
          <w:color w:val="000000" w:themeColor="text1"/>
          <w:sz w:val="24"/>
          <w:szCs w:val="24"/>
        </w:rPr>
      </w:pPr>
    </w:p>
    <w:sectPr w:rsidR="66C720F1" w:rsidSect="008F09E8">
      <w:headerReference w:type="default" r:id="rId12"/>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343661" w14:textId="77777777" w:rsidR="00D705AD" w:rsidRDefault="00D705AD">
      <w:pPr>
        <w:spacing w:after="0" w:line="240" w:lineRule="auto"/>
      </w:pPr>
      <w:r>
        <w:separator/>
      </w:r>
    </w:p>
  </w:endnote>
  <w:endnote w:type="continuationSeparator" w:id="0">
    <w:p w14:paraId="5468C43D" w14:textId="77777777" w:rsidR="00D705AD" w:rsidRDefault="00D705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67AFA9" w14:textId="77777777" w:rsidR="008F09E8" w:rsidRDefault="008F09E8">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D685F1B" w14:textId="24718450" w:rsidR="66C720F1" w:rsidRDefault="66C720F1" w:rsidP="66C720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D2499" w14:textId="77777777" w:rsidR="00D705AD" w:rsidRDefault="00D705AD">
      <w:pPr>
        <w:spacing w:after="0" w:line="240" w:lineRule="auto"/>
      </w:pPr>
      <w:r>
        <w:separator/>
      </w:r>
    </w:p>
  </w:footnote>
  <w:footnote w:type="continuationSeparator" w:id="0">
    <w:p w14:paraId="6F052232" w14:textId="77777777" w:rsidR="00D705AD" w:rsidRDefault="00D705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6C720F1" w14:paraId="2F2776FC" w14:textId="77777777" w:rsidTr="66C720F1">
      <w:trPr>
        <w:trHeight w:val="300"/>
      </w:trPr>
      <w:tc>
        <w:tcPr>
          <w:tcW w:w="3120" w:type="dxa"/>
        </w:tcPr>
        <w:p w14:paraId="20B6E5FE" w14:textId="42C8359B" w:rsidR="66C720F1" w:rsidRDefault="66C720F1" w:rsidP="66C720F1">
          <w:pPr>
            <w:pStyle w:val="Header"/>
            <w:ind w:left="-115"/>
          </w:pPr>
        </w:p>
      </w:tc>
      <w:tc>
        <w:tcPr>
          <w:tcW w:w="3120" w:type="dxa"/>
        </w:tcPr>
        <w:p w14:paraId="3FF58C76" w14:textId="03A054F7" w:rsidR="66C720F1" w:rsidRDefault="66C720F1" w:rsidP="66C720F1">
          <w:pPr>
            <w:pStyle w:val="Header"/>
            <w:jc w:val="center"/>
          </w:pPr>
        </w:p>
      </w:tc>
      <w:tc>
        <w:tcPr>
          <w:tcW w:w="3120" w:type="dxa"/>
        </w:tcPr>
        <w:p w14:paraId="77C0757D" w14:textId="3A5AD50E" w:rsidR="66C720F1" w:rsidRDefault="66C720F1" w:rsidP="66C720F1">
          <w:pPr>
            <w:pStyle w:val="Header"/>
            <w:ind w:right="-115"/>
            <w:jc w:val="right"/>
          </w:pPr>
        </w:p>
      </w:tc>
    </w:tr>
  </w:tbl>
  <w:p w14:paraId="36D68C5E" w14:textId="0BCCBE3F" w:rsidR="66C720F1" w:rsidRDefault="66C720F1" w:rsidP="66C720F1">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042F"/>
    <w:multiLevelType w:val="hybridMultilevel"/>
    <w:tmpl w:val="EBFE3478"/>
    <w:lvl w:ilvl="0" w:tplc="6F20B63C">
      <w:start w:val="1"/>
      <w:numFmt w:val="bullet"/>
      <w:lvlText w:val=""/>
      <w:lvlJc w:val="left"/>
      <w:pPr>
        <w:ind w:left="720" w:hanging="360"/>
      </w:pPr>
      <w:rPr>
        <w:rFonts w:ascii="Symbol" w:hAnsi="Symbol" w:hint="default"/>
      </w:rPr>
    </w:lvl>
    <w:lvl w:ilvl="1" w:tplc="C1347156">
      <w:start w:val="1"/>
      <w:numFmt w:val="bullet"/>
      <w:lvlText w:val="o"/>
      <w:lvlJc w:val="left"/>
      <w:pPr>
        <w:ind w:left="1440" w:hanging="360"/>
      </w:pPr>
      <w:rPr>
        <w:rFonts w:ascii="Courier New" w:hAnsi="Courier New" w:hint="default"/>
      </w:rPr>
    </w:lvl>
    <w:lvl w:ilvl="2" w:tplc="5E8CBB1A">
      <w:start w:val="1"/>
      <w:numFmt w:val="bullet"/>
      <w:lvlText w:val=""/>
      <w:lvlJc w:val="left"/>
      <w:pPr>
        <w:ind w:left="2160" w:hanging="360"/>
      </w:pPr>
      <w:rPr>
        <w:rFonts w:ascii="Wingdings" w:hAnsi="Wingdings" w:hint="default"/>
      </w:rPr>
    </w:lvl>
    <w:lvl w:ilvl="3" w:tplc="817015BC">
      <w:start w:val="1"/>
      <w:numFmt w:val="bullet"/>
      <w:lvlText w:val=""/>
      <w:lvlJc w:val="left"/>
      <w:pPr>
        <w:ind w:left="2880" w:hanging="360"/>
      </w:pPr>
      <w:rPr>
        <w:rFonts w:ascii="Symbol" w:hAnsi="Symbol" w:hint="default"/>
      </w:rPr>
    </w:lvl>
    <w:lvl w:ilvl="4" w:tplc="459264E6">
      <w:start w:val="1"/>
      <w:numFmt w:val="bullet"/>
      <w:lvlText w:val="o"/>
      <w:lvlJc w:val="left"/>
      <w:pPr>
        <w:ind w:left="3600" w:hanging="360"/>
      </w:pPr>
      <w:rPr>
        <w:rFonts w:ascii="Courier New" w:hAnsi="Courier New" w:hint="default"/>
      </w:rPr>
    </w:lvl>
    <w:lvl w:ilvl="5" w:tplc="2D0EDD92">
      <w:start w:val="1"/>
      <w:numFmt w:val="bullet"/>
      <w:lvlText w:val=""/>
      <w:lvlJc w:val="left"/>
      <w:pPr>
        <w:ind w:left="4320" w:hanging="360"/>
      </w:pPr>
      <w:rPr>
        <w:rFonts w:ascii="Wingdings" w:hAnsi="Wingdings" w:hint="default"/>
      </w:rPr>
    </w:lvl>
    <w:lvl w:ilvl="6" w:tplc="E6FE58F4">
      <w:start w:val="1"/>
      <w:numFmt w:val="bullet"/>
      <w:lvlText w:val=""/>
      <w:lvlJc w:val="left"/>
      <w:pPr>
        <w:ind w:left="5040" w:hanging="360"/>
      </w:pPr>
      <w:rPr>
        <w:rFonts w:ascii="Symbol" w:hAnsi="Symbol" w:hint="default"/>
      </w:rPr>
    </w:lvl>
    <w:lvl w:ilvl="7" w:tplc="1CC2B65E">
      <w:start w:val="1"/>
      <w:numFmt w:val="bullet"/>
      <w:lvlText w:val="o"/>
      <w:lvlJc w:val="left"/>
      <w:pPr>
        <w:ind w:left="5760" w:hanging="360"/>
      </w:pPr>
      <w:rPr>
        <w:rFonts w:ascii="Courier New" w:hAnsi="Courier New" w:hint="default"/>
      </w:rPr>
    </w:lvl>
    <w:lvl w:ilvl="8" w:tplc="DDB8613E">
      <w:start w:val="1"/>
      <w:numFmt w:val="bullet"/>
      <w:lvlText w:val=""/>
      <w:lvlJc w:val="left"/>
      <w:pPr>
        <w:ind w:left="6480" w:hanging="360"/>
      </w:pPr>
      <w:rPr>
        <w:rFonts w:ascii="Wingdings" w:hAnsi="Wingdings" w:hint="default"/>
      </w:rPr>
    </w:lvl>
  </w:abstractNum>
  <w:abstractNum w:abstractNumId="1" w15:restartNumberingAfterBreak="0">
    <w:nsid w:val="054F6101"/>
    <w:multiLevelType w:val="hybridMultilevel"/>
    <w:tmpl w:val="62E8BEC0"/>
    <w:lvl w:ilvl="0" w:tplc="72EAFD92">
      <w:start w:val="1"/>
      <w:numFmt w:val="bullet"/>
      <w:lvlText w:val=""/>
      <w:lvlJc w:val="left"/>
      <w:pPr>
        <w:ind w:left="720" w:hanging="360"/>
      </w:pPr>
      <w:rPr>
        <w:rFonts w:ascii="Symbol" w:hAnsi="Symbol" w:hint="default"/>
      </w:rPr>
    </w:lvl>
    <w:lvl w:ilvl="1" w:tplc="92F07064">
      <w:start w:val="1"/>
      <w:numFmt w:val="bullet"/>
      <w:lvlText w:val="o"/>
      <w:lvlJc w:val="left"/>
      <w:pPr>
        <w:ind w:left="1440" w:hanging="360"/>
      </w:pPr>
      <w:rPr>
        <w:rFonts w:ascii="Courier New" w:hAnsi="Courier New" w:hint="default"/>
      </w:rPr>
    </w:lvl>
    <w:lvl w:ilvl="2" w:tplc="426C917A">
      <w:start w:val="1"/>
      <w:numFmt w:val="bullet"/>
      <w:lvlText w:val=""/>
      <w:lvlJc w:val="left"/>
      <w:pPr>
        <w:ind w:left="2160" w:hanging="360"/>
      </w:pPr>
      <w:rPr>
        <w:rFonts w:ascii="Wingdings" w:hAnsi="Wingdings" w:hint="default"/>
      </w:rPr>
    </w:lvl>
    <w:lvl w:ilvl="3" w:tplc="8F901756">
      <w:start w:val="1"/>
      <w:numFmt w:val="bullet"/>
      <w:lvlText w:val=""/>
      <w:lvlJc w:val="left"/>
      <w:pPr>
        <w:ind w:left="2880" w:hanging="360"/>
      </w:pPr>
      <w:rPr>
        <w:rFonts w:ascii="Symbol" w:hAnsi="Symbol" w:hint="default"/>
      </w:rPr>
    </w:lvl>
    <w:lvl w:ilvl="4" w:tplc="A6BE5EC8">
      <w:start w:val="1"/>
      <w:numFmt w:val="bullet"/>
      <w:lvlText w:val="o"/>
      <w:lvlJc w:val="left"/>
      <w:pPr>
        <w:ind w:left="3600" w:hanging="360"/>
      </w:pPr>
      <w:rPr>
        <w:rFonts w:ascii="Courier New" w:hAnsi="Courier New" w:hint="default"/>
      </w:rPr>
    </w:lvl>
    <w:lvl w:ilvl="5" w:tplc="8640DFB0">
      <w:start w:val="1"/>
      <w:numFmt w:val="bullet"/>
      <w:lvlText w:val=""/>
      <w:lvlJc w:val="left"/>
      <w:pPr>
        <w:ind w:left="4320" w:hanging="360"/>
      </w:pPr>
      <w:rPr>
        <w:rFonts w:ascii="Wingdings" w:hAnsi="Wingdings" w:hint="default"/>
      </w:rPr>
    </w:lvl>
    <w:lvl w:ilvl="6" w:tplc="0FFA44B4">
      <w:start w:val="1"/>
      <w:numFmt w:val="bullet"/>
      <w:lvlText w:val=""/>
      <w:lvlJc w:val="left"/>
      <w:pPr>
        <w:ind w:left="5040" w:hanging="360"/>
      </w:pPr>
      <w:rPr>
        <w:rFonts w:ascii="Symbol" w:hAnsi="Symbol" w:hint="default"/>
      </w:rPr>
    </w:lvl>
    <w:lvl w:ilvl="7" w:tplc="FEEE8732">
      <w:start w:val="1"/>
      <w:numFmt w:val="bullet"/>
      <w:lvlText w:val="o"/>
      <w:lvlJc w:val="left"/>
      <w:pPr>
        <w:ind w:left="5760" w:hanging="360"/>
      </w:pPr>
      <w:rPr>
        <w:rFonts w:ascii="Courier New" w:hAnsi="Courier New" w:hint="default"/>
      </w:rPr>
    </w:lvl>
    <w:lvl w:ilvl="8" w:tplc="EEB428AA">
      <w:start w:val="1"/>
      <w:numFmt w:val="bullet"/>
      <w:lvlText w:val=""/>
      <w:lvlJc w:val="left"/>
      <w:pPr>
        <w:ind w:left="6480" w:hanging="360"/>
      </w:pPr>
      <w:rPr>
        <w:rFonts w:ascii="Wingdings" w:hAnsi="Wingdings" w:hint="default"/>
      </w:rPr>
    </w:lvl>
  </w:abstractNum>
  <w:abstractNum w:abstractNumId="2" w15:restartNumberingAfterBreak="0">
    <w:nsid w:val="0B235A67"/>
    <w:multiLevelType w:val="hybridMultilevel"/>
    <w:tmpl w:val="199A96A2"/>
    <w:lvl w:ilvl="0" w:tplc="71D69884">
      <w:start w:val="1"/>
      <w:numFmt w:val="decimal"/>
      <w:lvlText w:val="%1."/>
      <w:lvlJc w:val="left"/>
      <w:pPr>
        <w:ind w:left="720" w:hanging="360"/>
      </w:pPr>
    </w:lvl>
    <w:lvl w:ilvl="1" w:tplc="AB206FF6">
      <w:start w:val="1"/>
      <w:numFmt w:val="lowerLetter"/>
      <w:lvlText w:val="%2."/>
      <w:lvlJc w:val="left"/>
      <w:pPr>
        <w:ind w:left="1440" w:hanging="360"/>
      </w:pPr>
    </w:lvl>
    <w:lvl w:ilvl="2" w:tplc="8FF06DCE">
      <w:start w:val="1"/>
      <w:numFmt w:val="lowerRoman"/>
      <w:lvlText w:val="%3."/>
      <w:lvlJc w:val="right"/>
      <w:pPr>
        <w:ind w:left="2160" w:hanging="180"/>
      </w:pPr>
    </w:lvl>
    <w:lvl w:ilvl="3" w:tplc="EA3A3A30">
      <w:start w:val="1"/>
      <w:numFmt w:val="decimal"/>
      <w:lvlText w:val="%4."/>
      <w:lvlJc w:val="left"/>
      <w:pPr>
        <w:ind w:left="2880" w:hanging="360"/>
      </w:pPr>
    </w:lvl>
    <w:lvl w:ilvl="4" w:tplc="A28A0A7E">
      <w:start w:val="1"/>
      <w:numFmt w:val="lowerLetter"/>
      <w:lvlText w:val="%5."/>
      <w:lvlJc w:val="left"/>
      <w:pPr>
        <w:ind w:left="3600" w:hanging="360"/>
      </w:pPr>
    </w:lvl>
    <w:lvl w:ilvl="5" w:tplc="FCEA3608">
      <w:start w:val="1"/>
      <w:numFmt w:val="lowerRoman"/>
      <w:lvlText w:val="%6."/>
      <w:lvlJc w:val="right"/>
      <w:pPr>
        <w:ind w:left="4320" w:hanging="180"/>
      </w:pPr>
    </w:lvl>
    <w:lvl w:ilvl="6" w:tplc="23863EAA">
      <w:start w:val="1"/>
      <w:numFmt w:val="decimal"/>
      <w:lvlText w:val="%7."/>
      <w:lvlJc w:val="left"/>
      <w:pPr>
        <w:ind w:left="5040" w:hanging="360"/>
      </w:pPr>
    </w:lvl>
    <w:lvl w:ilvl="7" w:tplc="77DC94E0">
      <w:start w:val="1"/>
      <w:numFmt w:val="lowerLetter"/>
      <w:lvlText w:val="%8."/>
      <w:lvlJc w:val="left"/>
      <w:pPr>
        <w:ind w:left="5760" w:hanging="360"/>
      </w:pPr>
    </w:lvl>
    <w:lvl w:ilvl="8" w:tplc="BEB6E7C0">
      <w:start w:val="1"/>
      <w:numFmt w:val="lowerRoman"/>
      <w:lvlText w:val="%9."/>
      <w:lvlJc w:val="right"/>
      <w:pPr>
        <w:ind w:left="6480" w:hanging="180"/>
      </w:pPr>
    </w:lvl>
  </w:abstractNum>
  <w:abstractNum w:abstractNumId="3" w15:restartNumberingAfterBreak="0">
    <w:nsid w:val="59834AAB"/>
    <w:multiLevelType w:val="hybridMultilevel"/>
    <w:tmpl w:val="7DA47B22"/>
    <w:lvl w:ilvl="0" w:tplc="32B81252">
      <w:start w:val="1"/>
      <w:numFmt w:val="decimal"/>
      <w:lvlText w:val="%1."/>
      <w:lvlJc w:val="left"/>
      <w:pPr>
        <w:ind w:left="720" w:hanging="360"/>
      </w:pPr>
    </w:lvl>
    <w:lvl w:ilvl="1" w:tplc="5C0CAB40">
      <w:start w:val="1"/>
      <w:numFmt w:val="lowerLetter"/>
      <w:lvlText w:val="%2."/>
      <w:lvlJc w:val="left"/>
      <w:pPr>
        <w:ind w:left="1440" w:hanging="360"/>
      </w:pPr>
    </w:lvl>
    <w:lvl w:ilvl="2" w:tplc="59F2F96C">
      <w:start w:val="1"/>
      <w:numFmt w:val="lowerRoman"/>
      <w:lvlText w:val="%3."/>
      <w:lvlJc w:val="right"/>
      <w:pPr>
        <w:ind w:left="2160" w:hanging="180"/>
      </w:pPr>
    </w:lvl>
    <w:lvl w:ilvl="3" w:tplc="6BD4149A">
      <w:start w:val="1"/>
      <w:numFmt w:val="decimal"/>
      <w:lvlText w:val="%4."/>
      <w:lvlJc w:val="left"/>
      <w:pPr>
        <w:ind w:left="2880" w:hanging="360"/>
      </w:pPr>
    </w:lvl>
    <w:lvl w:ilvl="4" w:tplc="A7E0BDB8">
      <w:start w:val="1"/>
      <w:numFmt w:val="lowerLetter"/>
      <w:lvlText w:val="%5."/>
      <w:lvlJc w:val="left"/>
      <w:pPr>
        <w:ind w:left="3600" w:hanging="360"/>
      </w:pPr>
    </w:lvl>
    <w:lvl w:ilvl="5" w:tplc="CA86FE0A">
      <w:start w:val="1"/>
      <w:numFmt w:val="lowerRoman"/>
      <w:lvlText w:val="%6."/>
      <w:lvlJc w:val="right"/>
      <w:pPr>
        <w:ind w:left="4320" w:hanging="180"/>
      </w:pPr>
    </w:lvl>
    <w:lvl w:ilvl="6" w:tplc="748EF396">
      <w:start w:val="1"/>
      <w:numFmt w:val="decimal"/>
      <w:lvlText w:val="%7."/>
      <w:lvlJc w:val="left"/>
      <w:pPr>
        <w:ind w:left="5040" w:hanging="360"/>
      </w:pPr>
    </w:lvl>
    <w:lvl w:ilvl="7" w:tplc="4E1E5C20">
      <w:start w:val="1"/>
      <w:numFmt w:val="lowerLetter"/>
      <w:lvlText w:val="%8."/>
      <w:lvlJc w:val="left"/>
      <w:pPr>
        <w:ind w:left="5760" w:hanging="360"/>
      </w:pPr>
    </w:lvl>
    <w:lvl w:ilvl="8" w:tplc="BB92495E">
      <w:start w:val="1"/>
      <w:numFmt w:val="lowerRoman"/>
      <w:lvlText w:val="%9."/>
      <w:lvlJc w:val="right"/>
      <w:pPr>
        <w:ind w:left="6480" w:hanging="180"/>
      </w:pPr>
    </w:lvl>
  </w:abstractNum>
  <w:abstractNum w:abstractNumId="4" w15:restartNumberingAfterBreak="0">
    <w:nsid w:val="5FF2EF24"/>
    <w:multiLevelType w:val="hybridMultilevel"/>
    <w:tmpl w:val="ED0C7D9E"/>
    <w:lvl w:ilvl="0" w:tplc="8B547566">
      <w:start w:val="1"/>
      <w:numFmt w:val="decimal"/>
      <w:lvlText w:val="%1."/>
      <w:lvlJc w:val="left"/>
      <w:pPr>
        <w:ind w:left="720" w:hanging="360"/>
      </w:pPr>
    </w:lvl>
    <w:lvl w:ilvl="1" w:tplc="241A8092">
      <w:start w:val="1"/>
      <w:numFmt w:val="lowerLetter"/>
      <w:lvlText w:val="%2."/>
      <w:lvlJc w:val="left"/>
      <w:pPr>
        <w:ind w:left="1440" w:hanging="360"/>
      </w:pPr>
    </w:lvl>
    <w:lvl w:ilvl="2" w:tplc="091E16E2">
      <w:start w:val="1"/>
      <w:numFmt w:val="lowerRoman"/>
      <w:lvlText w:val="%3."/>
      <w:lvlJc w:val="right"/>
      <w:pPr>
        <w:ind w:left="2160" w:hanging="180"/>
      </w:pPr>
    </w:lvl>
    <w:lvl w:ilvl="3" w:tplc="1F0C7AB6">
      <w:start w:val="1"/>
      <w:numFmt w:val="decimal"/>
      <w:lvlText w:val="%4."/>
      <w:lvlJc w:val="left"/>
      <w:pPr>
        <w:ind w:left="2880" w:hanging="360"/>
      </w:pPr>
    </w:lvl>
    <w:lvl w:ilvl="4" w:tplc="37FAF2B0">
      <w:start w:val="1"/>
      <w:numFmt w:val="lowerLetter"/>
      <w:lvlText w:val="%5."/>
      <w:lvlJc w:val="left"/>
      <w:pPr>
        <w:ind w:left="3600" w:hanging="360"/>
      </w:pPr>
    </w:lvl>
    <w:lvl w:ilvl="5" w:tplc="EA149D2E">
      <w:start w:val="1"/>
      <w:numFmt w:val="lowerRoman"/>
      <w:lvlText w:val="%6."/>
      <w:lvlJc w:val="right"/>
      <w:pPr>
        <w:ind w:left="4320" w:hanging="180"/>
      </w:pPr>
    </w:lvl>
    <w:lvl w:ilvl="6" w:tplc="8E503FCA">
      <w:start w:val="1"/>
      <w:numFmt w:val="decimal"/>
      <w:lvlText w:val="%7."/>
      <w:lvlJc w:val="left"/>
      <w:pPr>
        <w:ind w:left="5040" w:hanging="360"/>
      </w:pPr>
    </w:lvl>
    <w:lvl w:ilvl="7" w:tplc="B8B4898E">
      <w:start w:val="1"/>
      <w:numFmt w:val="lowerLetter"/>
      <w:lvlText w:val="%8."/>
      <w:lvlJc w:val="left"/>
      <w:pPr>
        <w:ind w:left="5760" w:hanging="360"/>
      </w:pPr>
    </w:lvl>
    <w:lvl w:ilvl="8" w:tplc="74066740">
      <w:start w:val="1"/>
      <w:numFmt w:val="lowerRoman"/>
      <w:lvlText w:val="%9."/>
      <w:lvlJc w:val="right"/>
      <w:pPr>
        <w:ind w:left="6480" w:hanging="180"/>
      </w:pPr>
    </w:lvl>
  </w:abstractNum>
  <w:abstractNum w:abstractNumId="5" w15:restartNumberingAfterBreak="0">
    <w:nsid w:val="632079D7"/>
    <w:multiLevelType w:val="hybridMultilevel"/>
    <w:tmpl w:val="01EABD80"/>
    <w:lvl w:ilvl="0" w:tplc="84507A36">
      <w:start w:val="1"/>
      <w:numFmt w:val="bullet"/>
      <w:lvlText w:val=""/>
      <w:lvlJc w:val="left"/>
      <w:pPr>
        <w:ind w:left="720" w:hanging="360"/>
      </w:pPr>
      <w:rPr>
        <w:rFonts w:ascii="Symbol" w:hAnsi="Symbol" w:hint="default"/>
      </w:rPr>
    </w:lvl>
    <w:lvl w:ilvl="1" w:tplc="EF8A3C7C">
      <w:start w:val="1"/>
      <w:numFmt w:val="bullet"/>
      <w:lvlText w:val="o"/>
      <w:lvlJc w:val="left"/>
      <w:pPr>
        <w:ind w:left="1440" w:hanging="360"/>
      </w:pPr>
      <w:rPr>
        <w:rFonts w:ascii="Courier New" w:hAnsi="Courier New" w:hint="default"/>
      </w:rPr>
    </w:lvl>
    <w:lvl w:ilvl="2" w:tplc="E390A686">
      <w:start w:val="1"/>
      <w:numFmt w:val="bullet"/>
      <w:lvlText w:val=""/>
      <w:lvlJc w:val="left"/>
      <w:pPr>
        <w:ind w:left="2160" w:hanging="360"/>
      </w:pPr>
      <w:rPr>
        <w:rFonts w:ascii="Wingdings" w:hAnsi="Wingdings" w:hint="default"/>
      </w:rPr>
    </w:lvl>
    <w:lvl w:ilvl="3" w:tplc="DC24F1E4">
      <w:start w:val="1"/>
      <w:numFmt w:val="bullet"/>
      <w:lvlText w:val=""/>
      <w:lvlJc w:val="left"/>
      <w:pPr>
        <w:ind w:left="2880" w:hanging="360"/>
      </w:pPr>
      <w:rPr>
        <w:rFonts w:ascii="Symbol" w:hAnsi="Symbol" w:hint="default"/>
      </w:rPr>
    </w:lvl>
    <w:lvl w:ilvl="4" w:tplc="820A2C08">
      <w:start w:val="1"/>
      <w:numFmt w:val="bullet"/>
      <w:lvlText w:val="o"/>
      <w:lvlJc w:val="left"/>
      <w:pPr>
        <w:ind w:left="3600" w:hanging="360"/>
      </w:pPr>
      <w:rPr>
        <w:rFonts w:ascii="Courier New" w:hAnsi="Courier New" w:hint="default"/>
      </w:rPr>
    </w:lvl>
    <w:lvl w:ilvl="5" w:tplc="A5402C80">
      <w:start w:val="1"/>
      <w:numFmt w:val="bullet"/>
      <w:lvlText w:val=""/>
      <w:lvlJc w:val="left"/>
      <w:pPr>
        <w:ind w:left="4320" w:hanging="360"/>
      </w:pPr>
      <w:rPr>
        <w:rFonts w:ascii="Wingdings" w:hAnsi="Wingdings" w:hint="default"/>
      </w:rPr>
    </w:lvl>
    <w:lvl w:ilvl="6" w:tplc="7F520B84">
      <w:start w:val="1"/>
      <w:numFmt w:val="bullet"/>
      <w:lvlText w:val=""/>
      <w:lvlJc w:val="left"/>
      <w:pPr>
        <w:ind w:left="5040" w:hanging="360"/>
      </w:pPr>
      <w:rPr>
        <w:rFonts w:ascii="Symbol" w:hAnsi="Symbol" w:hint="default"/>
      </w:rPr>
    </w:lvl>
    <w:lvl w:ilvl="7" w:tplc="2500B54A">
      <w:start w:val="1"/>
      <w:numFmt w:val="bullet"/>
      <w:lvlText w:val="o"/>
      <w:lvlJc w:val="left"/>
      <w:pPr>
        <w:ind w:left="5760" w:hanging="360"/>
      </w:pPr>
      <w:rPr>
        <w:rFonts w:ascii="Courier New" w:hAnsi="Courier New" w:hint="default"/>
      </w:rPr>
    </w:lvl>
    <w:lvl w:ilvl="8" w:tplc="53622AF2">
      <w:start w:val="1"/>
      <w:numFmt w:val="bullet"/>
      <w:lvlText w:val=""/>
      <w:lvlJc w:val="left"/>
      <w:pPr>
        <w:ind w:left="6480" w:hanging="360"/>
      </w:pPr>
      <w:rPr>
        <w:rFonts w:ascii="Wingdings" w:hAnsi="Wingdings" w:hint="default"/>
      </w:rPr>
    </w:lvl>
  </w:abstractNum>
  <w:num w:numId="1" w16cid:durableId="1014844795">
    <w:abstractNumId w:val="4"/>
  </w:num>
  <w:num w:numId="2" w16cid:durableId="135538700">
    <w:abstractNumId w:val="5"/>
  </w:num>
  <w:num w:numId="3" w16cid:durableId="1230112558">
    <w:abstractNumId w:val="0"/>
  </w:num>
  <w:num w:numId="4" w16cid:durableId="272831534">
    <w:abstractNumId w:val="3"/>
  </w:num>
  <w:num w:numId="5" w16cid:durableId="328335456">
    <w:abstractNumId w:val="2"/>
  </w:num>
  <w:num w:numId="6" w16cid:durableId="4931060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31C96A"/>
    <w:rsid w:val="008F09E8"/>
    <w:rsid w:val="00D705AD"/>
    <w:rsid w:val="6431C96A"/>
    <w:rsid w:val="65731C95"/>
    <w:rsid w:val="66C720F1"/>
    <w:rsid w:val="70741A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1C96A"/>
  <w15:chartTrackingRefBased/>
  <w15:docId w15:val="{FA2FC86C-B100-44F3-8256-4AB764173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66C720F1"/>
    <w:pPr>
      <w:outlineLvl w:val="0"/>
    </w:pPr>
    <w:rPr>
      <w:rFonts w:ascii="Times New Roman" w:eastAsia="Times New Roman" w:hAnsi="Times New Roman" w:cs="Times New Roman"/>
      <w:b/>
      <w:bCs/>
      <w:color w:val="000000" w:themeColor="text1"/>
      <w:sz w:val="28"/>
      <w:szCs w:val="28"/>
    </w:rPr>
  </w:style>
  <w:style w:type="paragraph" w:styleId="Heading2">
    <w:name w:val="heading 2"/>
    <w:basedOn w:val="Normal"/>
    <w:next w:val="Normal"/>
    <w:link w:val="Heading2Char"/>
    <w:uiPriority w:val="9"/>
    <w:unhideWhenUsed/>
    <w:qFormat/>
    <w:rsid w:val="66C720F1"/>
    <w:pPr>
      <w:keepNext/>
      <w:keepLines/>
      <w:spacing w:before="40" w:after="0"/>
      <w:outlineLvl w:val="1"/>
    </w:pPr>
    <w:rPr>
      <w:rFonts w:ascii="Times New Roman" w:eastAsia="Times New Roman" w:hAnsi="Times New Roman" w:cs="Times New Roman"/>
      <w:b/>
      <w:bCs/>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66C720F1"/>
    <w:rPr>
      <w:rFonts w:ascii="Times New Roman" w:eastAsia="Times New Roman" w:hAnsi="Times New Roman" w:cs="Times New Roman"/>
      <w:b/>
      <w:bCs/>
      <w:color w:val="000000" w:themeColor="text1"/>
      <w:sz w:val="28"/>
      <w:szCs w:val="28"/>
    </w:rPr>
  </w:style>
  <w:style w:type="character" w:customStyle="1" w:styleId="Heading2Char">
    <w:name w:val="Heading 2 Char"/>
    <w:basedOn w:val="DefaultParagraphFont"/>
    <w:link w:val="Heading2"/>
    <w:uiPriority w:val="9"/>
    <w:rsid w:val="66C720F1"/>
    <w:rPr>
      <w:rFonts w:ascii="Times New Roman" w:eastAsia="Times New Roman" w:hAnsi="Times New Roman" w:cs="Times New Roman"/>
      <w:b/>
      <w:bCs/>
      <w:color w:val="000000" w:themeColor="text1"/>
      <w:sz w:val="24"/>
      <w:szCs w:val="24"/>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tlnursemigration.org/wp-content/uploads/2022/01/Sustain-and-Retain-in-2022-and-Beyond-The-global-nursing-workforce-and-the-COVID-19-pandemic.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e.ac.uk/download/pdf/43165697.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bradscholars.brad.ac.uk/handle/10454/19285" TargetMode="External"/><Relationship Id="rId4" Type="http://schemas.openxmlformats.org/officeDocument/2006/relationships/webSettings" Target="webSettings.xml"/><Relationship Id="rId9" Type="http://schemas.openxmlformats.org/officeDocument/2006/relationships/hyperlink" Target="https://papers.ssrn.com/sol3/papers.cfm?abstract_id=424749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3216</Words>
  <Characters>18332</Characters>
  <Application>Microsoft Office Word</Application>
  <DocSecurity>0</DocSecurity>
  <Lines>152</Lines>
  <Paragraphs>43</Paragraphs>
  <ScaleCrop>false</ScaleCrop>
  <Company/>
  <LinksUpToDate>false</LinksUpToDate>
  <CharactersWithSpaces>21505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Hussain</dc:creator>
  <cp:keywords/>
  <dc:description/>
  <cp:lastModifiedBy>Deyvid Sashov Krumov (2125371)</cp:lastModifiedBy>
  <cp:revision>2</cp:revision>
  <dcterms:created xsi:type="dcterms:W3CDTF">2023-08-23T19:17:00Z</dcterms:created>
  <dcterms:modified xsi:type="dcterms:W3CDTF">2023-08-27T10:48:00Z</dcterms:modified>
</cp:coreProperties>
</file>