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7B5DB" w14:textId="44B4A15C" w:rsidR="00925B43" w:rsidRDefault="00D42563" w:rsidP="00D42563">
      <w:pPr>
        <w:jc w:val="center"/>
        <w:rPr>
          <w:b/>
          <w:sz w:val="28"/>
          <w:szCs w:val="28"/>
        </w:rPr>
      </w:pPr>
      <w:r>
        <w:rPr>
          <w:b/>
          <w:sz w:val="28"/>
          <w:szCs w:val="28"/>
        </w:rPr>
        <w:t>Review of “Alexander’s Return of the Tyrannicide Statues to Athens”</w:t>
      </w:r>
      <w:r w:rsidR="00005E42">
        <w:rPr>
          <w:b/>
          <w:sz w:val="28"/>
          <w:szCs w:val="28"/>
        </w:rPr>
        <w:t xml:space="preserve"> by Jennifer Finn</w:t>
      </w:r>
    </w:p>
    <w:p w14:paraId="6F687649" w14:textId="77777777" w:rsidR="00D42563" w:rsidRDefault="00D42563" w:rsidP="00D42563">
      <w:pPr>
        <w:jc w:val="center"/>
        <w:rPr>
          <w:b/>
          <w:sz w:val="28"/>
          <w:szCs w:val="28"/>
        </w:rPr>
      </w:pPr>
    </w:p>
    <w:p w14:paraId="158EC5BC" w14:textId="77777777" w:rsidR="00D42563" w:rsidRDefault="00D42563" w:rsidP="00D42563">
      <w:pPr>
        <w:jc w:val="center"/>
        <w:rPr>
          <w:b/>
          <w:sz w:val="28"/>
          <w:szCs w:val="28"/>
        </w:rPr>
      </w:pPr>
    </w:p>
    <w:p w14:paraId="2144707A" w14:textId="77777777" w:rsidR="00D42563" w:rsidRDefault="00D42563" w:rsidP="00D42563">
      <w:r>
        <w:tab/>
      </w:r>
    </w:p>
    <w:p w14:paraId="599BAE1E" w14:textId="0AC03E39" w:rsidR="00D42563" w:rsidRDefault="00D42563" w:rsidP="00D42563">
      <w:r>
        <w:tab/>
        <w:t xml:space="preserve">In Jennifer Finn’s article, </w:t>
      </w:r>
      <w:r w:rsidRPr="00D42563">
        <w:t>“Alexander’s Return of the Tyrannicide Statues to Athens</w:t>
      </w:r>
      <w:r>
        <w:t>,</w:t>
      </w:r>
      <w:r w:rsidRPr="00D42563">
        <w:t>”</w:t>
      </w:r>
      <w:r>
        <w:t xml:space="preserve"> she makes the argument that Alexander’s true motive in returning the statues of </w:t>
      </w:r>
      <w:r w:rsidR="005F4A13">
        <w:t xml:space="preserve">Harmodius and Aristogeiton was more complicated than it originally appears. </w:t>
      </w:r>
      <w:r w:rsidR="004F3E71">
        <w:t xml:space="preserve">She suggests that based on Alexander’s </w:t>
      </w:r>
      <w:r w:rsidR="00986607">
        <w:t>admiration of Persian and Eastern kings before him, he returned the statues to Athens in order to create his own individual identity as a king in the East. This come</w:t>
      </w:r>
      <w:r w:rsidR="00FF0611">
        <w:t xml:space="preserve">s as a separate motive than was suggested by </w:t>
      </w:r>
      <w:r w:rsidR="004E7B9D">
        <w:t>scholars Flower, Bosworth, and Baynham</w:t>
      </w:r>
      <w:r w:rsidR="004E7B9D">
        <w:rPr>
          <w:rStyle w:val="FootnoteReference"/>
        </w:rPr>
        <w:footnoteReference w:id="1"/>
      </w:r>
      <w:r w:rsidR="00787457">
        <w:t xml:space="preserve"> that Alexande</w:t>
      </w:r>
      <w:r w:rsidR="00532DB9">
        <w:t>r was merely upholding his Panh</w:t>
      </w:r>
      <w:r w:rsidR="00787457">
        <w:t>ellenic policies and promises.</w:t>
      </w:r>
      <w:r w:rsidR="00C16D5D">
        <w:t xml:space="preserve"> Finn invites us to look deeper into Alexander’s Eastern ideals and see that Alexander aimed to emulate Mesopotamian practices, a</w:t>
      </w:r>
      <w:r w:rsidR="00532DB9">
        <w:t>nd that the alignment with Panh</w:t>
      </w:r>
      <w:r w:rsidR="00C16D5D">
        <w:t xml:space="preserve">ellenic goals was a bonus. </w:t>
      </w:r>
      <w:r w:rsidR="00676519">
        <w:t>My suggestion is that both of these motives are true, and wh</w:t>
      </w:r>
      <w:r w:rsidR="0012246C">
        <w:t>ile I agree with Finn</w:t>
      </w:r>
      <w:r w:rsidR="00676519">
        <w:t xml:space="preserve"> that Alexander wished to emulate kings before him, I disagree on the specific </w:t>
      </w:r>
      <w:r w:rsidR="00977BEE">
        <w:t>ways in which</w:t>
      </w:r>
      <w:r w:rsidR="00676519">
        <w:t xml:space="preserve"> she believes Alexander did this. </w:t>
      </w:r>
      <w:r w:rsidR="00CC0C19">
        <w:t xml:space="preserve">My opinion is that Finn began to direct her reasoning in a slightly wrong direction </w:t>
      </w:r>
      <w:r w:rsidR="003023F7">
        <w:t xml:space="preserve">when delving deeper into Assyrian traditions and practices. </w:t>
      </w:r>
    </w:p>
    <w:p w14:paraId="31C9C27D" w14:textId="0BA7D4C5" w:rsidR="00FD23CD" w:rsidRDefault="00FD23CD" w:rsidP="00D42563">
      <w:r>
        <w:tab/>
      </w:r>
      <w:r w:rsidR="0042284B">
        <w:t>The statues in question are those of Harmodius and Aristogeiton</w:t>
      </w:r>
      <w:r w:rsidR="009D3B35">
        <w:t xml:space="preserve">, </w:t>
      </w:r>
      <w:r w:rsidR="00FD564A">
        <w:t>the two men who, during the Panathenaic Festival in 514 BC, plotted to murder the tyrants Hippias and Hipparchus.</w:t>
      </w:r>
      <w:r w:rsidR="000C3468">
        <w:rPr>
          <w:rStyle w:val="FootnoteReference"/>
        </w:rPr>
        <w:footnoteReference w:id="2"/>
      </w:r>
      <w:r w:rsidR="00A60670">
        <w:t xml:space="preserve"> Though they were successful in the murder of Hipparchus, his</w:t>
      </w:r>
      <w:r w:rsidR="0005442D">
        <w:t xml:space="preserve"> older</w:t>
      </w:r>
      <w:r w:rsidR="00A60670">
        <w:t xml:space="preserve"> brother Hippias was unharmed. As a result, H</w:t>
      </w:r>
      <w:r w:rsidR="00E63149">
        <w:t>armodius</w:t>
      </w:r>
      <w:r w:rsidR="00A60670">
        <w:t xml:space="preserve"> was killed and Aristogeiton was arrested</w:t>
      </w:r>
      <w:r w:rsidR="00DD7A81">
        <w:t>, tortured, and later killed</w:t>
      </w:r>
      <w:r w:rsidR="00A60670">
        <w:t>.</w:t>
      </w:r>
      <w:r w:rsidR="00A60670">
        <w:rPr>
          <w:rStyle w:val="FootnoteReference"/>
        </w:rPr>
        <w:footnoteReference w:id="3"/>
      </w:r>
      <w:r w:rsidR="00007BB7">
        <w:t xml:space="preserve"> The matter of motive has been questioned</w:t>
      </w:r>
      <w:r w:rsidR="005A18A2">
        <w:t xml:space="preserve">, first by Thucydides who stated that Harmodius had rejected romantic </w:t>
      </w:r>
      <w:r w:rsidR="00090CD6">
        <w:t>advances from Hipparchus and thu</w:t>
      </w:r>
      <w:r w:rsidR="005A18A2">
        <w:t>s feared what the consequences of doing so would be.</w:t>
      </w:r>
      <w:r w:rsidR="005A18A2">
        <w:rPr>
          <w:rStyle w:val="FootnoteReference"/>
        </w:rPr>
        <w:footnoteReference w:id="4"/>
      </w:r>
      <w:r w:rsidR="00090CD6">
        <w:t xml:space="preserve"> The same fears were shared by Aristogeiton, Harmodius’ lover, who reportedly felt personal insult at the persistence of Hipparchus.</w:t>
      </w:r>
      <w:r w:rsidR="00090CD6">
        <w:rPr>
          <w:rStyle w:val="FootnoteReference"/>
        </w:rPr>
        <w:footnoteReference w:id="5"/>
      </w:r>
      <w:r w:rsidR="00DD7A81">
        <w:t xml:space="preserve"> Despite these private motives, the people of Athens soon adopted the two men as their saviours from tyranny</w:t>
      </w:r>
      <w:r w:rsidR="00ED34B6">
        <w:t>. The reign of Hippias became more unacceptable to the Athenians following the murder of Hipparchus</w:t>
      </w:r>
      <w:r w:rsidR="00460D44">
        <w:t>,</w:t>
      </w:r>
      <w:r w:rsidR="00ED34B6">
        <w:rPr>
          <w:rStyle w:val="FootnoteReference"/>
        </w:rPr>
        <w:footnoteReference w:id="6"/>
      </w:r>
      <w:r w:rsidR="00460D44">
        <w:t xml:space="preserve"> as they had begun to view Harmodius and Aristogeiton as role models.</w:t>
      </w:r>
      <w:r w:rsidR="00460D44">
        <w:rPr>
          <w:rStyle w:val="FootnoteReference"/>
        </w:rPr>
        <w:footnoteReference w:id="7"/>
      </w:r>
      <w:r w:rsidR="000F0F79">
        <w:t xml:space="preserve"> </w:t>
      </w:r>
      <w:r w:rsidR="006864E4">
        <w:t>Despite this, Hippias would reign for a further three years until being overthro</w:t>
      </w:r>
      <w:r w:rsidR="0090743E">
        <w:t>wn by the Lacedaemonians.</w:t>
      </w:r>
      <w:r w:rsidR="00885CBA">
        <w:rPr>
          <w:rStyle w:val="FootnoteReference"/>
        </w:rPr>
        <w:footnoteReference w:id="8"/>
      </w:r>
    </w:p>
    <w:p w14:paraId="69FB0E78" w14:textId="4E5981BC" w:rsidR="00A85E1B" w:rsidRDefault="00A85E1B" w:rsidP="00D42563">
      <w:r>
        <w:tab/>
        <w:t>In return for the act of killing H</w:t>
      </w:r>
      <w:r w:rsidR="00E67F40">
        <w:t>ipparchus, the Athenians honoured</w:t>
      </w:r>
      <w:r>
        <w:t xml:space="preserve"> Harmodius and Aristogeito</w:t>
      </w:r>
      <w:r w:rsidR="00036EBE">
        <w:t>n with statues which they placed</w:t>
      </w:r>
      <w:r w:rsidR="009571CE">
        <w:t xml:space="preserve"> in the agora.</w:t>
      </w:r>
      <w:r w:rsidR="009571CE">
        <w:rPr>
          <w:rStyle w:val="FootnoteReference"/>
        </w:rPr>
        <w:footnoteReference w:id="9"/>
      </w:r>
      <w:r w:rsidR="00BE19FB">
        <w:t xml:space="preserve"> In addition to statues, </w:t>
      </w:r>
      <w:r w:rsidR="003B68A6">
        <w:t xml:space="preserve">many songs </w:t>
      </w:r>
      <w:r w:rsidR="003B68A6">
        <w:lastRenderedPageBreak/>
        <w:t>were written inspired by the two men, one of which became an Athenian national anthem of sorts.</w:t>
      </w:r>
      <w:r w:rsidR="003B68A6">
        <w:rPr>
          <w:rStyle w:val="FootnoteReference"/>
        </w:rPr>
        <w:footnoteReference w:id="10"/>
      </w:r>
      <w:r w:rsidR="001119EA">
        <w:t xml:space="preserve"> The anonymous author penned the lyrics, “Your fame shall live on the earth for ever, dearest Harmodius and Aristogeiton, since you slew the tyrant and established Athenian democracy.”</w:t>
      </w:r>
      <w:r w:rsidR="001119EA">
        <w:rPr>
          <w:rStyle w:val="FootnoteReference"/>
        </w:rPr>
        <w:footnoteReference w:id="11"/>
      </w:r>
      <w:r w:rsidR="00110728">
        <w:t xml:space="preserve"> The lasting and meaningful image of these men in Athens is evident</w:t>
      </w:r>
      <w:r w:rsidR="00811AE1">
        <w:t>, and therefore it is easy to imagine the insult</w:t>
      </w:r>
      <w:r w:rsidR="00843A2B">
        <w:t xml:space="preserve"> and urgency</w:t>
      </w:r>
      <w:r w:rsidR="00811AE1">
        <w:t xml:space="preserve"> caused when </w:t>
      </w:r>
      <w:r w:rsidR="00843A2B">
        <w:t xml:space="preserve">they were removed by Xerxes in 480 BC, only </w:t>
      </w:r>
      <w:r w:rsidR="00B006C7">
        <w:t>30 years after their erection.</w:t>
      </w:r>
      <w:r w:rsidR="00476A52">
        <w:t xml:space="preserve"> In fact, their </w:t>
      </w:r>
      <w:r w:rsidR="00DF5A3B">
        <w:t>loss was so heavily felt that construction of</w:t>
      </w:r>
      <w:r w:rsidR="00476A52">
        <w:t xml:space="preserve"> replacement statues began soon after.</w:t>
      </w:r>
      <w:r w:rsidR="00DF5A3B">
        <w:t xml:space="preserve"> Upon the return of the original statues by Alexander, both sets were placed together in the agora.</w:t>
      </w:r>
      <w:r w:rsidR="0057087B">
        <w:rPr>
          <w:rStyle w:val="FootnoteReference"/>
        </w:rPr>
        <w:footnoteReference w:id="12"/>
      </w:r>
      <w:r w:rsidR="00C06933">
        <w:t xml:space="preserve"> </w:t>
      </w:r>
    </w:p>
    <w:p w14:paraId="74996912" w14:textId="2948B0E9" w:rsidR="002916E1" w:rsidRDefault="002916E1" w:rsidP="00D42563">
      <w:r>
        <w:tab/>
      </w:r>
      <w:r w:rsidR="004D7DE1">
        <w:t xml:space="preserve">Alexander the Great </w:t>
      </w:r>
      <w:r w:rsidR="0068312B">
        <w:t xml:space="preserve">took great care in enhancing his campaigns by taking a personal interest in the lives, ideals, histories, and practices of those he conquered, </w:t>
      </w:r>
      <w:r w:rsidR="00BC085B">
        <w:t xml:space="preserve">the Persians in particular. </w:t>
      </w:r>
      <w:r w:rsidR="0038266F">
        <w:t xml:space="preserve">Alexander appeared to have aimed to combine Greek and Persian customs so that the two would not be mutually exclusive cultures and ways of life. </w:t>
      </w:r>
      <w:r w:rsidR="00016550">
        <w:t>Taking a special interest</w:t>
      </w:r>
      <w:r w:rsidR="00870575">
        <w:t xml:space="preserve"> in Asia, Alexander engaged in a variety of customs which allowed him to better understand the people whom he wished to rule, and in a way that would provide greater acceptance by the people. </w:t>
      </w:r>
      <w:r w:rsidR="00E0382F">
        <w:t xml:space="preserve">Finn altogether describes </w:t>
      </w:r>
      <w:r w:rsidR="00223D6D">
        <w:t>these traits as his “uniquely formulated royal identity”</w:t>
      </w:r>
      <w:r w:rsidR="002E21E5">
        <w:t xml:space="preserve"> (Finn 2014, pp 386), a statement t</w:t>
      </w:r>
      <w:r w:rsidR="009E1EE0">
        <w:t xml:space="preserve">hat I cannot agree with enough. </w:t>
      </w:r>
    </w:p>
    <w:p w14:paraId="11BC3DA8" w14:textId="41EA4D69" w:rsidR="009E1EE0" w:rsidRDefault="002A479E" w:rsidP="00D42563">
      <w:r>
        <w:tab/>
      </w:r>
      <w:r w:rsidR="002729F9">
        <w:t>Finn relates many of Alexander’s actions to Assyrian and Persian kings befo</w:t>
      </w:r>
      <w:r w:rsidR="00AF4285">
        <w:t>re him, namely Cyrus the Great, who made it a point during his reign to return stolen statues to their rightful place.</w:t>
      </w:r>
      <w:r w:rsidR="00AF4285">
        <w:rPr>
          <w:rStyle w:val="FootnoteReference"/>
        </w:rPr>
        <w:footnoteReference w:id="13"/>
      </w:r>
      <w:r w:rsidR="00A32FC4">
        <w:t xml:space="preserve"> There are many similarities </w:t>
      </w:r>
      <w:r w:rsidR="0041507D">
        <w:t>between rulers</w:t>
      </w:r>
      <w:r w:rsidR="00A32FC4">
        <w:t xml:space="preserve"> </w:t>
      </w:r>
      <w:r w:rsidR="0041507D">
        <w:t>regarding their Babylonians and their</w:t>
      </w:r>
      <w:r w:rsidR="00A32FC4">
        <w:t xml:space="preserve"> treatment of those who have conquered the city. Citizens line</w:t>
      </w:r>
      <w:r w:rsidR="00DC2DE6">
        <w:t>d</w:t>
      </w:r>
      <w:r w:rsidR="00A32FC4">
        <w:t xml:space="preserve"> the streets to welcome their new kings, though </w:t>
      </w:r>
      <w:r w:rsidR="00730986">
        <w:t>their behaviour may simply be due to the fact that acceptance was the most strategic choice in order to assure the survival of the city and those inside it.</w:t>
      </w:r>
      <w:r w:rsidR="00730986">
        <w:rPr>
          <w:rStyle w:val="FootnoteReference"/>
        </w:rPr>
        <w:footnoteReference w:id="14"/>
      </w:r>
    </w:p>
    <w:p w14:paraId="37D0D1A8" w14:textId="2648C2AE" w:rsidR="00AD314B" w:rsidRDefault="00AD314B" w:rsidP="00D42563">
      <w:r>
        <w:tab/>
        <w:t xml:space="preserve">However, in addition to Alexander’s eagerness to adapt to Asian culture as to unite Greco-Persian kingdoms, there was also a significant Panhellenic obligation that Alexander </w:t>
      </w:r>
      <w:r w:rsidR="00734BC2">
        <w:t xml:space="preserve">hoped to adhere to. </w:t>
      </w:r>
      <w:r w:rsidR="001D5C79">
        <w:t>Alexander sought to remove Persian influence and devastation from Greece, and so avenge the wrongdoings done by Xerxes.</w:t>
      </w:r>
      <w:r w:rsidR="001D5C79">
        <w:rPr>
          <w:rStyle w:val="FootnoteReference"/>
        </w:rPr>
        <w:footnoteReference w:id="15"/>
      </w:r>
      <w:r w:rsidR="009A4215">
        <w:t xml:space="preserve"> </w:t>
      </w:r>
      <w:r w:rsidR="00A1113C">
        <w:t>Alexander proceeded to free Greek cities in Asia, dedicate Persian goods to Athena, and forgive the burning of Persepolis</w:t>
      </w:r>
      <w:r w:rsidR="00C82EF4">
        <w:t xml:space="preserve"> in response to the Persians’ sacking of Athens</w:t>
      </w:r>
      <w:r w:rsidR="00A1113C">
        <w:t>.</w:t>
      </w:r>
      <w:r w:rsidR="004408C5">
        <w:t xml:space="preserve"> In Brunt’s list of actions that Alexander took in order to uphold his Panhellenic obligations, the return of the statues of Harmodius and Aristogeiton is included. This may mean that Brunt is in the camp that believes this action was merely to create strong conn</w:t>
      </w:r>
      <w:r w:rsidR="00F14102">
        <w:t>ections to the Athenian people, a stark contrast to Finn’s persistence that the action was more cleverly and symbolically charged.</w:t>
      </w:r>
      <w:r w:rsidR="003150FF">
        <w:t xml:space="preserve"> </w:t>
      </w:r>
      <w:r w:rsidR="004D0570">
        <w:t>Just as Harmodius and Aristogeiton were, Alexander was revered for his actions by the freed Greek states long into the Roman period.</w:t>
      </w:r>
      <w:r w:rsidR="004D0570">
        <w:rPr>
          <w:rStyle w:val="FootnoteReference"/>
        </w:rPr>
        <w:footnoteReference w:id="16"/>
      </w:r>
    </w:p>
    <w:p w14:paraId="37EEB7B2" w14:textId="688D39C6" w:rsidR="0064319B" w:rsidRDefault="0064319B" w:rsidP="00D42563">
      <w:r>
        <w:tab/>
      </w:r>
      <w:r w:rsidR="003A5156">
        <w:t>Jennifer Finn’s main thought regarding a motive behind Alexander’s return of the statues stems from his desire to emulate the Mesopotamian kings of the past. One of Alexander’s first actions upon entering Babylon was to restore the Temple of Bel-Mard</w:t>
      </w:r>
      <w:r w:rsidR="009D494F">
        <w:t>uk, the chief deity of Babylon, which Xerxes had destroyed.</w:t>
      </w:r>
      <w:r w:rsidR="009D494F">
        <w:rPr>
          <w:rStyle w:val="FootnoteReference"/>
        </w:rPr>
        <w:footnoteReference w:id="17"/>
      </w:r>
      <w:r w:rsidR="00C2591B">
        <w:t xml:space="preserve"> While this was a kind gesture indeed, Finn points out that the restoration of significant temples was a tradition amongst Mesopotamians, not merely a favour from Alexander to the Babylonian people.</w:t>
      </w:r>
      <w:r w:rsidR="006F6CF3">
        <w:rPr>
          <w:rStyle w:val="FootnoteReference"/>
        </w:rPr>
        <w:footnoteReference w:id="18"/>
      </w:r>
      <w:r w:rsidR="00CF111D">
        <w:t xml:space="preserve"> While this may be the case, it was</w:t>
      </w:r>
      <w:r w:rsidR="00EB5107">
        <w:t xml:space="preserve"> not thought to be </w:t>
      </w:r>
      <w:r w:rsidR="00CF111D">
        <w:t xml:space="preserve">a direct reaction to the negative propaganda surrounding Xerxes. Meaning that while </w:t>
      </w:r>
      <w:r w:rsidR="008572EC">
        <w:t xml:space="preserve">Alexander was rectifying a decision that Xerxes made to destroy the temple, he was not attempting to buy the Babylonian’s favour by strictly acting against him. </w:t>
      </w:r>
      <w:r w:rsidR="003B69ED">
        <w:t xml:space="preserve">Regardless of Alexander’s primary objective in this act, the </w:t>
      </w:r>
      <w:r w:rsidR="00214C17">
        <w:t>question</w:t>
      </w:r>
      <w:r w:rsidR="003B69ED">
        <w:t xml:space="preserve"> of motive is just as prevalent here as it is in the return of the statues. Was Alexander attempting to uphold his Panhellenic obligations to undo the work of Xerxes, or was he attempting to emulate former Mesopotamian kings in their tradition of correcting fallen temples? </w:t>
      </w:r>
      <w:r w:rsidR="00D92F2E">
        <w:t xml:space="preserve">It is clearly not a black and white issue. </w:t>
      </w:r>
    </w:p>
    <w:p w14:paraId="211FEC7C" w14:textId="2B0F7EEE" w:rsidR="00294847" w:rsidRDefault="00294847" w:rsidP="00D42563">
      <w:r>
        <w:tab/>
        <w:t xml:space="preserve">Finn goes on to explain the similarities between the reception of Cyrus and Alexander within Babylon. </w:t>
      </w:r>
      <w:r w:rsidR="00CE0496">
        <w:t>Both kings were well received by the Babylonian people, though, as stated previously, this could have merely been a strategy to ensure peace within Babylon.</w:t>
      </w:r>
      <w:r w:rsidR="001E5AEA">
        <w:t xml:space="preserve"> Certain traditions were maintained by both Cyrus and Alexander, including: interacting with local religious customs, rebuilding sanctuaries and temples, and thus being accepted as a Babylonian king</w:t>
      </w:r>
      <w:r w:rsidR="006C265E">
        <w:t xml:space="preserve"> rather than merely a conqueror</w:t>
      </w:r>
      <w:r w:rsidR="001E5AEA">
        <w:t>.</w:t>
      </w:r>
      <w:r w:rsidR="001E5AEA">
        <w:rPr>
          <w:rStyle w:val="FootnoteReference"/>
        </w:rPr>
        <w:footnoteReference w:id="19"/>
      </w:r>
    </w:p>
    <w:p w14:paraId="35225C69" w14:textId="680098BC" w:rsidR="003B3310" w:rsidRDefault="003B3310" w:rsidP="00D42563">
      <w:r>
        <w:tab/>
        <w:t xml:space="preserve">The issue of the statues comes about </w:t>
      </w:r>
      <w:r w:rsidR="004B1317">
        <w:t xml:space="preserve">in Arrian and Pausanias, who give conflicting accounts of when they were returned to Athens. </w:t>
      </w:r>
      <w:r w:rsidR="00956B2C">
        <w:t>According to Arrian, the statues were sent back to Athens by Alexander in 325/4 BC.</w:t>
      </w:r>
      <w:r w:rsidR="00956B2C">
        <w:rPr>
          <w:rStyle w:val="FootnoteReference"/>
        </w:rPr>
        <w:footnoteReference w:id="20"/>
      </w:r>
      <w:r w:rsidR="006E757F">
        <w:t xml:space="preserve"> However, Pausanias states that Alexander himself did not return the statues, but instead were returned by Antiochus</w:t>
      </w:r>
      <w:r w:rsidR="00805618">
        <w:t xml:space="preserve"> after Alexander’s death.</w:t>
      </w:r>
      <w:r w:rsidR="00805618">
        <w:rPr>
          <w:rStyle w:val="FootnoteReference"/>
        </w:rPr>
        <w:footnoteReference w:id="21"/>
      </w:r>
      <w:r w:rsidR="00DE311A">
        <w:t xml:space="preserve"> Regardless, it is generally agreed that Alexander at least made the promise to return the statues in his lifetime.</w:t>
      </w:r>
      <w:r w:rsidR="00DE311A">
        <w:rPr>
          <w:rStyle w:val="FootnoteReference"/>
        </w:rPr>
        <w:footnoteReference w:id="22"/>
      </w:r>
      <w:r w:rsidR="001D53C1">
        <w:t xml:space="preserve"> </w:t>
      </w:r>
      <w:r w:rsidR="00695F86">
        <w:t>While Alexander was in Babylon, he seems to have taken an acute interest in the policies Cyrus the Great. The Cyrus Cylinder, which was found at the location of the Temple of Bel-Marduk, outlines the belief that it was the duty of Cyrus to return the gods</w:t>
      </w:r>
      <w:r w:rsidR="00E0247F">
        <w:t xml:space="preserve"> found</w:t>
      </w:r>
      <w:r w:rsidR="00695F86">
        <w:t xml:space="preserve"> in B</w:t>
      </w:r>
      <w:r w:rsidR="00287593">
        <w:t>abylon to their rightful place.</w:t>
      </w:r>
      <w:r w:rsidR="00287593">
        <w:rPr>
          <w:rStyle w:val="FootnoteReference"/>
        </w:rPr>
        <w:footnoteReference w:id="23"/>
      </w:r>
      <w:r w:rsidR="00B12759">
        <w:t xml:space="preserve"> </w:t>
      </w:r>
      <w:r w:rsidR="005A3D54">
        <w:t xml:space="preserve">In Assyrian culture, a statue of a god symbolised the god itself, thus when a statue was taken to another city, the god was stolen and offered as a dedication to the local </w:t>
      </w:r>
      <w:r w:rsidR="001C0AB3">
        <w:t>temp</w:t>
      </w:r>
      <w:r w:rsidR="00434B02">
        <w:t>les</w:t>
      </w:r>
      <w:r w:rsidR="005A3D54">
        <w:t>. Cyrus aimed to return these “stolen gods” back to their original home.</w:t>
      </w:r>
      <w:r w:rsidR="005A3D54">
        <w:rPr>
          <w:rStyle w:val="FootnoteReference"/>
        </w:rPr>
        <w:footnoteReference w:id="24"/>
      </w:r>
      <w:r w:rsidR="000912A1">
        <w:t xml:space="preserve"> It is easy to believe that Alexander may well have read the text on the Cyrus Cylinder and taken inspiration from i</w:t>
      </w:r>
      <w:r w:rsidR="00DF5DAF">
        <w:t>t. Finn states this as perhaps one of Alexander’s primary reasons for retu</w:t>
      </w:r>
      <w:r w:rsidR="00E17078">
        <w:t xml:space="preserve">rning the statues to Athens in </w:t>
      </w:r>
      <w:r w:rsidR="00DF5DAF">
        <w:t xml:space="preserve">an attempt to emulate Cyrus the Great and return the stolen gods back to their original city. </w:t>
      </w:r>
    </w:p>
    <w:p w14:paraId="0D7569D0" w14:textId="5A4A12A1" w:rsidR="00F64123" w:rsidRDefault="0094568B" w:rsidP="00D42563">
      <w:r>
        <w:tab/>
        <w:t>In general, I</w:t>
      </w:r>
      <w:r w:rsidR="0078479E">
        <w:t xml:space="preserve"> mostly</w:t>
      </w:r>
      <w:r>
        <w:t xml:space="preserve"> agree with Finn’s assessment that Alexander aimed to emulate</w:t>
      </w:r>
      <w:r w:rsidR="005E3B05">
        <w:t xml:space="preserve"> Mesopotamian kings of the past</w:t>
      </w:r>
      <w:r>
        <w:t>. However, Finn’s attachment of Alexander to Cyrus becomes a bit problematic to me, especially in the specific reasoning of the Mesopotamian belief in “stolen gods.”</w:t>
      </w:r>
      <w:r w:rsidR="00626EB0">
        <w:t xml:space="preserve"> If Alexander truly wished to emulate Cyrus, I do not believe that</w:t>
      </w:r>
      <w:r w:rsidR="0078479E">
        <w:t xml:space="preserve"> returning the</w:t>
      </w:r>
      <w:r w:rsidR="00626EB0">
        <w:t xml:space="preserve"> statues of Harmodius and Aristogeiton would be the primary means of doing so. </w:t>
      </w:r>
    </w:p>
    <w:p w14:paraId="6D7C415A" w14:textId="69BB0185" w:rsidR="0094568B" w:rsidRDefault="00F64123" w:rsidP="00D42563">
      <w:r>
        <w:tab/>
      </w:r>
      <w:r w:rsidR="001243A3">
        <w:t>First and foremost, I do not believe that Alexander would have ever thought Harmodius and Aristogeiton were gods. It is clear that Alexander knew of the statues, otherwise he would not know to return them to Athens. As a boy, Alexander received tutelage from Aristotle, who would have been sure to educate Ale</w:t>
      </w:r>
      <w:r w:rsidR="00943BB8">
        <w:t>xander in the history of Greece</w:t>
      </w:r>
      <w:r w:rsidR="001243A3">
        <w:t>.</w:t>
      </w:r>
      <w:r w:rsidR="001243A3">
        <w:rPr>
          <w:rStyle w:val="FootnoteReference"/>
        </w:rPr>
        <w:footnoteReference w:id="25"/>
      </w:r>
      <w:r w:rsidR="006E2580">
        <w:t xml:space="preserve"> Given Alexander’s belief that he was descended from Zeus, he would have taken a particular interest in the gods</w:t>
      </w:r>
      <w:r w:rsidR="00B04FB8">
        <w:t xml:space="preserve">, and would have been incredibly familiar with the gods of Greece. </w:t>
      </w:r>
      <w:r>
        <w:t xml:space="preserve">Not only this, but two men as significant as Harmodius and Aristogeiton would not have gone unnoticed by Alexander. He would have known them as heroic men, not gods. </w:t>
      </w:r>
      <w:r w:rsidR="00ED382E">
        <w:t xml:space="preserve">In addition to this, if Alexander wished to maintain the </w:t>
      </w:r>
      <w:r w:rsidR="00671671">
        <w:t>belief</w:t>
      </w:r>
      <w:r w:rsidR="00ED382E">
        <w:t xml:space="preserve"> of Cyrus to return</w:t>
      </w:r>
      <w:r w:rsidR="00671671">
        <w:t xml:space="preserve"> captured</w:t>
      </w:r>
      <w:r w:rsidR="00ED382E">
        <w:t xml:space="preserve"> gods, I would expect this to be done with more haste than Alexander apparently exhibited. Whether or not it was Alexander or Antiochus who returned the statues, it did not seem to be a priority. </w:t>
      </w:r>
    </w:p>
    <w:p w14:paraId="41001217" w14:textId="3395A14A" w:rsidR="00753A35" w:rsidRDefault="00753A35" w:rsidP="00D42563">
      <w:r>
        <w:tab/>
        <w:t xml:space="preserve">Furthermore, </w:t>
      </w:r>
      <w:r w:rsidR="00A54D48">
        <w:t>t</w:t>
      </w:r>
      <w:r w:rsidR="00127DB8">
        <w:t xml:space="preserve">he concept of undoing the acts of Xerxes seem to align more with Panhellenic interests than with Mesopotamian. </w:t>
      </w:r>
      <w:r w:rsidR="00EE3404">
        <w:t xml:space="preserve">The idea that the statues were stolen by Xerxes creates a more personal problem than simply the desire to emulate Asiatic kings. </w:t>
      </w:r>
      <w:r w:rsidR="004B20E6">
        <w:t xml:space="preserve">The actions that many Babylonian conquerors take in order to become viewed as Babylonian kings do not include the return of stolen statues. </w:t>
      </w:r>
      <w:r w:rsidR="00215AE6">
        <w:t xml:space="preserve">While it is possible that Alexander had his own take on the expectations of kings entering Babylon, personal avenging appears to lean more on the side of Panhellenic traditions. </w:t>
      </w:r>
      <w:r w:rsidR="008D7A46">
        <w:t xml:space="preserve">Alexander’s emulation of </w:t>
      </w:r>
      <w:r w:rsidR="00F40401">
        <w:t xml:space="preserve">Mesopotamian kings was not exclusive to Cyrus, and this particular act which quite similarly </w:t>
      </w:r>
      <w:r w:rsidR="00861DD2">
        <w:t xml:space="preserve">familiarises itself with Cyrus’ tradition of returning </w:t>
      </w:r>
      <w:r w:rsidR="00904682">
        <w:t>gods</w:t>
      </w:r>
      <w:r w:rsidR="00861DD2">
        <w:t xml:space="preserve"> misses the most key factor in that tradition. </w:t>
      </w:r>
    </w:p>
    <w:p w14:paraId="0E595586" w14:textId="33B1FDE4" w:rsidR="00904682" w:rsidRDefault="00904682" w:rsidP="00D42563">
      <w:r>
        <w:tab/>
        <w:t>Finn does a fantastic job in outlining the various ways in which Alexander wished to create a distinct identity for himself as a king in the East. It is clear that Alexander desired to eliminate the divide between “West and East” and the kings tha</w:t>
      </w:r>
      <w:r w:rsidR="00411823">
        <w:t>t ruled in each respective place</w:t>
      </w:r>
      <w:r>
        <w:t>. He took care to fulfil his obligations in the West while seeking to appreciate the traditions and cultures of the East. In this particular case, it is my belief that the sole decision to return the statues of Harmodius and Aristogeiton to Athens was more aligned with Panhellenic customs and interests. While Alexander was sure to draw inspiration from Mesopotamian kings before him and take part in many of the same traditions, I do not believe that Finn presented the appropriate evidence to correlate the return of the statues to Mesopotamian beliefs. It is certainly possible that Alexander hoped to “return stolen gods” and there simply weren’t any statues of Greek gods available to him in Babylon. However, I believe that it is much more likely that Alexander simply wished to build good will with the Athenian people in the return of the statues of two of their most beloved heroes.</w:t>
      </w:r>
    </w:p>
    <w:p w14:paraId="211A3F05" w14:textId="77777777" w:rsidR="00D02B8B" w:rsidRDefault="00D02B8B" w:rsidP="00D42563"/>
    <w:p w14:paraId="06F075D7" w14:textId="77777777" w:rsidR="00D02B8B" w:rsidRDefault="00D02B8B" w:rsidP="00D42563"/>
    <w:p w14:paraId="77344485" w14:textId="77777777" w:rsidR="00BA585C" w:rsidRDefault="00BA585C" w:rsidP="00D42563"/>
    <w:p w14:paraId="2B35AA3D" w14:textId="77777777" w:rsidR="00BA585C" w:rsidRDefault="00BA585C" w:rsidP="00D42563"/>
    <w:p w14:paraId="44D0ACD1" w14:textId="77777777" w:rsidR="00BA585C" w:rsidRDefault="00BA585C" w:rsidP="00D42563"/>
    <w:p w14:paraId="1482B2C8" w14:textId="77777777" w:rsidR="00BA585C" w:rsidRDefault="00BA585C" w:rsidP="00D42563"/>
    <w:p w14:paraId="751168DC" w14:textId="77777777" w:rsidR="00BA585C" w:rsidRDefault="00BA585C" w:rsidP="00D42563"/>
    <w:p w14:paraId="37F0C7B1" w14:textId="77777777" w:rsidR="00BA585C" w:rsidRDefault="00BA585C" w:rsidP="00D42563"/>
    <w:p w14:paraId="2B29B03D" w14:textId="77777777" w:rsidR="00BA585C" w:rsidRDefault="00BA585C" w:rsidP="00D42563"/>
    <w:p w14:paraId="795ACCF4" w14:textId="77777777" w:rsidR="00BA585C" w:rsidRDefault="00BA585C" w:rsidP="00D42563"/>
    <w:p w14:paraId="2B75A0B5" w14:textId="77777777" w:rsidR="00BA585C" w:rsidRDefault="00BA585C" w:rsidP="00D42563"/>
    <w:p w14:paraId="5AA3012A" w14:textId="77777777" w:rsidR="00BA585C" w:rsidRDefault="00BA585C" w:rsidP="00D42563"/>
    <w:p w14:paraId="3A70980D" w14:textId="77777777" w:rsidR="00BA585C" w:rsidRDefault="00BA585C" w:rsidP="00D42563"/>
    <w:p w14:paraId="51E57679" w14:textId="77777777" w:rsidR="00D02B8B" w:rsidRDefault="00D02B8B" w:rsidP="00D42563"/>
    <w:p w14:paraId="4C9A686E" w14:textId="77777777" w:rsidR="00D02B8B" w:rsidRPr="00F17740" w:rsidRDefault="00D02B8B" w:rsidP="00D02B8B">
      <w:pPr>
        <w:jc w:val="center"/>
        <w:rPr>
          <w:b/>
          <w:sz w:val="28"/>
          <w:szCs w:val="28"/>
          <w:u w:val="single"/>
        </w:rPr>
      </w:pPr>
      <w:r w:rsidRPr="00F17740">
        <w:rPr>
          <w:b/>
          <w:sz w:val="28"/>
          <w:szCs w:val="28"/>
          <w:u w:val="single"/>
        </w:rPr>
        <w:t>Bibliography</w:t>
      </w:r>
    </w:p>
    <w:p w14:paraId="5AA51D59" w14:textId="77777777" w:rsidR="00D02B8B" w:rsidRDefault="00D02B8B" w:rsidP="00D02B8B">
      <w:pPr>
        <w:jc w:val="center"/>
        <w:rPr>
          <w:b/>
          <w:sz w:val="32"/>
          <w:szCs w:val="32"/>
          <w:u w:val="single"/>
        </w:rPr>
      </w:pPr>
    </w:p>
    <w:p w14:paraId="0B63D3ED" w14:textId="77777777" w:rsidR="00D02B8B" w:rsidRDefault="00D02B8B" w:rsidP="00D02B8B">
      <w:pPr>
        <w:jc w:val="center"/>
        <w:rPr>
          <w:b/>
          <w:sz w:val="32"/>
          <w:szCs w:val="32"/>
          <w:u w:val="single"/>
        </w:rPr>
      </w:pPr>
    </w:p>
    <w:p w14:paraId="0FC5D07D" w14:textId="77777777" w:rsidR="00D02B8B" w:rsidRDefault="00D02B8B" w:rsidP="00D02B8B">
      <w:r w:rsidRPr="00A30CB7">
        <w:rPr>
          <w:u w:val="single"/>
        </w:rPr>
        <w:t>Ancient</w:t>
      </w:r>
      <w:r>
        <w:t>:</w:t>
      </w:r>
    </w:p>
    <w:p w14:paraId="32DC1763" w14:textId="77777777" w:rsidR="00D02B8B" w:rsidRDefault="00D02B8B" w:rsidP="00D02B8B"/>
    <w:p w14:paraId="407A11D9" w14:textId="77777777" w:rsidR="00D02B8B" w:rsidRPr="00F04688" w:rsidRDefault="00D02B8B" w:rsidP="00D02B8B">
      <w:r>
        <w:t xml:space="preserve">Aristotle, </w:t>
      </w:r>
      <w:r>
        <w:rPr>
          <w:i/>
        </w:rPr>
        <w:t xml:space="preserve">Athenian Constitution. </w:t>
      </w:r>
      <w:r>
        <w:t>Rackham (trans.). 1952. Cambridge, MA: Harvard University Press</w:t>
      </w:r>
    </w:p>
    <w:p w14:paraId="260B865A" w14:textId="77777777" w:rsidR="00D02B8B" w:rsidRDefault="00D02B8B" w:rsidP="00D02B8B"/>
    <w:p w14:paraId="232E0057" w14:textId="77777777" w:rsidR="00D02B8B" w:rsidRDefault="00D02B8B" w:rsidP="00D02B8B">
      <w:r>
        <w:t xml:space="preserve">Arrian, </w:t>
      </w:r>
      <w:r>
        <w:rPr>
          <w:i/>
        </w:rPr>
        <w:t xml:space="preserve">Life of Alexander the Great. </w:t>
      </w:r>
      <w:r>
        <w:t>Sélincourt (trans.). 1958. London: Penguin Books</w:t>
      </w:r>
    </w:p>
    <w:p w14:paraId="36CFD4AF" w14:textId="77777777" w:rsidR="00D02B8B" w:rsidRDefault="00D02B8B" w:rsidP="00D02B8B"/>
    <w:p w14:paraId="5E1F1790" w14:textId="77777777" w:rsidR="00D02B8B" w:rsidRDefault="00D02B8B" w:rsidP="00D02B8B">
      <w:r>
        <w:t xml:space="preserve">Arrian, </w:t>
      </w:r>
      <w:r>
        <w:rPr>
          <w:i/>
        </w:rPr>
        <w:t xml:space="preserve">Anabasis of Alexander. </w:t>
      </w:r>
      <w:r>
        <w:t>Robson (trans.). 1929. Cambridge, MA: Harvard University Press</w:t>
      </w:r>
    </w:p>
    <w:p w14:paraId="69D7CEEB" w14:textId="77777777" w:rsidR="00D02B8B" w:rsidRDefault="00D02B8B" w:rsidP="00D02B8B"/>
    <w:p w14:paraId="172A04E2" w14:textId="77777777" w:rsidR="00D02B8B" w:rsidRPr="003540D7" w:rsidRDefault="00D02B8B" w:rsidP="00D02B8B">
      <w:r>
        <w:t xml:space="preserve">Demosthenes, </w:t>
      </w:r>
      <w:r>
        <w:rPr>
          <w:i/>
        </w:rPr>
        <w:t xml:space="preserve">Against Leptines. </w:t>
      </w:r>
      <w:r>
        <w:t>C.A. Vince &amp; J.H. Vince (trans.). 1926. Cambridge, MA: Harvard University Press</w:t>
      </w:r>
    </w:p>
    <w:p w14:paraId="420A2114" w14:textId="77777777" w:rsidR="00D02B8B" w:rsidRPr="002E7A04" w:rsidRDefault="00D02B8B" w:rsidP="00D02B8B"/>
    <w:p w14:paraId="19A3C0FA" w14:textId="77777777" w:rsidR="00D02B8B" w:rsidRDefault="00D02B8B" w:rsidP="00D02B8B">
      <w:r>
        <w:t xml:space="preserve">Diodorus Siculus, </w:t>
      </w:r>
      <w:r>
        <w:rPr>
          <w:i/>
        </w:rPr>
        <w:t xml:space="preserve">Library. </w:t>
      </w:r>
      <w:r>
        <w:t>Oldfather (trans.). 1989. Cambridge, MA: Harvard University Press</w:t>
      </w:r>
    </w:p>
    <w:p w14:paraId="3A2EFFF3" w14:textId="77777777" w:rsidR="00D02B8B" w:rsidRDefault="00D02B8B" w:rsidP="00D02B8B"/>
    <w:p w14:paraId="381DF1E8" w14:textId="77777777" w:rsidR="00D02B8B" w:rsidRPr="00345016" w:rsidRDefault="00D02B8B" w:rsidP="00D02B8B">
      <w:r>
        <w:t xml:space="preserve">Pausanias, </w:t>
      </w:r>
      <w:r>
        <w:rPr>
          <w:i/>
        </w:rPr>
        <w:t>Description of Greece.</w:t>
      </w:r>
      <w:r>
        <w:t xml:space="preserve"> Jones, Litt, &amp; Ormerod (trans.). 1918. Cambridge, MA: Harvard University Press</w:t>
      </w:r>
    </w:p>
    <w:p w14:paraId="6FD628F2" w14:textId="77777777" w:rsidR="00D02B8B" w:rsidRDefault="00D02B8B" w:rsidP="00D02B8B"/>
    <w:p w14:paraId="05EDB9B0" w14:textId="77777777" w:rsidR="00D02B8B" w:rsidRDefault="00D02B8B" w:rsidP="00D02B8B">
      <w:r>
        <w:t xml:space="preserve">Plutarch, </w:t>
      </w:r>
      <w:r>
        <w:rPr>
          <w:i/>
        </w:rPr>
        <w:t xml:space="preserve">Alexander. </w:t>
      </w:r>
      <w:r>
        <w:t>Perrin (trans.). 1919. Cambridge, MA: Harvard University Press</w:t>
      </w:r>
    </w:p>
    <w:p w14:paraId="0BF94C76" w14:textId="77777777" w:rsidR="00D02B8B" w:rsidRDefault="00D02B8B" w:rsidP="00D02B8B"/>
    <w:p w14:paraId="75F71531" w14:textId="77777777" w:rsidR="00D02B8B" w:rsidRPr="00B13FE4" w:rsidRDefault="00D02B8B" w:rsidP="00D02B8B">
      <w:r>
        <w:t xml:space="preserve">Thucydides, </w:t>
      </w:r>
      <w:r>
        <w:rPr>
          <w:i/>
        </w:rPr>
        <w:t xml:space="preserve">History of the Peloponnesian War. </w:t>
      </w:r>
      <w:r>
        <w:t>Hobbes (trans.). 1843. London: Bohn</w:t>
      </w:r>
    </w:p>
    <w:p w14:paraId="22F50033" w14:textId="77777777" w:rsidR="00D02B8B" w:rsidRPr="00E46A78" w:rsidRDefault="00D02B8B" w:rsidP="00D02B8B"/>
    <w:p w14:paraId="2C1560B2" w14:textId="77777777" w:rsidR="00D02B8B" w:rsidRPr="003F419F" w:rsidRDefault="00D02B8B" w:rsidP="00D02B8B">
      <w:r>
        <w:t xml:space="preserve">Quintus Curtius, </w:t>
      </w:r>
      <w:r>
        <w:rPr>
          <w:i/>
        </w:rPr>
        <w:t xml:space="preserve">History of Alexander. </w:t>
      </w:r>
      <w:r>
        <w:t>Rolfe (trans.). 1946. Cambridge, MA: Harvard University Press</w:t>
      </w:r>
    </w:p>
    <w:p w14:paraId="4B2B6108" w14:textId="77777777" w:rsidR="00D02B8B" w:rsidRDefault="00D02B8B" w:rsidP="00D02B8B"/>
    <w:p w14:paraId="5A365DFA" w14:textId="77777777" w:rsidR="00D02B8B" w:rsidRDefault="00D02B8B" w:rsidP="00D02B8B"/>
    <w:p w14:paraId="72C01323" w14:textId="77777777" w:rsidR="00D02B8B" w:rsidRDefault="00D02B8B" w:rsidP="00D02B8B">
      <w:r w:rsidRPr="00A30CB7">
        <w:rPr>
          <w:u w:val="single"/>
        </w:rPr>
        <w:t>Modern</w:t>
      </w:r>
      <w:r>
        <w:t>:</w:t>
      </w:r>
    </w:p>
    <w:p w14:paraId="4DAB2551" w14:textId="77777777" w:rsidR="00D02B8B" w:rsidRDefault="00D02B8B" w:rsidP="00D02B8B"/>
    <w:p w14:paraId="39C37B27" w14:textId="77777777" w:rsidR="00D02B8B" w:rsidRPr="00AA1A53" w:rsidRDefault="00D02B8B" w:rsidP="00D02B8B">
      <w:r>
        <w:t xml:space="preserve">Bosworth, A.B., Baynham, E. 2002. </w:t>
      </w:r>
      <w:r>
        <w:rPr>
          <w:i/>
        </w:rPr>
        <w:t xml:space="preserve">Alexander the Great in Fact and Fiction. </w:t>
      </w:r>
      <w:r>
        <w:t>Oxford: Oxford University Press</w:t>
      </w:r>
    </w:p>
    <w:p w14:paraId="1B586222" w14:textId="77777777" w:rsidR="00D02B8B" w:rsidRDefault="00D02B8B" w:rsidP="00D02B8B"/>
    <w:p w14:paraId="28B97976" w14:textId="77777777" w:rsidR="00D02B8B" w:rsidRDefault="00D02B8B" w:rsidP="00D02B8B">
      <w:pPr>
        <w:rPr>
          <w:rFonts w:eastAsia="Times New Roman"/>
          <w:lang w:val="en-US"/>
        </w:rPr>
      </w:pPr>
      <w:r>
        <w:t xml:space="preserve">The British Museum. 1880. The Cyrus Cylindar. The British Museum. Available from: </w:t>
      </w:r>
      <w:hyperlink r:id="rId6" w:history="1">
        <w:r>
          <w:rPr>
            <w:rStyle w:val="Hyperlink"/>
            <w:rFonts w:eastAsia="Times New Roman"/>
          </w:rPr>
          <w:t>https://www.britishmuseum.org/research/collection_online/collection_object_details.aspx?objectId=327188&amp;partId=1</w:t>
        </w:r>
      </w:hyperlink>
      <w:r>
        <w:rPr>
          <w:rFonts w:eastAsia="Times New Roman"/>
        </w:rPr>
        <w:t>. [Accessed on 18 July 2019]</w:t>
      </w:r>
    </w:p>
    <w:p w14:paraId="28CF63AF" w14:textId="77777777" w:rsidR="00D02B8B" w:rsidRDefault="00D02B8B" w:rsidP="00D02B8B">
      <w:bookmarkStart w:id="0" w:name="_GoBack"/>
      <w:bookmarkEnd w:id="0"/>
    </w:p>
    <w:p w14:paraId="372FEDF1" w14:textId="77777777" w:rsidR="00D02B8B" w:rsidRDefault="00D02B8B" w:rsidP="00D02B8B">
      <w:pPr>
        <w:rPr>
          <w:lang w:val="en-US"/>
        </w:rPr>
      </w:pPr>
      <w:r w:rsidRPr="00EF192F">
        <w:rPr>
          <w:lang w:val="en-US"/>
        </w:rPr>
        <w:t>Brunt, P. A. “The Aims of Alexander.” </w:t>
      </w:r>
      <w:r w:rsidRPr="00EF192F">
        <w:rPr>
          <w:i/>
          <w:iCs/>
          <w:lang w:val="en-US"/>
        </w:rPr>
        <w:t>Greece &amp; Rome</w:t>
      </w:r>
      <w:r w:rsidRPr="00EF192F">
        <w:rPr>
          <w:lang w:val="en-US"/>
        </w:rPr>
        <w:t>, vol. 12, no. 2, 1965, pp. 205–215</w:t>
      </w:r>
    </w:p>
    <w:p w14:paraId="44C80753" w14:textId="77777777" w:rsidR="00D02B8B" w:rsidRDefault="00D02B8B" w:rsidP="00D02B8B">
      <w:pPr>
        <w:rPr>
          <w:lang w:val="en-US"/>
        </w:rPr>
      </w:pPr>
    </w:p>
    <w:p w14:paraId="48CDCDA6" w14:textId="77777777" w:rsidR="00D02B8B" w:rsidRPr="00DB7293" w:rsidRDefault="00D02B8B" w:rsidP="00D02B8B">
      <w:pPr>
        <w:rPr>
          <w:lang w:val="en-US"/>
        </w:rPr>
      </w:pPr>
      <w:r>
        <w:rPr>
          <w:lang w:val="en-US"/>
        </w:rPr>
        <w:t xml:space="preserve">Cummings, L.V. 1940. </w:t>
      </w:r>
      <w:r>
        <w:rPr>
          <w:i/>
          <w:lang w:val="en-US"/>
        </w:rPr>
        <w:t xml:space="preserve">Alexander the Great. </w:t>
      </w:r>
      <w:r>
        <w:rPr>
          <w:lang w:val="en-US"/>
        </w:rPr>
        <w:t>Boston: Houghton Mifflin Company</w:t>
      </w:r>
    </w:p>
    <w:p w14:paraId="1A57329F" w14:textId="77777777" w:rsidR="00D02B8B" w:rsidRDefault="00D02B8B" w:rsidP="00D02B8B"/>
    <w:p w14:paraId="1E3DC505" w14:textId="77777777" w:rsidR="00D02B8B" w:rsidRDefault="00D02B8B" w:rsidP="00D02B8B">
      <w:pPr>
        <w:rPr>
          <w:lang w:val="en-US"/>
        </w:rPr>
      </w:pPr>
      <w:r>
        <w:rPr>
          <w:lang w:val="en-US"/>
        </w:rPr>
        <w:t>Finn, J</w:t>
      </w:r>
      <w:r w:rsidRPr="006F501A">
        <w:rPr>
          <w:lang w:val="en-US"/>
        </w:rPr>
        <w:t>. “</w:t>
      </w:r>
      <w:r>
        <w:rPr>
          <w:lang w:val="en-US"/>
        </w:rPr>
        <w:t xml:space="preserve">Alexander’s Return of the Tyrannicide Statues to Athens.” </w:t>
      </w:r>
      <w:r w:rsidRPr="006F501A">
        <w:rPr>
          <w:i/>
          <w:iCs/>
          <w:lang w:val="en-US"/>
        </w:rPr>
        <w:t>Historia: Zeitschrift Für Alte Geschichte</w:t>
      </w:r>
      <w:r w:rsidRPr="006F501A">
        <w:rPr>
          <w:lang w:val="en-US"/>
        </w:rPr>
        <w:t>, vol. 63, no. 4, 2014, pp. 385–403</w:t>
      </w:r>
    </w:p>
    <w:p w14:paraId="42BC20B1" w14:textId="77777777" w:rsidR="00D02B8B" w:rsidRDefault="00D02B8B" w:rsidP="00D02B8B">
      <w:pPr>
        <w:rPr>
          <w:lang w:val="en-US"/>
        </w:rPr>
      </w:pPr>
    </w:p>
    <w:p w14:paraId="463EF1E7" w14:textId="77777777" w:rsidR="00D02B8B" w:rsidRPr="00ED7A9C" w:rsidRDefault="00D02B8B" w:rsidP="00D02B8B">
      <w:pPr>
        <w:rPr>
          <w:b/>
          <w:lang w:val="en-US"/>
        </w:rPr>
      </w:pPr>
      <w:r>
        <w:rPr>
          <w:lang w:val="en-US"/>
        </w:rPr>
        <w:t xml:space="preserve">Flower, M. 2002. “Alexander and Panhellenism.” in Bosworth and Baynham’s </w:t>
      </w:r>
      <w:r>
        <w:rPr>
          <w:i/>
        </w:rPr>
        <w:t xml:space="preserve">Alexander the Great in Fact and Fiction. </w:t>
      </w:r>
      <w:r>
        <w:t>Oxford: Oxford University Press, pp. 96-135</w:t>
      </w:r>
    </w:p>
    <w:p w14:paraId="77D30F52" w14:textId="77777777" w:rsidR="00D02B8B" w:rsidRDefault="00D02B8B" w:rsidP="00D02B8B">
      <w:pPr>
        <w:rPr>
          <w:lang w:val="en-US"/>
        </w:rPr>
      </w:pPr>
    </w:p>
    <w:p w14:paraId="76FFA5E9" w14:textId="77777777" w:rsidR="00D02B8B" w:rsidRDefault="00D02B8B" w:rsidP="00D02B8B">
      <w:pPr>
        <w:rPr>
          <w:lang w:val="en-US"/>
        </w:rPr>
      </w:pPr>
      <w:r w:rsidRPr="00057ECD">
        <w:rPr>
          <w:lang w:val="en-US"/>
        </w:rPr>
        <w:t>Flower, Michael A. “Not Great Man History: Reconceptualizing a Course on Alexander the Great.” </w:t>
      </w:r>
      <w:r w:rsidRPr="00057ECD">
        <w:rPr>
          <w:i/>
          <w:iCs/>
          <w:lang w:val="en-US"/>
        </w:rPr>
        <w:t>The Classical World</w:t>
      </w:r>
      <w:r w:rsidRPr="00057ECD">
        <w:rPr>
          <w:lang w:val="en-US"/>
        </w:rPr>
        <w:t>, vol. 100, no. 4, 2007, pp. 417–423</w:t>
      </w:r>
    </w:p>
    <w:p w14:paraId="488CD5DA" w14:textId="77777777" w:rsidR="00D02B8B" w:rsidRDefault="00D02B8B" w:rsidP="00D02B8B">
      <w:pPr>
        <w:rPr>
          <w:lang w:val="en-US"/>
        </w:rPr>
      </w:pPr>
    </w:p>
    <w:p w14:paraId="5DF4EFEC" w14:textId="77777777" w:rsidR="00D02B8B" w:rsidRDefault="00D02B8B" w:rsidP="00D02B8B">
      <w:pPr>
        <w:rPr>
          <w:lang w:val="en-US"/>
        </w:rPr>
      </w:pPr>
      <w:r>
        <w:rPr>
          <w:lang w:val="en-US"/>
        </w:rPr>
        <w:t xml:space="preserve">Garland, R. 2003. </w:t>
      </w:r>
      <w:r>
        <w:rPr>
          <w:i/>
          <w:lang w:val="en-US"/>
        </w:rPr>
        <w:t xml:space="preserve">Ancient Greece: Everyday Life in the Birthplace of Western Civilisation. </w:t>
      </w:r>
      <w:r>
        <w:rPr>
          <w:lang w:val="en-US"/>
        </w:rPr>
        <w:t>New York, NY: Sterling Publishing</w:t>
      </w:r>
    </w:p>
    <w:p w14:paraId="18A527E0" w14:textId="77777777" w:rsidR="00D02B8B" w:rsidRDefault="00D02B8B" w:rsidP="00D02B8B">
      <w:pPr>
        <w:rPr>
          <w:lang w:val="en-US"/>
        </w:rPr>
      </w:pPr>
    </w:p>
    <w:p w14:paraId="12F76883" w14:textId="77777777" w:rsidR="00D02B8B" w:rsidRDefault="00D02B8B" w:rsidP="00D02B8B">
      <w:pPr>
        <w:rPr>
          <w:lang w:val="en-US"/>
        </w:rPr>
      </w:pPr>
      <w:r w:rsidRPr="009F78BF">
        <w:rPr>
          <w:lang w:val="en-US"/>
        </w:rPr>
        <w:t>Kuhrt, A. (1983). The Cyrus Cylinder and Achaemenid Imperial Policy. </w:t>
      </w:r>
      <w:r w:rsidRPr="009F78BF">
        <w:rPr>
          <w:i/>
          <w:iCs/>
          <w:lang w:val="en-US"/>
        </w:rPr>
        <w:t>Journal for the Study of the Old Testament</w:t>
      </w:r>
      <w:r w:rsidRPr="009F78BF">
        <w:rPr>
          <w:lang w:val="en-US"/>
        </w:rPr>
        <w:t>, </w:t>
      </w:r>
      <w:r w:rsidRPr="009F78BF">
        <w:rPr>
          <w:i/>
          <w:iCs/>
          <w:lang w:val="en-US"/>
        </w:rPr>
        <w:t>8</w:t>
      </w:r>
      <w:r w:rsidRPr="009F78BF">
        <w:rPr>
          <w:lang w:val="en-US"/>
        </w:rPr>
        <w:t>(25), 83–97</w:t>
      </w:r>
    </w:p>
    <w:p w14:paraId="38711C8B" w14:textId="77777777" w:rsidR="00D02B8B" w:rsidRDefault="00D02B8B" w:rsidP="00D02B8B">
      <w:pPr>
        <w:rPr>
          <w:lang w:val="en-US"/>
        </w:rPr>
      </w:pPr>
    </w:p>
    <w:p w14:paraId="6660C7C0" w14:textId="77777777" w:rsidR="00D02B8B" w:rsidRDefault="00D02B8B" w:rsidP="00D02B8B">
      <w:pPr>
        <w:rPr>
          <w:lang w:val="en-US"/>
        </w:rPr>
      </w:pPr>
      <w:r>
        <w:rPr>
          <w:lang w:val="en-US"/>
        </w:rPr>
        <w:t>Stein-Hölkeskamp, E.,</w:t>
      </w:r>
      <w:r w:rsidRPr="00085FFB">
        <w:rPr>
          <w:lang w:val="en-US"/>
        </w:rPr>
        <w:t xml:space="preserve"> Engels, </w:t>
      </w:r>
      <w:r>
        <w:rPr>
          <w:lang w:val="en-US"/>
        </w:rPr>
        <w:t xml:space="preserve">J. 2006. Aristogiton. Brill’s New Pauly. Available from: </w:t>
      </w:r>
      <w:hyperlink r:id="rId7" w:history="1">
        <w:r w:rsidRPr="00216D4A">
          <w:rPr>
            <w:rStyle w:val="Hyperlink"/>
            <w:lang w:val="en-US"/>
          </w:rPr>
          <w:t>https://referenceworks-brillonline-com.ezproxy.uwtsd.ac.uk/entries/brill-s-new-pauly/aristogiton-e135840?s.num=1&amp;s.f.s2_parent=s.f.book.brill-s-new-pauly&amp;s.q=harmodius</w:t>
        </w:r>
      </w:hyperlink>
      <w:r>
        <w:rPr>
          <w:lang w:val="en-US"/>
        </w:rPr>
        <w:t>. [Accessed on 18 July 2019]</w:t>
      </w:r>
    </w:p>
    <w:p w14:paraId="29DC06FD" w14:textId="77777777" w:rsidR="00D02B8B" w:rsidRDefault="00D02B8B" w:rsidP="00D02B8B">
      <w:pPr>
        <w:rPr>
          <w:lang w:val="en-US"/>
        </w:rPr>
      </w:pPr>
    </w:p>
    <w:p w14:paraId="7904E382" w14:textId="77777777" w:rsidR="00D02B8B" w:rsidRPr="0017227C" w:rsidRDefault="00D02B8B" w:rsidP="00D02B8B">
      <w:pPr>
        <w:rPr>
          <w:rFonts w:eastAsia="Times New Roman"/>
          <w:lang w:val="en-US"/>
        </w:rPr>
      </w:pPr>
      <w:r>
        <w:rPr>
          <w:lang w:val="en-US"/>
        </w:rPr>
        <w:t>Stein-Hölkeskamp, E.,</w:t>
      </w:r>
      <w:r w:rsidRPr="0017227C">
        <w:rPr>
          <w:lang w:val="en-US"/>
        </w:rPr>
        <w:t xml:space="preserve"> Zimmermann, </w:t>
      </w:r>
      <w:r>
        <w:rPr>
          <w:lang w:val="en-US"/>
        </w:rPr>
        <w:t xml:space="preserve">B. 2006. </w:t>
      </w:r>
      <w:r w:rsidRPr="0017227C">
        <w:rPr>
          <w:lang w:val="en-US"/>
        </w:rPr>
        <w:t>Harmodius</w:t>
      </w:r>
      <w:r>
        <w:rPr>
          <w:lang w:val="en-US"/>
        </w:rPr>
        <w:t xml:space="preserve">. Brill’s New Pauly. Available from: </w:t>
      </w:r>
      <w:hyperlink r:id="rId8" w:history="1">
        <w:r>
          <w:rPr>
            <w:rStyle w:val="Hyperlink"/>
            <w:rFonts w:eastAsia="Times New Roman"/>
          </w:rPr>
          <w:t>https://referenceworks-brillonline-com.ezproxy.uwtsd.ac.uk/entries/brill-s-new-pauly/harmodius-e503460?s.num=0&amp;s.f.s2_parent=s.f.book.brill-s-new-pauly&amp;s.q=harmodius</w:t>
        </w:r>
      </w:hyperlink>
      <w:r>
        <w:rPr>
          <w:rFonts w:eastAsia="Times New Roman"/>
          <w:lang w:val="en-US"/>
        </w:rPr>
        <w:t>. [Accessed on 18 July 2019]</w:t>
      </w:r>
    </w:p>
    <w:p w14:paraId="6AFED0BA" w14:textId="77777777" w:rsidR="00D02B8B" w:rsidRPr="00D42563" w:rsidRDefault="00D02B8B" w:rsidP="00D42563"/>
    <w:sectPr w:rsidR="00D02B8B" w:rsidRPr="00D42563" w:rsidSect="00705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C7622" w14:textId="77777777" w:rsidR="00872E0C" w:rsidRDefault="00872E0C" w:rsidP="004E7B9D">
      <w:r>
        <w:separator/>
      </w:r>
    </w:p>
  </w:endnote>
  <w:endnote w:type="continuationSeparator" w:id="0">
    <w:p w14:paraId="4EF7030B" w14:textId="77777777" w:rsidR="00872E0C" w:rsidRDefault="00872E0C" w:rsidP="004E7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1EE359" w14:textId="77777777" w:rsidR="00872E0C" w:rsidRDefault="00872E0C" w:rsidP="004E7B9D">
      <w:r>
        <w:separator/>
      </w:r>
    </w:p>
  </w:footnote>
  <w:footnote w:type="continuationSeparator" w:id="0">
    <w:p w14:paraId="3609DA9B" w14:textId="77777777" w:rsidR="00872E0C" w:rsidRDefault="00872E0C" w:rsidP="004E7B9D">
      <w:r>
        <w:continuationSeparator/>
      </w:r>
    </w:p>
  </w:footnote>
  <w:footnote w:id="1">
    <w:p w14:paraId="347244E5" w14:textId="5C166339" w:rsidR="004E7B9D" w:rsidRPr="004E7B9D" w:rsidRDefault="004E7B9D">
      <w:pPr>
        <w:pStyle w:val="FootnoteText"/>
        <w:rPr>
          <w:lang w:val="en-US"/>
        </w:rPr>
      </w:pPr>
      <w:r>
        <w:rPr>
          <w:rStyle w:val="FootnoteReference"/>
        </w:rPr>
        <w:footnoteRef/>
      </w:r>
      <w:r>
        <w:t xml:space="preserve"> </w:t>
      </w:r>
      <w:r>
        <w:rPr>
          <w:lang w:val="en-US"/>
        </w:rPr>
        <w:t>Flower, Bosworth, and Baynham 2002: 98</w:t>
      </w:r>
    </w:p>
  </w:footnote>
  <w:footnote w:id="2">
    <w:p w14:paraId="5B917B9D" w14:textId="0EDC7E28" w:rsidR="000C3468" w:rsidRPr="000C3468" w:rsidRDefault="000C3468">
      <w:pPr>
        <w:pStyle w:val="FootnoteText"/>
        <w:rPr>
          <w:u w:val="single"/>
          <w:lang w:val="en-US"/>
        </w:rPr>
      </w:pPr>
      <w:r>
        <w:rPr>
          <w:rStyle w:val="FootnoteReference"/>
        </w:rPr>
        <w:footnoteRef/>
      </w:r>
      <w:r>
        <w:t xml:space="preserve"> Stein-H</w:t>
      </w:r>
      <w:r w:rsidRPr="000C3468">
        <w:t>öl</w:t>
      </w:r>
      <w:r w:rsidR="00D47966">
        <w:t xml:space="preserve">keskamp </w:t>
      </w:r>
      <w:r w:rsidR="00A60670">
        <w:t>2006</w:t>
      </w:r>
      <w:r w:rsidR="00420647">
        <w:t>: para.1</w:t>
      </w:r>
      <w:r w:rsidR="00A60670">
        <w:t>; Thuc. 6.53-57</w:t>
      </w:r>
    </w:p>
  </w:footnote>
  <w:footnote w:id="3">
    <w:p w14:paraId="22757AD9" w14:textId="51CD15FA" w:rsidR="00A60670" w:rsidRPr="00A60670" w:rsidRDefault="00A60670">
      <w:pPr>
        <w:pStyle w:val="FootnoteText"/>
        <w:rPr>
          <w:lang w:val="en-US"/>
        </w:rPr>
      </w:pPr>
      <w:r>
        <w:rPr>
          <w:rStyle w:val="FootnoteReference"/>
        </w:rPr>
        <w:footnoteRef/>
      </w:r>
      <w:r>
        <w:t xml:space="preserve"> </w:t>
      </w:r>
      <w:r>
        <w:rPr>
          <w:lang w:val="en-US"/>
        </w:rPr>
        <w:t>Thuc. 6.57</w:t>
      </w:r>
      <w:r w:rsidR="00ED34B6">
        <w:rPr>
          <w:lang w:val="en-US"/>
        </w:rPr>
        <w:t>.4</w:t>
      </w:r>
    </w:p>
  </w:footnote>
  <w:footnote w:id="4">
    <w:p w14:paraId="5718220C" w14:textId="2F3DF7F7" w:rsidR="005A18A2" w:rsidRPr="005A18A2" w:rsidRDefault="005A18A2">
      <w:pPr>
        <w:pStyle w:val="FootnoteText"/>
        <w:rPr>
          <w:lang w:val="en-US"/>
        </w:rPr>
      </w:pPr>
      <w:r>
        <w:rPr>
          <w:rStyle w:val="FootnoteReference"/>
        </w:rPr>
        <w:footnoteRef/>
      </w:r>
      <w:r>
        <w:t xml:space="preserve"> </w:t>
      </w:r>
      <w:r>
        <w:rPr>
          <w:lang w:val="en-US"/>
        </w:rPr>
        <w:t>Thuc. 6.54.3</w:t>
      </w:r>
      <w:r w:rsidR="000C2305">
        <w:rPr>
          <w:lang w:val="en-US"/>
        </w:rPr>
        <w:t xml:space="preserve">; </w:t>
      </w:r>
      <w:r w:rsidR="00AB131A">
        <w:rPr>
          <w:lang w:val="en-US"/>
        </w:rPr>
        <w:t>Aristotle (Const.Ath.</w:t>
      </w:r>
      <w:r w:rsidR="00AB131A" w:rsidRPr="00AB131A">
        <w:rPr>
          <w:lang w:val="en-US"/>
        </w:rPr>
        <w:t>18.2</w:t>
      </w:r>
      <w:r w:rsidR="00AB131A">
        <w:rPr>
          <w:lang w:val="en-US"/>
        </w:rPr>
        <w:t xml:space="preserve">) </w:t>
      </w:r>
      <w:r w:rsidR="00002E87">
        <w:rPr>
          <w:lang w:val="en-US"/>
        </w:rPr>
        <w:t>claimed that the true motive for murder was anger as a result of being insulted by Hipparchus’ sister. Aristotle states that following the many unsuccessful advances on Harmodius, Hipparchus began to grow bitter and resentful which led to his sister calling Harmodius “effeminate.”</w:t>
      </w:r>
    </w:p>
  </w:footnote>
  <w:footnote w:id="5">
    <w:p w14:paraId="62235DD2" w14:textId="0C0BDF37" w:rsidR="00090CD6" w:rsidRPr="00090CD6" w:rsidRDefault="00090CD6">
      <w:pPr>
        <w:pStyle w:val="FootnoteText"/>
        <w:rPr>
          <w:lang w:val="en-US"/>
        </w:rPr>
      </w:pPr>
      <w:r>
        <w:rPr>
          <w:rStyle w:val="FootnoteReference"/>
        </w:rPr>
        <w:footnoteRef/>
      </w:r>
      <w:r w:rsidR="00E71E75">
        <w:t xml:space="preserve"> Thuc.</w:t>
      </w:r>
      <w:r>
        <w:t xml:space="preserve"> </w:t>
      </w:r>
      <w:r>
        <w:rPr>
          <w:lang w:val="en-US"/>
        </w:rPr>
        <w:t>6.54.3-5</w:t>
      </w:r>
    </w:p>
  </w:footnote>
  <w:footnote w:id="6">
    <w:p w14:paraId="40EAD560" w14:textId="413B58EC" w:rsidR="00ED34B6" w:rsidRPr="00ED34B6" w:rsidRDefault="00ED34B6">
      <w:pPr>
        <w:pStyle w:val="FootnoteText"/>
        <w:rPr>
          <w:lang w:val="en-US"/>
        </w:rPr>
      </w:pPr>
      <w:r>
        <w:rPr>
          <w:rStyle w:val="FootnoteReference"/>
        </w:rPr>
        <w:footnoteRef/>
      </w:r>
      <w:r>
        <w:t xml:space="preserve"> </w:t>
      </w:r>
      <w:r>
        <w:rPr>
          <w:lang w:val="en-US"/>
        </w:rPr>
        <w:t>Thuc. 6.59.2</w:t>
      </w:r>
    </w:p>
  </w:footnote>
  <w:footnote w:id="7">
    <w:p w14:paraId="579EE68E" w14:textId="49A190CB" w:rsidR="00460D44" w:rsidRPr="00460D44" w:rsidRDefault="00460D44">
      <w:pPr>
        <w:pStyle w:val="FootnoteText"/>
        <w:rPr>
          <w:lang w:val="en-US"/>
        </w:rPr>
      </w:pPr>
      <w:r>
        <w:rPr>
          <w:rStyle w:val="FootnoteReference"/>
        </w:rPr>
        <w:footnoteRef/>
      </w:r>
      <w:r>
        <w:t xml:space="preserve"> </w:t>
      </w:r>
      <w:r>
        <w:rPr>
          <w:lang w:val="en-US"/>
        </w:rPr>
        <w:t>Stein-Hölkeskamp</w:t>
      </w:r>
      <w:r w:rsidR="00420647">
        <w:rPr>
          <w:lang w:val="en-US"/>
        </w:rPr>
        <w:t xml:space="preserve"> 2006: para.1</w:t>
      </w:r>
    </w:p>
  </w:footnote>
  <w:footnote w:id="8">
    <w:p w14:paraId="0C90F6FB" w14:textId="70CF83BA" w:rsidR="00885CBA" w:rsidRPr="00885CBA" w:rsidRDefault="00885CBA">
      <w:pPr>
        <w:pStyle w:val="FootnoteText"/>
        <w:rPr>
          <w:lang w:val="en-US"/>
        </w:rPr>
      </w:pPr>
      <w:r>
        <w:rPr>
          <w:rStyle w:val="FootnoteReference"/>
        </w:rPr>
        <w:footnoteRef/>
      </w:r>
      <w:r>
        <w:t xml:space="preserve"> </w:t>
      </w:r>
      <w:r>
        <w:rPr>
          <w:lang w:val="en-US"/>
        </w:rPr>
        <w:t>Thuc. 6.59.4</w:t>
      </w:r>
    </w:p>
  </w:footnote>
  <w:footnote w:id="9">
    <w:p w14:paraId="1FBED3F9" w14:textId="62419C4A" w:rsidR="009571CE" w:rsidRPr="009571CE" w:rsidRDefault="009571CE">
      <w:pPr>
        <w:pStyle w:val="FootnoteText"/>
        <w:rPr>
          <w:lang w:val="en-US"/>
        </w:rPr>
      </w:pPr>
      <w:r>
        <w:rPr>
          <w:rStyle w:val="FootnoteReference"/>
        </w:rPr>
        <w:footnoteRef/>
      </w:r>
      <w:r>
        <w:t xml:space="preserve"> </w:t>
      </w:r>
      <w:r>
        <w:rPr>
          <w:lang w:val="en-US"/>
        </w:rPr>
        <w:t>Garland 2003: 14</w:t>
      </w:r>
    </w:p>
  </w:footnote>
  <w:footnote w:id="10">
    <w:p w14:paraId="3D39B0B9" w14:textId="1C0D11F8" w:rsidR="003B68A6" w:rsidRPr="003B68A6" w:rsidRDefault="003B68A6">
      <w:pPr>
        <w:pStyle w:val="FootnoteText"/>
        <w:rPr>
          <w:lang w:val="en-US"/>
        </w:rPr>
      </w:pPr>
      <w:r>
        <w:rPr>
          <w:rStyle w:val="FootnoteReference"/>
        </w:rPr>
        <w:footnoteRef/>
      </w:r>
      <w:r>
        <w:t xml:space="preserve"> </w:t>
      </w:r>
      <w:r>
        <w:rPr>
          <w:lang w:val="en-US"/>
        </w:rPr>
        <w:t>Garland 2003: 162</w:t>
      </w:r>
    </w:p>
  </w:footnote>
  <w:footnote w:id="11">
    <w:p w14:paraId="0DFC8D44" w14:textId="53E45A37" w:rsidR="001119EA" w:rsidRPr="001119EA" w:rsidRDefault="001119EA">
      <w:pPr>
        <w:pStyle w:val="FootnoteText"/>
        <w:rPr>
          <w:lang w:val="en-US"/>
        </w:rPr>
      </w:pPr>
      <w:r>
        <w:rPr>
          <w:rStyle w:val="FootnoteReference"/>
        </w:rPr>
        <w:footnoteRef/>
      </w:r>
      <w:r>
        <w:t xml:space="preserve"> </w:t>
      </w:r>
      <w:r>
        <w:rPr>
          <w:lang w:val="en-US"/>
        </w:rPr>
        <w:t>Garland 2003: 162</w:t>
      </w:r>
    </w:p>
  </w:footnote>
  <w:footnote w:id="12">
    <w:p w14:paraId="7509F811" w14:textId="79089837" w:rsidR="0057087B" w:rsidRPr="0057087B" w:rsidRDefault="0057087B">
      <w:pPr>
        <w:pStyle w:val="FootnoteText"/>
        <w:rPr>
          <w:lang w:val="en-US"/>
        </w:rPr>
      </w:pPr>
      <w:r>
        <w:rPr>
          <w:rStyle w:val="FootnoteReference"/>
        </w:rPr>
        <w:footnoteRef/>
      </w:r>
      <w:r>
        <w:t xml:space="preserve"> </w:t>
      </w:r>
      <w:r>
        <w:rPr>
          <w:lang w:val="en-US"/>
        </w:rPr>
        <w:t>Finn 2014: 393</w:t>
      </w:r>
    </w:p>
  </w:footnote>
  <w:footnote w:id="13">
    <w:p w14:paraId="410AB666" w14:textId="58E7EDA0" w:rsidR="00AF4285" w:rsidRPr="00AF4285" w:rsidRDefault="00AF4285">
      <w:pPr>
        <w:pStyle w:val="FootnoteText"/>
        <w:rPr>
          <w:lang w:val="en-US"/>
        </w:rPr>
      </w:pPr>
      <w:r>
        <w:rPr>
          <w:rStyle w:val="FootnoteReference"/>
        </w:rPr>
        <w:footnoteRef/>
      </w:r>
      <w:r>
        <w:t xml:space="preserve"> </w:t>
      </w:r>
      <w:r>
        <w:rPr>
          <w:lang w:val="en-US"/>
        </w:rPr>
        <w:t>Finn 2014: 387</w:t>
      </w:r>
    </w:p>
  </w:footnote>
  <w:footnote w:id="14">
    <w:p w14:paraId="56C5F21C" w14:textId="343F792C" w:rsidR="00730986" w:rsidRPr="00730986" w:rsidRDefault="00730986">
      <w:pPr>
        <w:pStyle w:val="FootnoteText"/>
        <w:rPr>
          <w:lang w:val="en-US"/>
        </w:rPr>
      </w:pPr>
      <w:r>
        <w:rPr>
          <w:rStyle w:val="FootnoteReference"/>
        </w:rPr>
        <w:footnoteRef/>
      </w:r>
      <w:r>
        <w:t xml:space="preserve"> </w:t>
      </w:r>
      <w:r>
        <w:rPr>
          <w:lang w:val="en-US"/>
        </w:rPr>
        <w:t>Finn 2014: 391</w:t>
      </w:r>
      <w:r w:rsidR="00FC6E0A">
        <w:rPr>
          <w:lang w:val="en-US"/>
        </w:rPr>
        <w:t>; Curt. 5.1.19</w:t>
      </w:r>
      <w:r>
        <w:rPr>
          <w:lang w:val="en-US"/>
        </w:rPr>
        <w:t xml:space="preserve"> </w:t>
      </w:r>
    </w:p>
  </w:footnote>
  <w:footnote w:id="15">
    <w:p w14:paraId="48D12133" w14:textId="2EFE090D" w:rsidR="001D5C79" w:rsidRPr="001D5C79" w:rsidRDefault="001D5C79">
      <w:pPr>
        <w:pStyle w:val="FootnoteText"/>
        <w:rPr>
          <w:lang w:val="en-US"/>
        </w:rPr>
      </w:pPr>
      <w:r>
        <w:rPr>
          <w:rStyle w:val="FootnoteReference"/>
        </w:rPr>
        <w:footnoteRef/>
      </w:r>
      <w:r>
        <w:t xml:space="preserve"> </w:t>
      </w:r>
      <w:r>
        <w:rPr>
          <w:lang w:val="en-US"/>
        </w:rPr>
        <w:t>Brunt 1965: 205</w:t>
      </w:r>
    </w:p>
  </w:footnote>
  <w:footnote w:id="16">
    <w:p w14:paraId="1205F8DF" w14:textId="3DE20466" w:rsidR="004D0570" w:rsidRPr="004D0570" w:rsidRDefault="004D0570">
      <w:pPr>
        <w:pStyle w:val="FootnoteText"/>
        <w:rPr>
          <w:lang w:val="en-US"/>
        </w:rPr>
      </w:pPr>
      <w:r>
        <w:rPr>
          <w:rStyle w:val="FootnoteReference"/>
        </w:rPr>
        <w:footnoteRef/>
      </w:r>
      <w:r>
        <w:t xml:space="preserve"> </w:t>
      </w:r>
      <w:r>
        <w:rPr>
          <w:lang w:val="en-US"/>
        </w:rPr>
        <w:t>Brunt 1965: 205</w:t>
      </w:r>
    </w:p>
  </w:footnote>
  <w:footnote w:id="17">
    <w:p w14:paraId="3ADB77DC" w14:textId="4DCFE451" w:rsidR="009D494F" w:rsidRPr="009D494F" w:rsidRDefault="009D494F">
      <w:pPr>
        <w:pStyle w:val="FootnoteText"/>
        <w:rPr>
          <w:lang w:val="en-US"/>
        </w:rPr>
      </w:pPr>
      <w:r>
        <w:rPr>
          <w:rStyle w:val="FootnoteReference"/>
        </w:rPr>
        <w:footnoteRef/>
      </w:r>
      <w:r>
        <w:t xml:space="preserve"> </w:t>
      </w:r>
      <w:r>
        <w:rPr>
          <w:lang w:val="en-US"/>
        </w:rPr>
        <w:t xml:space="preserve">Arr. </w:t>
      </w:r>
      <w:r w:rsidR="00956B2C">
        <w:rPr>
          <w:lang w:val="en-US"/>
        </w:rPr>
        <w:t xml:space="preserve">Anab. </w:t>
      </w:r>
      <w:r>
        <w:rPr>
          <w:lang w:val="en-US"/>
        </w:rPr>
        <w:t>3.16.4</w:t>
      </w:r>
    </w:p>
  </w:footnote>
  <w:footnote w:id="18">
    <w:p w14:paraId="726C94EA" w14:textId="20BEEBAE" w:rsidR="006F6CF3" w:rsidRPr="006F6CF3" w:rsidRDefault="006F6CF3">
      <w:pPr>
        <w:pStyle w:val="FootnoteText"/>
        <w:rPr>
          <w:lang w:val="en-US"/>
        </w:rPr>
      </w:pPr>
      <w:r>
        <w:rPr>
          <w:rStyle w:val="FootnoteReference"/>
        </w:rPr>
        <w:footnoteRef/>
      </w:r>
      <w:r>
        <w:t xml:space="preserve"> </w:t>
      </w:r>
      <w:r>
        <w:rPr>
          <w:lang w:val="en-US"/>
        </w:rPr>
        <w:t>Finn 2014: 389</w:t>
      </w:r>
    </w:p>
  </w:footnote>
  <w:footnote w:id="19">
    <w:p w14:paraId="0AC936D5" w14:textId="3627BE03" w:rsidR="001E5AEA" w:rsidRPr="001E5AEA" w:rsidRDefault="001E5AEA">
      <w:pPr>
        <w:pStyle w:val="FootnoteText"/>
        <w:rPr>
          <w:lang w:val="en-US"/>
        </w:rPr>
      </w:pPr>
      <w:r>
        <w:rPr>
          <w:rStyle w:val="FootnoteReference"/>
        </w:rPr>
        <w:footnoteRef/>
      </w:r>
      <w:r>
        <w:t xml:space="preserve"> </w:t>
      </w:r>
      <w:r>
        <w:rPr>
          <w:lang w:val="en-US"/>
        </w:rPr>
        <w:t>Finn 2014: 391</w:t>
      </w:r>
    </w:p>
  </w:footnote>
  <w:footnote w:id="20">
    <w:p w14:paraId="1ADACB80" w14:textId="3B76D6A9" w:rsidR="00956B2C" w:rsidRPr="00956B2C" w:rsidRDefault="00956B2C">
      <w:pPr>
        <w:pStyle w:val="FootnoteText"/>
        <w:rPr>
          <w:lang w:val="en-US"/>
        </w:rPr>
      </w:pPr>
      <w:r>
        <w:rPr>
          <w:rStyle w:val="FootnoteReference"/>
        </w:rPr>
        <w:footnoteRef/>
      </w:r>
      <w:r>
        <w:t xml:space="preserve"> </w:t>
      </w:r>
      <w:r>
        <w:rPr>
          <w:lang w:val="en-US"/>
        </w:rPr>
        <w:t>Arr. Anab. 7.19.2</w:t>
      </w:r>
    </w:p>
  </w:footnote>
  <w:footnote w:id="21">
    <w:p w14:paraId="74C7E6C8" w14:textId="177D9900" w:rsidR="00805618" w:rsidRPr="00805618" w:rsidRDefault="00805618">
      <w:pPr>
        <w:pStyle w:val="FootnoteText"/>
        <w:rPr>
          <w:lang w:val="en-US"/>
        </w:rPr>
      </w:pPr>
      <w:r>
        <w:rPr>
          <w:rStyle w:val="FootnoteReference"/>
        </w:rPr>
        <w:footnoteRef/>
      </w:r>
      <w:r>
        <w:t xml:space="preserve"> </w:t>
      </w:r>
      <w:r>
        <w:rPr>
          <w:lang w:val="en-US"/>
        </w:rPr>
        <w:t>Paus. 1.8.5</w:t>
      </w:r>
    </w:p>
  </w:footnote>
  <w:footnote w:id="22">
    <w:p w14:paraId="7ED731FB" w14:textId="1331E941" w:rsidR="00DE311A" w:rsidRPr="00DE311A" w:rsidRDefault="00DE311A">
      <w:pPr>
        <w:pStyle w:val="FootnoteText"/>
        <w:rPr>
          <w:lang w:val="en-US"/>
        </w:rPr>
      </w:pPr>
      <w:r>
        <w:rPr>
          <w:rStyle w:val="FootnoteReference"/>
        </w:rPr>
        <w:footnoteRef/>
      </w:r>
      <w:r>
        <w:t xml:space="preserve"> </w:t>
      </w:r>
      <w:r>
        <w:rPr>
          <w:lang w:val="en-US"/>
        </w:rPr>
        <w:t>Finn 2014: 395</w:t>
      </w:r>
    </w:p>
  </w:footnote>
  <w:footnote w:id="23">
    <w:p w14:paraId="1912F89A" w14:textId="20A33599" w:rsidR="00287593" w:rsidRPr="00287593" w:rsidRDefault="00287593">
      <w:pPr>
        <w:pStyle w:val="FootnoteText"/>
        <w:rPr>
          <w:lang w:val="en-US"/>
        </w:rPr>
      </w:pPr>
      <w:r>
        <w:rPr>
          <w:rStyle w:val="FootnoteReference"/>
        </w:rPr>
        <w:footnoteRef/>
      </w:r>
      <w:r>
        <w:t xml:space="preserve"> </w:t>
      </w:r>
      <w:r>
        <w:rPr>
          <w:lang w:val="en-US"/>
        </w:rPr>
        <w:t>Cyrus Cylinder. 30-34</w:t>
      </w:r>
    </w:p>
  </w:footnote>
  <w:footnote w:id="24">
    <w:p w14:paraId="1FDC3027" w14:textId="3A7C6A34" w:rsidR="005A3D54" w:rsidRPr="005A3D54" w:rsidRDefault="005A3D54">
      <w:pPr>
        <w:pStyle w:val="FootnoteText"/>
        <w:rPr>
          <w:lang w:val="en-US"/>
        </w:rPr>
      </w:pPr>
      <w:r>
        <w:rPr>
          <w:rStyle w:val="FootnoteReference"/>
        </w:rPr>
        <w:footnoteRef/>
      </w:r>
      <w:r>
        <w:t xml:space="preserve"> </w:t>
      </w:r>
      <w:r>
        <w:rPr>
          <w:lang w:val="en-US"/>
        </w:rPr>
        <w:t>Finn 2014: 398</w:t>
      </w:r>
    </w:p>
  </w:footnote>
  <w:footnote w:id="25">
    <w:p w14:paraId="627C732E" w14:textId="3A8425A2" w:rsidR="001243A3" w:rsidRPr="001243A3" w:rsidRDefault="001243A3">
      <w:pPr>
        <w:pStyle w:val="FootnoteText"/>
        <w:rPr>
          <w:lang w:val="en-US"/>
        </w:rPr>
      </w:pPr>
      <w:r>
        <w:rPr>
          <w:rStyle w:val="FootnoteReference"/>
        </w:rPr>
        <w:footnoteRef/>
      </w:r>
      <w:r>
        <w:t xml:space="preserve"> </w:t>
      </w:r>
      <w:r>
        <w:rPr>
          <w:lang w:val="en-US"/>
        </w:rPr>
        <w:t>Cummings 1940: 53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563"/>
    <w:rsid w:val="00002E87"/>
    <w:rsid w:val="00005E42"/>
    <w:rsid w:val="00007BB7"/>
    <w:rsid w:val="00016550"/>
    <w:rsid w:val="00036EBE"/>
    <w:rsid w:val="0005442D"/>
    <w:rsid w:val="00090CD6"/>
    <w:rsid w:val="000912A1"/>
    <w:rsid w:val="000A5B23"/>
    <w:rsid w:val="000C2305"/>
    <w:rsid w:val="000C3468"/>
    <w:rsid w:val="000F0F79"/>
    <w:rsid w:val="00110728"/>
    <w:rsid w:val="001119EA"/>
    <w:rsid w:val="00114725"/>
    <w:rsid w:val="0012246C"/>
    <w:rsid w:val="001243A3"/>
    <w:rsid w:val="00127DB8"/>
    <w:rsid w:val="00137D72"/>
    <w:rsid w:val="00167B25"/>
    <w:rsid w:val="00196FB2"/>
    <w:rsid w:val="001C0AB3"/>
    <w:rsid w:val="001D53C1"/>
    <w:rsid w:val="001D5C79"/>
    <w:rsid w:val="001E5AEA"/>
    <w:rsid w:val="00214C17"/>
    <w:rsid w:val="00215AE6"/>
    <w:rsid w:val="00223D6D"/>
    <w:rsid w:val="002729F9"/>
    <w:rsid w:val="00287593"/>
    <w:rsid w:val="002916E1"/>
    <w:rsid w:val="00294847"/>
    <w:rsid w:val="002A479E"/>
    <w:rsid w:val="002C58A4"/>
    <w:rsid w:val="002E21E5"/>
    <w:rsid w:val="003023F7"/>
    <w:rsid w:val="003150FF"/>
    <w:rsid w:val="0038266F"/>
    <w:rsid w:val="003A5156"/>
    <w:rsid w:val="003B3310"/>
    <w:rsid w:val="003B68A6"/>
    <w:rsid w:val="003B69ED"/>
    <w:rsid w:val="00411823"/>
    <w:rsid w:val="0041507D"/>
    <w:rsid w:val="00420647"/>
    <w:rsid w:val="0042284B"/>
    <w:rsid w:val="004279B1"/>
    <w:rsid w:val="00434B02"/>
    <w:rsid w:val="004408C5"/>
    <w:rsid w:val="00447F26"/>
    <w:rsid w:val="00460D44"/>
    <w:rsid w:val="00470B34"/>
    <w:rsid w:val="00476A52"/>
    <w:rsid w:val="004B1317"/>
    <w:rsid w:val="004B20E6"/>
    <w:rsid w:val="004D0570"/>
    <w:rsid w:val="004D7DE1"/>
    <w:rsid w:val="004E4FC7"/>
    <w:rsid w:val="004E7B9D"/>
    <w:rsid w:val="004F3E71"/>
    <w:rsid w:val="00532DB9"/>
    <w:rsid w:val="0057087B"/>
    <w:rsid w:val="005A18A2"/>
    <w:rsid w:val="005A3D54"/>
    <w:rsid w:val="005B3CF4"/>
    <w:rsid w:val="005E3B05"/>
    <w:rsid w:val="005F4A13"/>
    <w:rsid w:val="006240DB"/>
    <w:rsid w:val="00626EB0"/>
    <w:rsid w:val="0064319B"/>
    <w:rsid w:val="00671671"/>
    <w:rsid w:val="00676519"/>
    <w:rsid w:val="0068312B"/>
    <w:rsid w:val="006864E4"/>
    <w:rsid w:val="00695F86"/>
    <w:rsid w:val="006C265E"/>
    <w:rsid w:val="006E2580"/>
    <w:rsid w:val="006E757F"/>
    <w:rsid w:val="006F6CF3"/>
    <w:rsid w:val="00705F83"/>
    <w:rsid w:val="007307A1"/>
    <w:rsid w:val="00730986"/>
    <w:rsid w:val="00734BC2"/>
    <w:rsid w:val="00753A35"/>
    <w:rsid w:val="007574A4"/>
    <w:rsid w:val="0078479E"/>
    <w:rsid w:val="00787457"/>
    <w:rsid w:val="0079643B"/>
    <w:rsid w:val="00803DC9"/>
    <w:rsid w:val="00805618"/>
    <w:rsid w:val="00811AE1"/>
    <w:rsid w:val="00843A2B"/>
    <w:rsid w:val="008572EC"/>
    <w:rsid w:val="00861DD2"/>
    <w:rsid w:val="00870575"/>
    <w:rsid w:val="00872E0C"/>
    <w:rsid w:val="00885CBA"/>
    <w:rsid w:val="008C0E37"/>
    <w:rsid w:val="008D7A46"/>
    <w:rsid w:val="00904682"/>
    <w:rsid w:val="0090743E"/>
    <w:rsid w:val="00925B43"/>
    <w:rsid w:val="00943BB8"/>
    <w:rsid w:val="0094568B"/>
    <w:rsid w:val="00956B2C"/>
    <w:rsid w:val="009571CE"/>
    <w:rsid w:val="00977BEE"/>
    <w:rsid w:val="00986607"/>
    <w:rsid w:val="009A4215"/>
    <w:rsid w:val="009B0398"/>
    <w:rsid w:val="009D3B35"/>
    <w:rsid w:val="009D494F"/>
    <w:rsid w:val="009E1EE0"/>
    <w:rsid w:val="00A1113C"/>
    <w:rsid w:val="00A32FC4"/>
    <w:rsid w:val="00A54D48"/>
    <w:rsid w:val="00A60670"/>
    <w:rsid w:val="00A85E1B"/>
    <w:rsid w:val="00AA70ED"/>
    <w:rsid w:val="00AB131A"/>
    <w:rsid w:val="00AB4A7B"/>
    <w:rsid w:val="00AD314B"/>
    <w:rsid w:val="00AF4285"/>
    <w:rsid w:val="00B006C7"/>
    <w:rsid w:val="00B04FB8"/>
    <w:rsid w:val="00B12759"/>
    <w:rsid w:val="00B2122E"/>
    <w:rsid w:val="00BA585C"/>
    <w:rsid w:val="00BC06C5"/>
    <w:rsid w:val="00BC085B"/>
    <w:rsid w:val="00BE19FB"/>
    <w:rsid w:val="00C06933"/>
    <w:rsid w:val="00C16D5D"/>
    <w:rsid w:val="00C2591B"/>
    <w:rsid w:val="00C316A5"/>
    <w:rsid w:val="00C42E67"/>
    <w:rsid w:val="00C56AD8"/>
    <w:rsid w:val="00C82EF4"/>
    <w:rsid w:val="00CC0C19"/>
    <w:rsid w:val="00CE0496"/>
    <w:rsid w:val="00CF111D"/>
    <w:rsid w:val="00D02B8B"/>
    <w:rsid w:val="00D42563"/>
    <w:rsid w:val="00D47966"/>
    <w:rsid w:val="00D92F2E"/>
    <w:rsid w:val="00DC2DE6"/>
    <w:rsid w:val="00DD7A81"/>
    <w:rsid w:val="00DE311A"/>
    <w:rsid w:val="00DF5A3B"/>
    <w:rsid w:val="00DF5DAF"/>
    <w:rsid w:val="00E0247F"/>
    <w:rsid w:val="00E0382F"/>
    <w:rsid w:val="00E17078"/>
    <w:rsid w:val="00E63149"/>
    <w:rsid w:val="00E67F40"/>
    <w:rsid w:val="00E71E75"/>
    <w:rsid w:val="00E73B9D"/>
    <w:rsid w:val="00EB5107"/>
    <w:rsid w:val="00ED34B6"/>
    <w:rsid w:val="00ED382E"/>
    <w:rsid w:val="00EE3404"/>
    <w:rsid w:val="00F14102"/>
    <w:rsid w:val="00F40401"/>
    <w:rsid w:val="00F64123"/>
    <w:rsid w:val="00FC6E0A"/>
    <w:rsid w:val="00FD23CD"/>
    <w:rsid w:val="00FD3971"/>
    <w:rsid w:val="00FD564A"/>
    <w:rsid w:val="00FF0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E72CB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E7B9D"/>
  </w:style>
  <w:style w:type="character" w:customStyle="1" w:styleId="FootnoteTextChar">
    <w:name w:val="Footnote Text Char"/>
    <w:basedOn w:val="DefaultParagraphFont"/>
    <w:link w:val="FootnoteText"/>
    <w:uiPriority w:val="99"/>
    <w:rsid w:val="004E7B9D"/>
    <w:rPr>
      <w:lang w:val="en-GB"/>
    </w:rPr>
  </w:style>
  <w:style w:type="character" w:styleId="FootnoteReference">
    <w:name w:val="footnote reference"/>
    <w:basedOn w:val="DefaultParagraphFont"/>
    <w:uiPriority w:val="99"/>
    <w:unhideWhenUsed/>
    <w:rsid w:val="004E7B9D"/>
    <w:rPr>
      <w:vertAlign w:val="superscript"/>
    </w:rPr>
  </w:style>
  <w:style w:type="character" w:styleId="Hyperlink">
    <w:name w:val="Hyperlink"/>
    <w:basedOn w:val="DefaultParagraphFont"/>
    <w:uiPriority w:val="99"/>
    <w:unhideWhenUsed/>
    <w:rsid w:val="00D02B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britishmuseum.org/research/collection_online/collection_object_details.aspx?objectId=327188&amp;partId=1" TargetMode="External"/><Relationship Id="rId7" Type="http://schemas.openxmlformats.org/officeDocument/2006/relationships/hyperlink" Target="https://referenceworks-brillonline-com.ezproxy.uwtsd.ac.uk/entries/brill-s-new-pauly/aristogiton-e135840?s.num=1&amp;s.f.s2_parent=s.f.book.brill-s-new-pauly&amp;s.q=harmodius" TargetMode="External"/><Relationship Id="rId8" Type="http://schemas.openxmlformats.org/officeDocument/2006/relationships/hyperlink" Target="https://referenceworks-brillonline-com.ezproxy.uwtsd.ac.uk/entries/brill-s-new-pauly/harmodius-e503460?s.num=0&amp;s.f.s2_parent=s.f.book.brill-s-new-pauly&amp;s.q=harmodius"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6</Pages>
  <Words>2248</Words>
  <Characters>12815</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Kinnicutt</dc:creator>
  <cp:keywords/>
  <dc:description/>
  <cp:lastModifiedBy>Jordan Kinnicutt</cp:lastModifiedBy>
  <cp:revision>318</cp:revision>
  <dcterms:created xsi:type="dcterms:W3CDTF">2019-07-19T16:37:00Z</dcterms:created>
  <dcterms:modified xsi:type="dcterms:W3CDTF">2019-07-19T22:46:00Z</dcterms:modified>
</cp:coreProperties>
</file>