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body>
    <w:p w:rsidR="00000000" w:rsidDel="00000000" w:rsidP="00000000" w:rsidRDefault="00000000" w:rsidRPr="00000000">
      <w:pPr>
        <w:contextualSpacing w:val="0"/>
        <w:jc w:val="center"/>
        <w:rPr>
          <w:sz w:val="24"/>
          <w:szCs w:val="24"/>
          <w:u w:val="single"/>
        </w:rPr>
      </w:pPr>
      <w:r w:rsidDel="00000000" w:rsidR="00000000" w:rsidRPr="00000000">
        <w:rPr>
          <w:sz w:val="24"/>
          <w:szCs w:val="24"/>
          <w:u w:val="single"/>
          <w:rtl w:val="0"/>
        </w:rPr>
        <w:t xml:space="preserve">Evaluation of the law in relation non-fatal offences</w:t>
      </w:r>
    </w:p>
    <w:p w:rsidR="00000000" w:rsidDel="00000000" w:rsidP="00000000" w:rsidRDefault="00000000" w:rsidRPr="00000000">
      <w:pPr>
        <w:contextualSpacing w:val="0"/>
        <w:rPr>
          <w:sz w:val="24"/>
          <w:szCs w:val="24"/>
        </w:rPr>
      </w:pPr>
      <w:r w:rsidDel="00000000" w:rsidR="00000000" w:rsidRPr="00000000">
        <w:rPr>
          <w:sz w:val="24"/>
          <w:szCs w:val="24"/>
          <w:rtl w:val="0"/>
        </w:rPr>
        <w:t xml:space="preserve">This essay will look to evaluate and will also determine if the law for non-fatal offences against the person should be reformed. “The legislation is out of date and in some areas obsolete; new ways of offending are not adequately </w:t>
      </w:r>
      <w:r w:rsidDel="00000000" w:rsidR="00000000" w:rsidRPr="00000000">
        <w:rPr>
          <w:sz w:val="24"/>
          <w:szCs w:val="24"/>
          <w:rtl w:val="0"/>
        </w:rPr>
        <w:t xml:space="preserve">captured</w:t>
      </w:r>
      <w:r w:rsidDel="00000000" w:rsidR="00000000" w:rsidRPr="00000000">
        <w:rPr>
          <w:sz w:val="24"/>
          <w:szCs w:val="24"/>
          <w:rtl w:val="0"/>
        </w:rPr>
        <w:t xml:space="preserve">.” (Ormerod 2015, p.6)</w:t>
      </w:r>
    </w:p>
    <w:p w:rsidR="00000000" w:rsidDel="00000000" w:rsidP="00000000" w:rsidRDefault="00000000" w:rsidRPr="00000000">
      <w:pPr>
        <w:contextualSpacing w:val="0"/>
        <w:rPr>
          <w:sz w:val="24"/>
          <w:szCs w:val="24"/>
        </w:rPr>
      </w:pPr>
      <w:r w:rsidDel="00000000" w:rsidR="00000000" w:rsidRPr="00000000">
        <w:rPr>
          <w:sz w:val="24"/>
          <w:szCs w:val="24"/>
          <w:rtl w:val="0"/>
        </w:rPr>
        <w:t xml:space="preserve">In this essay, the format will be what is the current law and how it was created. The reasons why the law should be reformed and this essay will also give reasons why the law should not be changed. This essay will then give its conclusions on if the law should be reformed or if the law should not be changed.</w:t>
      </w:r>
    </w:p>
    <w:p w:rsidR="00000000" w:rsidDel="00000000" w:rsidP="00000000" w:rsidRDefault="00000000" w:rsidRPr="00000000">
      <w:pPr>
        <w:contextualSpacing w:val="0"/>
        <w:rPr>
          <w:sz w:val="24"/>
          <w:szCs w:val="24"/>
        </w:rPr>
      </w:pPr>
      <w:r w:rsidDel="00000000" w:rsidR="00000000" w:rsidRPr="00000000">
        <w:rPr>
          <w:sz w:val="24"/>
          <w:szCs w:val="24"/>
          <w:rtl w:val="0"/>
        </w:rPr>
        <w:t xml:space="preserve">There are two current acts that govern non-fatal offences in the United Kingdom and these are stated by John Child (2017) Offences Against a Person act of 1861 and section 39 of the Criminal Justice Act 1988. The sections that cover non fatal offences against a person are section 18, which is to cause with intention to harm a person or to cause grievous bodily harm. Section 20 is to wound or cause grievous bodily harm with or without a weapon. The last section of this act that covers non fatal offences against a person is section 47 that is assault which leads to actual bodily harm. John Child (2017) also states that the crimes of assault and battery stated in section 39 of the Criminal Justice Act 1988 are actually defined in common law.</w:t>
      </w:r>
    </w:p>
    <w:p w:rsidR="00000000" w:rsidDel="00000000" w:rsidP="00000000" w:rsidRDefault="00000000" w:rsidRPr="00000000">
      <w:pPr>
        <w:contextualSpacing w:val="0"/>
        <w:rPr>
          <w:sz w:val="24"/>
          <w:szCs w:val="24"/>
        </w:rPr>
      </w:pPr>
      <w:r w:rsidDel="00000000" w:rsidR="00000000" w:rsidRPr="00000000">
        <w:rPr>
          <w:sz w:val="24"/>
          <w:szCs w:val="24"/>
          <w:rtl w:val="0"/>
        </w:rPr>
        <w:t xml:space="preserve">Majority of academics believe that the Offences Against Person act is out of date and is not easy to understand. In 2014 the government asked the Law Commission to write a report to determine if the act needed changing. The report was done by David Ormerod and was finished in 2015. David Ormerod (2015) states in his report that the hierarchy of the offences is incorrect, for example David Ormerod (2015) argues that crimes with different seriousness have the same maximum prison sentence. This can be shown for for grievous bodily harm and actual bodily harm which both have a maximum of five years despite the fact that grievous bodily harm is a more serious offence. David Ormerod (2015, p.5) claims that “drafted in obscure and archaic language which should have no place in a criminal trial in the 21st century.”  </w:t>
      </w:r>
    </w:p>
    <w:p w:rsidR="00000000" w:rsidDel="00000000" w:rsidP="00000000" w:rsidRDefault="00000000" w:rsidRPr="00000000">
      <w:pPr>
        <w:contextualSpacing w:val="0"/>
        <w:rPr>
          <w:sz w:val="24"/>
          <w:szCs w:val="24"/>
        </w:rPr>
      </w:pPr>
      <w:r w:rsidDel="00000000" w:rsidR="00000000" w:rsidRPr="00000000">
        <w:rPr>
          <w:sz w:val="24"/>
          <w:szCs w:val="24"/>
          <w:rtl w:val="0"/>
        </w:rPr>
        <w:t xml:space="preserve">The Criminal Bar Association (2015) on the other hand disagrees with the Law commission view that the language was old fashioned and they believe that this view is confined to academics. The Bar Council (2015) admit that the act uses old fashioned words but they believe go on to say that courts do interpret those old fashioned words into their modern day equivalent. The Bar Council (2015) refer to the case of Regina vs Burstow vs Ireland of 1997. The Independent (1997) mentions what happened in this case was a woman was sent either silent phone calls or phone calls with abusive language from an ex partner. These actions caused the women to be diagnosed with severe depressive illness. Burstow was committed with the offence of section 20 of the Offences against a person act of 1861. Mr Burstow try to appeal the sentencing to the Court of Appeal, who stayed with the original sentence.  </w:t>
      </w:r>
    </w:p>
    <w:p w:rsidR="00000000" w:rsidDel="00000000" w:rsidP="00000000" w:rsidRDefault="00000000" w:rsidRPr="00000000">
      <w:pPr>
        <w:contextualSpacing w:val="0"/>
        <w:rPr>
          <w:sz w:val="24"/>
          <w:szCs w:val="24"/>
        </w:rPr>
      </w:pPr>
      <w:r w:rsidDel="00000000" w:rsidR="00000000" w:rsidRPr="00000000">
        <w:rPr>
          <w:sz w:val="24"/>
          <w:szCs w:val="24"/>
          <w:rtl w:val="0"/>
        </w:rPr>
        <w:t xml:space="preserve">This case was then sent to the House of Lords (1997) who agreed with the courts that psychiatric injury can be counted as an offence under the sections 18,20 and 47. The House of Lords (1997) also went on to mention that section 20 could be committed either with direct force to the body or be indirect. The House of Lords (1997) also state that silent phone calls could be counted as an assault under the section 47 of the 1861 act.   </w:t>
      </w:r>
    </w:p>
    <w:p w:rsidR="00000000" w:rsidDel="00000000" w:rsidP="00000000" w:rsidRDefault="00000000" w:rsidRPr="00000000">
      <w:pPr>
        <w:contextualSpacing w:val="0"/>
        <w:rPr>
          <w:sz w:val="24"/>
          <w:szCs w:val="24"/>
        </w:rPr>
      </w:pPr>
      <w:r w:rsidDel="00000000" w:rsidR="00000000" w:rsidRPr="00000000">
        <w:rPr>
          <w:sz w:val="24"/>
          <w:szCs w:val="24"/>
          <w:rtl w:val="0"/>
        </w:rPr>
        <w:t xml:space="preserve">The Law Commission report mentions that there are two ways of prosecuting under the act. The first option that David Ormerod (2015) mentions is to charge an offender with the lowest level offence so that the trial can be short and fast without the need to label that the offender has caused actual injury. The second opinion that David Ormerod (2015) state is to charge an offender with the offence that reflects the harm the offender had caused with their action. The obstacle this option would cause is that the cases would more likely have to go to the Crown Court which would be more expensive and take more time and this option would be needless for less serious cases as the highest sentence given for these cases can be dealt with in the Magistrate’s court. </w:t>
      </w:r>
    </w:p>
    <w:p w:rsidR="00000000" w:rsidDel="00000000" w:rsidP="00000000" w:rsidRDefault="00000000" w:rsidRPr="00000000">
      <w:pPr>
        <w:contextualSpacing w:val="0"/>
        <w:rPr>
          <w:sz w:val="24"/>
          <w:szCs w:val="24"/>
        </w:rPr>
      </w:pPr>
      <w:r w:rsidDel="00000000" w:rsidR="00000000" w:rsidRPr="00000000">
        <w:rPr>
          <w:sz w:val="24"/>
          <w:szCs w:val="24"/>
          <w:rtl w:val="0"/>
        </w:rPr>
        <w:t xml:space="preserve">David Ormerod (2015) recommends that to get around this particular scenario would be to introduce a new offence of aggravated assault that would be triable in the Magistrate’s court and this new offence would have a maximum sentence of 12 months but on the other hand, Stavros Demetriou (2016) disagrees with adding a new offence of aggravated assault because this could potentially cause more doubt because it would add a new offence to an already complicated hierarchy under the current law. Stavros Demetriou (2016) also mentions that prosecutors will have to distinguish between common assault and the new aggravated assault. </w:t>
      </w:r>
    </w:p>
    <w:p w:rsidR="00000000" w:rsidDel="00000000" w:rsidP="00000000" w:rsidRDefault="00000000" w:rsidRPr="00000000">
      <w:pPr>
        <w:contextualSpacing w:val="0"/>
        <w:rPr>
          <w:sz w:val="24"/>
          <w:szCs w:val="24"/>
        </w:rPr>
      </w:pPr>
      <w:r w:rsidDel="00000000" w:rsidR="00000000" w:rsidRPr="00000000">
        <w:rPr>
          <w:sz w:val="24"/>
          <w:szCs w:val="24"/>
          <w:rtl w:val="0"/>
        </w:rPr>
        <w:t xml:space="preserve">The prosecutors would also have to create a distinction between aggravated assault and actual bodily harm, the latter Stavros Demetriou (2016) says will be difficult. The author also believes that the new offence “would render s. 47 effectively redundant” (Stavros Demetriou 2016, p.193). He fears that the Crown Prosecution Service would favour the aggravated assault offence because they would not have to go through a full trial at the Crown Court. He also mentions that this could cause a new gap between the offence stated in section 20 of the Offence Against a Person act and the intermediary </w:t>
      </w:r>
      <w:r w:rsidDel="00000000" w:rsidR="00000000" w:rsidRPr="00000000">
        <w:rPr>
          <w:sz w:val="24"/>
          <w:szCs w:val="24"/>
          <w:rtl w:val="0"/>
        </w:rPr>
        <w:t xml:space="preserve">offences</w:t>
      </w:r>
      <w:r w:rsidDel="00000000" w:rsidR="00000000" w:rsidRPr="00000000">
        <w:rPr>
          <w:sz w:val="24"/>
          <w:szCs w:val="24"/>
          <w:rtl w:val="0"/>
        </w:rPr>
        <w:t xml:space="preserve">.   </w:t>
      </w:r>
    </w:p>
    <w:p w:rsidR="00000000" w:rsidDel="00000000" w:rsidP="00000000" w:rsidRDefault="00000000" w:rsidRPr="00000000">
      <w:pPr>
        <w:contextualSpacing w:val="0"/>
        <w:rPr>
          <w:sz w:val="24"/>
          <w:szCs w:val="24"/>
        </w:rPr>
      </w:pPr>
      <w:r w:rsidDel="00000000" w:rsidR="00000000" w:rsidRPr="00000000">
        <w:rPr>
          <w:sz w:val="24"/>
          <w:szCs w:val="24"/>
          <w:rtl w:val="0"/>
        </w:rPr>
        <w:t xml:space="preserve">The law commission believe that any reform into legislation governing non violent offences against a person should be based on the Home Office’s draft bill of 1998. Karl Laird (2017) mentions that the government at the time did not understand the importance of such a draft being passed. In the law commission report, David Ormerod (2015) express that the draft bill had a hierarchy of offences against a person in plain English. The author also states that the draft bill also follows the same problem as the Offences against a person act of 1861, in that there is a vast gap between the lowest offence of assault which is currently common assault that has a maximum sentence of 6 months and the next offence of assault which is assault occasioning bodily harm that currently has a maximum sentence of 5 years. </w:t>
      </w:r>
    </w:p>
    <w:p w:rsidR="00000000" w:rsidDel="00000000" w:rsidP="00000000" w:rsidRDefault="00000000" w:rsidRPr="00000000">
      <w:pPr>
        <w:contextualSpacing w:val="0"/>
        <w:rPr>
          <w:sz w:val="24"/>
          <w:szCs w:val="24"/>
        </w:rPr>
      </w:pPr>
      <w:r w:rsidDel="00000000" w:rsidR="00000000" w:rsidRPr="00000000">
        <w:rPr>
          <w:sz w:val="24"/>
          <w:szCs w:val="24"/>
          <w:rtl w:val="0"/>
        </w:rPr>
        <w:t xml:space="preserve">While making their report for reform of the current law the law commission sent a consultation questionnaire to academics and organisation with the relevant knowledge of criminal law. David Ormerod (2015) states that out of 32 respondents who had views on the reform of the current law, 28 agreed with the commission that it needed changing. Out of those 28 respondents only 27 agreed with the commission that the Offences against a person act should be replaced by a new law. The only person to disagree was Sally Rampage who is an editor and author of numerous books about criminal law. The author states that Sally Rampage did not give her reasons for saying no. In the report, David Ormerod (2015) mentions that the Lord Chief Justice said of basing reform on the draft bill of 1998, that it was a good version to base any new legislation on and that the draft bill had a strong base for overdue reform in this area of criminal law.</w:t>
      </w:r>
    </w:p>
    <w:p w:rsidR="00000000" w:rsidDel="00000000" w:rsidP="00000000" w:rsidRDefault="00000000" w:rsidRPr="00000000">
      <w:pPr>
        <w:contextualSpacing w:val="0"/>
        <w:rPr>
          <w:sz w:val="24"/>
          <w:szCs w:val="24"/>
        </w:rPr>
      </w:pPr>
      <w:r w:rsidDel="00000000" w:rsidR="00000000" w:rsidRPr="00000000">
        <w:rPr>
          <w:sz w:val="24"/>
          <w:szCs w:val="24"/>
          <w:rtl w:val="0"/>
        </w:rPr>
        <w:t xml:space="preserve">One of the respondents to the consultation questionnaire was the Bar Council, the Bar council represents barristers in England and Wales. In their response the Bar Council (2015) agreed with the law commission that the Home Office draft of 1998 would be a good starting place if there is going to be a change to the current legislation. </w:t>
      </w:r>
    </w:p>
    <w:p w:rsidR="00000000" w:rsidDel="00000000" w:rsidP="00000000" w:rsidRDefault="00000000" w:rsidRPr="00000000">
      <w:pPr>
        <w:contextualSpacing w:val="0"/>
        <w:rPr>
          <w:sz w:val="24"/>
          <w:szCs w:val="24"/>
        </w:rPr>
      </w:pPr>
      <w:r w:rsidDel="00000000" w:rsidR="00000000" w:rsidRPr="00000000">
        <w:rPr>
          <w:sz w:val="24"/>
          <w:szCs w:val="24"/>
          <w:rtl w:val="0"/>
        </w:rPr>
        <w:t xml:space="preserve">On the other hand the Council of District Judges for the Magistrate’s court say that the draft bill of 1998 is more latter than the Offences against the Person act 1861 but at the time of the report the draft bill was 17 years old and they believe that it should be redrafted for use in the 21st century. </w:t>
      </w:r>
    </w:p>
    <w:p w:rsidR="00000000" w:rsidDel="00000000" w:rsidP="00000000" w:rsidRDefault="00000000" w:rsidRPr="00000000">
      <w:pPr>
        <w:contextualSpacing w:val="0"/>
        <w:rPr>
          <w:sz w:val="24"/>
          <w:szCs w:val="24"/>
        </w:rPr>
      </w:pPr>
      <w:r w:rsidDel="00000000" w:rsidR="00000000" w:rsidRPr="00000000">
        <w:rPr>
          <w:sz w:val="24"/>
          <w:szCs w:val="24"/>
          <w:rtl w:val="0"/>
        </w:rPr>
        <w:t xml:space="preserve">The Law Commission also asked in the consultation should assault and battery be replaced with either a new single offence or be two separate offences. David Ormerod (2015) states that they ask the consultation two question, the first question they asked was should the offences of assault and battery be a part of reform for offences against a person. The second question asked the consultation should assault and battery be one offence or two. The opinion received for the first question was in general agreement that there should be reform in this area of criminal law. Only Sally Rampage and the Criminal Bar Association suggested that there shouldn’t be reform in this area. The Criminal Bar Association (2015) state that they feel there was no need of reform to this area and they again refer to the case of Regina vs Burstow vs Ireland of 1997. </w:t>
      </w:r>
    </w:p>
    <w:p w:rsidR="00000000" w:rsidDel="00000000" w:rsidP="00000000" w:rsidRDefault="00000000" w:rsidRPr="00000000">
      <w:pPr>
        <w:contextualSpacing w:val="0"/>
        <w:rPr>
          <w:sz w:val="24"/>
          <w:szCs w:val="24"/>
        </w:rPr>
      </w:pPr>
      <w:r w:rsidDel="00000000" w:rsidR="00000000" w:rsidRPr="00000000">
        <w:rPr>
          <w:sz w:val="24"/>
          <w:szCs w:val="24"/>
          <w:rtl w:val="0"/>
        </w:rPr>
        <w:t xml:space="preserve">David Ormerod (2015) states in the Law commissons report that 18 respondents of the consultation favored two separate offences when asked the second question regarding assault and battery. The author also states that 5 respondents prefered that one offence can be committed in two ways. One of the organisations that favored the two separate offences was the Magistrates Association who said that currently some defendants plead not guilty because they get confused with the phrase of assault and the association feel that this would still be the case if there was a single offence. The London Criminal Courts Solicitors’ Association favored a single offence because if they are separated it would mean that there would be more prosecutions and would cause more congestion in the justice system. </w:t>
      </w:r>
    </w:p>
    <w:p w:rsidR="00000000" w:rsidDel="00000000" w:rsidP="00000000" w:rsidRDefault="00000000" w:rsidRPr="00000000">
      <w:pPr>
        <w:contextualSpacing w:val="0"/>
        <w:rPr>
          <w:sz w:val="24"/>
          <w:szCs w:val="24"/>
        </w:rPr>
      </w:pPr>
      <w:r w:rsidDel="00000000" w:rsidR="00000000" w:rsidRPr="00000000">
        <w:rPr>
          <w:sz w:val="24"/>
          <w:szCs w:val="24"/>
          <w:rtl w:val="0"/>
        </w:rPr>
        <w:t xml:space="preserve">The Bar Council (2015) on the other hand believe that the criminal offence of common assault should be abolished because the offence overlaps with the offence outlined in section 4 of the Public Order Act of 1986. The Bar Council (2015) do state that this isn’t a firm view and if this course of action took place, then the  Bar Council would take the time to contemplate the implications of the various courses that are proposed.  </w:t>
      </w:r>
    </w:p>
    <w:p w:rsidR="00000000" w:rsidDel="00000000" w:rsidP="00000000" w:rsidRDefault="00000000" w:rsidRPr="00000000">
      <w:pPr>
        <w:contextualSpacing w:val="0"/>
        <w:rPr>
          <w:sz w:val="24"/>
          <w:szCs w:val="24"/>
        </w:rPr>
      </w:pPr>
      <w:r w:rsidDel="00000000" w:rsidR="00000000" w:rsidRPr="00000000">
        <w:rPr>
          <w:sz w:val="24"/>
          <w:szCs w:val="24"/>
          <w:rtl w:val="0"/>
        </w:rPr>
        <w:t xml:space="preserve">Michael Jefferson (2012) states that there is a chance of redrafting sections 18, 20 and 47. These sections would be redrafted into modern language, an example of this would be section 47 which is assualt that can cause actual bodily harm which would be redrafted as an offence that causes harm but is not serious. Michael Jefferson (2012) bases his information of an early draft bill that was written in 1993 by the Law Commission. The other two offences were the offence of very serious injury and an offence of serious harm but the cause of the injury wasn’t very serious. The draft bill of 1993 would be the basis of the Home Office’s draft bill in 1998.</w:t>
      </w:r>
    </w:p>
    <w:p w:rsidR="00000000" w:rsidDel="00000000" w:rsidP="00000000" w:rsidRDefault="00000000" w:rsidRPr="00000000">
      <w:pPr>
        <w:contextualSpacing w:val="0"/>
        <w:rPr>
          <w:sz w:val="24"/>
          <w:szCs w:val="24"/>
        </w:rPr>
      </w:pPr>
      <w:r w:rsidDel="00000000" w:rsidR="00000000" w:rsidRPr="00000000">
        <w:rPr>
          <w:sz w:val="24"/>
          <w:szCs w:val="24"/>
          <w:rtl w:val="0"/>
        </w:rPr>
        <w:t xml:space="preserve">The conclusion of this essay is that the Offences Against the Person act 1861 should be reformed. The research shows that the current act is outdated in terms of the language it uses and the offences it outlines in its sections are also out of date. The Law Commission state in their report that any future reform of this act should be based on the Home Office draft bill of 1998. The Law Commission report also shows that there is still some debate about some areas of criminal law that could be reformed an example of this would be assault and battery becoming either a single offence or be two separate offences. </w:t>
      </w:r>
    </w:p>
    <w:p w:rsidR="00000000" w:rsidDel="00000000" w:rsidP="00000000" w:rsidRDefault="00000000" w:rsidRPr="00000000">
      <w:pPr>
        <w:contextualSpacing w:val="0"/>
        <w:rPr>
          <w:sz w:val="24"/>
          <w:szCs w:val="24"/>
        </w:rPr>
      </w:pPr>
      <w:r w:rsidDel="00000000" w:rsidR="00000000" w:rsidRPr="00000000">
        <w:rPr>
          <w:sz w:val="24"/>
          <w:szCs w:val="24"/>
          <w:rtl w:val="0"/>
        </w:rPr>
        <w:t xml:space="preserve"> </w:t>
      </w:r>
    </w:p>
    <w:p w:rsidR="00000000" w:rsidDel="00000000" w:rsidP="00000000" w:rsidRDefault="00000000" w:rsidRPr="00000000">
      <w:pPr>
        <w:contextualSpacing w:val="0"/>
        <w:rPr>
          <w:sz w:val="24"/>
          <w:szCs w:val="24"/>
        </w:rPr>
      </w:pPr>
      <w:r w:rsidDel="00000000" w:rsidR="00000000" w:rsidRPr="00000000">
        <w:rPr>
          <w:rtl w:val="0"/>
        </w:rPr>
      </w:r>
    </w:p>
    <w:p w:rsidR="00000000" w:rsidDel="00000000" w:rsidP="00000000" w:rsidRDefault="00000000" w:rsidRPr="00000000">
      <w:pPr>
        <w:contextualSpacing w:val="0"/>
        <w:rPr>
          <w:sz w:val="24"/>
          <w:szCs w:val="24"/>
        </w:rPr>
      </w:pPr>
      <w:r w:rsidDel="00000000" w:rsidR="00000000" w:rsidRPr="00000000">
        <w:rPr>
          <w:sz w:val="24"/>
          <w:szCs w:val="24"/>
          <w:rtl w:val="0"/>
        </w:rPr>
        <w:t xml:space="preserve">     </w:t>
      </w:r>
    </w:p>
    <w:p w:rsidR="00000000" w:rsidDel="00000000" w:rsidP="00000000" w:rsidRDefault="00000000" w:rsidRPr="00000000">
      <w:pPr>
        <w:contextualSpacing w:val="0"/>
        <w:rPr>
          <w:sz w:val="24"/>
          <w:szCs w:val="24"/>
        </w:rPr>
      </w:pPr>
      <w:r w:rsidDel="00000000" w:rsidR="00000000" w:rsidRPr="00000000">
        <w:rPr>
          <w:sz w:val="24"/>
          <w:szCs w:val="24"/>
          <w:rtl w:val="0"/>
        </w:rPr>
        <w:t xml:space="preserve"> </w:t>
      </w:r>
    </w:p>
    <w:p w:rsidR="00000000" w:rsidDel="00000000" w:rsidP="00000000" w:rsidRDefault="00000000" w:rsidRPr="00000000">
      <w:pPr>
        <w:contextualSpacing w:val="0"/>
        <w:rPr>
          <w:sz w:val="24"/>
          <w:szCs w:val="24"/>
        </w:rPr>
      </w:pPr>
      <w:r w:rsidDel="00000000" w:rsidR="00000000" w:rsidRPr="00000000">
        <w:rPr>
          <w:rtl w:val="0"/>
        </w:rPr>
      </w:r>
    </w:p>
    <w:sectPr>
      <w:headerReference r:id="rId5" w:type="default"/>
      <w:pgSz w:h="15840" w:w="12240"/>
      <w:pgMar w:bottom="1440" w:top="1440" w:left="1440" w:right="1440" w:head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p w:rsidR="00000000" w:rsidDel="00000000" w:rsidP="00000000" w:rsidRDefault="00000000" w:rsidRPr="00000000">
    <w:pPr>
      <w:contextualSpacing w:val="0"/>
      <w:rPr/>
    </w:pPr>
    <w:r w:rsidDel="00000000" w:rsidR="00000000" w:rsidRPr="00000000">
      <w:rPr>
        <w:rtl w:val="0"/>
      </w:rPr>
      <w:t xml:space="preserve">Andrew James </w:t>
      <w:tab/>
      <w:tab/>
      <w:tab/>
      <w:t xml:space="preserve">Criminal law essay</w:t>
      <w:tab/>
      <w:tab/>
      <w:tab/>
      <w:tab/>
      <w:t xml:space="preserve">Laura Knight</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efaultTabStop w:val="720"/>
  <w:compat>
    <w:compatSetting w:val="14" w:name="compatibilityMode" w:uri="http://schemas.microsoft.com/office/word"/>
  </w:compa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ocDefaults>
    <w:rPrDefault>
      <w:rPr>
        <w:rFonts w:ascii="Arial" w:cs="Arial" w:eastAsia="Arial" w:hAnsi="Arial"/>
        <w:b w:val="0"/>
        <w:i w:val="0"/>
        <w:smallCaps w:val="0"/>
        <w:strike w:val="0"/>
        <w:color w:val="000000"/>
        <w:sz w:val="22"/>
        <w:szCs w:val="22"/>
        <w:u w:val="none"/>
        <w:shd w:fill="auto" w:val="clear"/>
        <w:vertAlign w:val="baseline"/>
        <w:lang w:val="en"/>
      </w:rPr>
    </w:rPrDefault>
    <w:pPrDefault>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numbering" Target="numbering.xml"/><Relationship Id="rId4" Type="http://schemas.openxmlformats.org/officeDocument/2006/relationships/styles" Target="styles.xml"/><Relationship Id="rId5" Type="http://schemas.openxmlformats.org/officeDocument/2006/relationships/header" Target="header1.xml"/></Relationships>
</file>