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720E" w:rsidRDefault="003F720E" w:rsidP="00CE0041">
      <w:pPr>
        <w:spacing w:before="100" w:beforeAutospacing="1" w:after="100" w:afterAutospacing="1"/>
        <w:rPr>
          <w:rFonts w:ascii="Verdana Ref" w:hAnsi="Verdana Ref" w:cs="Arial"/>
          <w:bCs/>
        </w:rPr>
      </w:pPr>
      <w:r>
        <w:rPr>
          <w:rFonts w:ascii="Verdana Ref" w:hAnsi="Verdana Ref" w:cs="Arial"/>
          <w:bCs/>
        </w:rPr>
        <w:t>Learning and development needs</w:t>
      </w:r>
    </w:p>
    <w:p w:rsidR="004E2B7D" w:rsidRPr="004E2B7D" w:rsidRDefault="004E2B7D" w:rsidP="00CE0041">
      <w:pPr>
        <w:spacing w:before="100" w:beforeAutospacing="1" w:after="100" w:afterAutospacing="1"/>
        <w:rPr>
          <w:rFonts w:ascii="Verdana Ref" w:hAnsi="Verdana Ref" w:cs="Arial"/>
          <w:bCs/>
        </w:rPr>
      </w:pPr>
      <w:r w:rsidRPr="004E2B7D">
        <w:rPr>
          <w:rFonts w:ascii="Verdana Ref" w:hAnsi="Verdana Ref" w:cs="Arial"/>
          <w:bCs/>
        </w:rPr>
        <w:t>I see the aim of this paper as exploring how learning providers, with this term being taken in its widest sense can identify the devel</w:t>
      </w:r>
      <w:r w:rsidR="004A0671" w:rsidRPr="004E2B7D">
        <w:rPr>
          <w:rFonts w:ascii="Verdana Ref" w:hAnsi="Verdana Ref" w:cs="Arial"/>
          <w:bCs/>
        </w:rPr>
        <w:t>opment and subsequent learning needs of individuals and groups</w:t>
      </w:r>
      <w:r w:rsidR="004A0671">
        <w:rPr>
          <w:rFonts w:ascii="Verdana Ref" w:hAnsi="Verdana Ref" w:cs="Arial"/>
          <w:bCs/>
        </w:rPr>
        <w:t xml:space="preserve"> the traditional top-down approach to organising service delivery where the state decided what was good for people and delivered is insufficient to meet the real needs and preferences of individuals, families, and groups</w:t>
      </w:r>
      <w:r w:rsidRPr="004E2B7D">
        <w:rPr>
          <w:rFonts w:ascii="Verdana Ref" w:hAnsi="Verdana Ref" w:cs="Arial"/>
          <w:bCs/>
        </w:rPr>
        <w:t>.</w:t>
      </w:r>
      <w:r>
        <w:rPr>
          <w:rFonts w:ascii="Verdana Ref" w:hAnsi="Verdana Ref" w:cs="Arial"/>
          <w:bCs/>
        </w:rPr>
        <w:t xml:space="preserve">  This argument is predicated upon </w:t>
      </w:r>
      <w:r w:rsidR="004A0671">
        <w:rPr>
          <w:rFonts w:ascii="Verdana Ref" w:hAnsi="Verdana Ref" w:cs="Arial"/>
          <w:bCs/>
        </w:rPr>
        <w:t xml:space="preserve">a social justice approach and </w:t>
      </w:r>
      <w:r>
        <w:rPr>
          <w:rFonts w:ascii="Verdana Ref" w:hAnsi="Verdana Ref" w:cs="Arial"/>
          <w:bCs/>
        </w:rPr>
        <w:t>the understanding that</w:t>
      </w:r>
      <w:r w:rsidR="004A0671">
        <w:rPr>
          <w:rFonts w:ascii="Verdana Ref" w:hAnsi="Verdana Ref" w:cs="Arial"/>
          <w:bCs/>
        </w:rPr>
        <w:t>:</w:t>
      </w:r>
      <w:r>
        <w:rPr>
          <w:rFonts w:ascii="Verdana Ref" w:hAnsi="Verdana Ref" w:cs="Arial"/>
          <w:bCs/>
        </w:rPr>
        <w:t xml:space="preserve"> </w:t>
      </w:r>
    </w:p>
    <w:p w:rsidR="00CE0041" w:rsidRPr="004E2B7D" w:rsidRDefault="004A0671" w:rsidP="004E2B7D">
      <w:pPr>
        <w:spacing w:before="100" w:beforeAutospacing="1" w:after="100" w:afterAutospacing="1"/>
        <w:ind w:left="741" w:right="1245"/>
        <w:jc w:val="both"/>
        <w:rPr>
          <w:rFonts w:ascii="Verdana Ref" w:hAnsi="Verdana Ref"/>
        </w:rPr>
      </w:pPr>
      <w:proofErr w:type="gramStart"/>
      <w:r>
        <w:rPr>
          <w:rFonts w:ascii="Verdana Ref" w:hAnsi="Verdana Ref" w:cs="Arial"/>
          <w:bCs/>
        </w:rPr>
        <w:t>t</w:t>
      </w:r>
      <w:r w:rsidR="00CE0041" w:rsidRPr="004E2B7D">
        <w:rPr>
          <w:rFonts w:ascii="Verdana Ref" w:hAnsi="Verdana Ref" w:cs="Arial"/>
          <w:bCs/>
        </w:rPr>
        <w:t>he</w:t>
      </w:r>
      <w:proofErr w:type="gramEnd"/>
      <w:r w:rsidR="00CE0041" w:rsidRPr="004E2B7D">
        <w:rPr>
          <w:rFonts w:ascii="Verdana Ref" w:hAnsi="Verdana Ref" w:cs="Arial"/>
          <w:bCs/>
        </w:rPr>
        <w:t xml:space="preserve"> foundation of a free society is the equal worth of all citizens, expressed most basically in political and civil liberties, equal rights before the law and so on. Second, the argument that everyone is entitled, as a right of citizenship, to be able to meet their basic needs for income, shelter and other necessities…Third, self-respect and equal citizenship demand more than the meeting of basic needs: they demand opportunities and life chances. </w:t>
      </w:r>
      <w:proofErr w:type="gramStart"/>
      <w:r w:rsidR="00CE0041" w:rsidRPr="004E2B7D">
        <w:rPr>
          <w:rFonts w:ascii="Verdana Ref" w:hAnsi="Verdana Ref" w:cs="Arial"/>
          <w:bCs/>
        </w:rPr>
        <w:t>Finally, …</w:t>
      </w:r>
      <w:proofErr w:type="gramEnd"/>
      <w:r w:rsidR="00CE0041" w:rsidRPr="004E2B7D">
        <w:rPr>
          <w:rFonts w:ascii="Verdana Ref" w:hAnsi="Verdana Ref" w:cs="Arial"/>
          <w:bCs/>
        </w:rPr>
        <w:t xml:space="preserve"> we must recognise that although not all inequalities are unjust … unjust inequalities should be reduced and where possible eliminated’ </w:t>
      </w:r>
    </w:p>
    <w:p w:rsidR="00CE0041" w:rsidRPr="004E2B7D" w:rsidRDefault="00CE0041" w:rsidP="00CE0041">
      <w:pPr>
        <w:spacing w:before="100" w:beforeAutospacing="1" w:after="100" w:afterAutospacing="1"/>
        <w:ind w:left="709"/>
        <w:rPr>
          <w:rFonts w:ascii="Verdana Ref" w:hAnsi="Verdana Ref"/>
        </w:rPr>
      </w:pPr>
      <w:r w:rsidRPr="004E2B7D">
        <w:rPr>
          <w:rFonts w:ascii="Verdana Ref" w:hAnsi="Verdana Ref" w:cs="Arial"/>
          <w:bCs/>
        </w:rPr>
        <w:t xml:space="preserve">(Commission on Social Justice, 1994, pp. 17-18). </w:t>
      </w:r>
    </w:p>
    <w:p w:rsidR="003F720E" w:rsidRDefault="003F720E" w:rsidP="00CE0041">
      <w:pPr>
        <w:spacing w:before="240"/>
        <w:rPr>
          <w:rFonts w:ascii="Verdana Ref" w:hAnsi="Verdana Ref"/>
          <w:lang w:val="en-GB"/>
        </w:rPr>
      </w:pPr>
    </w:p>
    <w:p w:rsidR="00EC0FC4" w:rsidRDefault="00EC0FC4" w:rsidP="00CE0041">
      <w:pPr>
        <w:spacing w:before="240"/>
        <w:rPr>
          <w:rFonts w:ascii="Verdana Ref" w:hAnsi="Verdana Ref"/>
          <w:lang w:val="en-GB"/>
        </w:rPr>
      </w:pPr>
      <w:proofErr w:type="spellStart"/>
      <w:r>
        <w:rPr>
          <w:rFonts w:ascii="Verdana Ref" w:hAnsi="Verdana Ref"/>
          <w:lang w:val="en-GB"/>
        </w:rPr>
        <w:t>Titmuss</w:t>
      </w:r>
      <w:proofErr w:type="spellEnd"/>
      <w:r>
        <w:rPr>
          <w:rFonts w:ascii="Verdana Ref" w:hAnsi="Verdana Ref"/>
          <w:lang w:val="en-GB"/>
        </w:rPr>
        <w:t xml:space="preserve"> (1976: 135) offers that the real challenge is in developing a particular infrastructure of universal services in order to provide a framework within and around which can be developed socially acceptable services aiming to discriminate positively with the minimum risk of stigma in favour of those whose needs are greatest.</w:t>
      </w:r>
    </w:p>
    <w:p w:rsidR="00EC0FC4" w:rsidRDefault="00EC0FC4" w:rsidP="00CE0041">
      <w:pPr>
        <w:spacing w:before="240"/>
        <w:rPr>
          <w:rFonts w:ascii="Verdana Ref" w:hAnsi="Verdana Ref"/>
          <w:lang w:val="en-GB"/>
        </w:rPr>
      </w:pPr>
    </w:p>
    <w:p w:rsidR="00CE0041" w:rsidRPr="004E2B7D" w:rsidRDefault="00CE0041" w:rsidP="00CE0041">
      <w:pPr>
        <w:spacing w:before="240"/>
        <w:rPr>
          <w:rFonts w:ascii="Verdana Ref" w:hAnsi="Verdana Ref"/>
          <w:lang w:val="en-GB"/>
        </w:rPr>
      </w:pPr>
      <w:r w:rsidRPr="004E2B7D">
        <w:rPr>
          <w:rFonts w:ascii="Verdana Ref" w:hAnsi="Verdana Ref"/>
          <w:lang w:val="en-GB"/>
        </w:rPr>
        <w:t xml:space="preserve">While the school and the LEA have the option of implementing provision which would better suit the child, as summarised in the Special Educational Needs Code of Practice for Wales, ‘educational provision which is additional to, or otherwise different from, the educational provision made generally for children of their age in schools maintained by the LEA’ (Humphries, 2002).  However, in my opinion it is an illustration of the continuance of the old power structures that only after every form of school based provision has proved not sufficiently effective, the School special educational needs coordinator </w:t>
      </w:r>
      <w:r w:rsidRPr="004E2B7D">
        <w:rPr>
          <w:rFonts w:ascii="Verdana Ref" w:hAnsi="Verdana Ref"/>
          <w:i/>
          <w:lang w:val="en-GB"/>
        </w:rPr>
        <w:t xml:space="preserve">may </w:t>
      </w:r>
      <w:r w:rsidRPr="004E2B7D">
        <w:rPr>
          <w:rFonts w:ascii="Verdana Ref" w:hAnsi="Verdana Ref"/>
          <w:lang w:val="en-GB"/>
        </w:rPr>
        <w:t xml:space="preserve">(my emphasis) wish to involve other agencies. </w:t>
      </w:r>
    </w:p>
    <w:p w:rsidR="006E05EB" w:rsidRPr="004E2B7D" w:rsidRDefault="006E05EB">
      <w:pPr>
        <w:rPr>
          <w:rFonts w:ascii="Verdana Ref" w:hAnsi="Verdana Ref"/>
          <w:lang w:val="en-GB"/>
        </w:rPr>
      </w:pPr>
    </w:p>
    <w:p w:rsidR="00CE0041" w:rsidRPr="004E2B7D" w:rsidRDefault="00CE0041">
      <w:pPr>
        <w:rPr>
          <w:rFonts w:ascii="Verdana Ref" w:hAnsi="Verdana Ref"/>
          <w:lang w:val="en-GB"/>
        </w:rPr>
      </w:pPr>
    </w:p>
    <w:p w:rsidR="00CE0041" w:rsidRPr="004E2B7D" w:rsidRDefault="00CE0041" w:rsidP="00CE0041">
      <w:pPr>
        <w:pStyle w:val="Heading2"/>
        <w:rPr>
          <w:rFonts w:ascii="Verdana Ref" w:hAnsi="Verdana Ref"/>
          <w:b w:val="0"/>
          <w:i w:val="0"/>
          <w:szCs w:val="24"/>
        </w:rPr>
      </w:pPr>
      <w:r w:rsidRPr="004E2B7D">
        <w:rPr>
          <w:rFonts w:ascii="Verdana Ref" w:hAnsi="Verdana Ref"/>
          <w:b w:val="0"/>
          <w:i w:val="0"/>
          <w:szCs w:val="24"/>
        </w:rPr>
        <w:t xml:space="preserve">Table 2 is included as it contains specific data on the ward rank among the 865 electoral wards in </w:t>
      </w:r>
      <w:smartTag w:uri="urn:schemas-microsoft-com:office:smarttags" w:element="country-region">
        <w:smartTag w:uri="urn:schemas-microsoft-com:office:smarttags" w:element="place">
          <w:r w:rsidRPr="004E2B7D">
            <w:rPr>
              <w:rFonts w:ascii="Verdana Ref" w:hAnsi="Verdana Ref"/>
              <w:b w:val="0"/>
              <w:i w:val="0"/>
              <w:szCs w:val="24"/>
            </w:rPr>
            <w:t>Wales</w:t>
          </w:r>
        </w:smartTag>
      </w:smartTag>
      <w:r w:rsidRPr="004E2B7D">
        <w:rPr>
          <w:rFonts w:ascii="Verdana Ref" w:hAnsi="Verdana Ref"/>
          <w:b w:val="0"/>
          <w:i w:val="0"/>
          <w:szCs w:val="24"/>
        </w:rPr>
        <w:t>.  Factors of deprivation in domains are intrinsically linked to the lives of the group and, as such need to be a key aspect of assessing their development needs.</w:t>
      </w:r>
    </w:p>
    <w:p w:rsidR="00CE0041" w:rsidRPr="004E2B7D" w:rsidRDefault="00CE0041">
      <w:pPr>
        <w:rPr>
          <w:rFonts w:ascii="Verdana Ref" w:hAnsi="Verdana Ref"/>
          <w:lang w:val="en-GB"/>
        </w:rPr>
      </w:pPr>
    </w:p>
    <w:p w:rsidR="003F720E" w:rsidRDefault="003F720E" w:rsidP="00CE0041">
      <w:pPr>
        <w:pStyle w:val="Heading4"/>
        <w:rPr>
          <w:rFonts w:ascii="Verdana Ref" w:hAnsi="Verdana Ref"/>
          <w:b w:val="0"/>
          <w:sz w:val="24"/>
          <w:szCs w:val="24"/>
        </w:rPr>
      </w:pPr>
    </w:p>
    <w:p w:rsidR="00CE0041" w:rsidRPr="004E2B7D" w:rsidRDefault="00CE0041" w:rsidP="00CE0041">
      <w:pPr>
        <w:pStyle w:val="Heading4"/>
        <w:rPr>
          <w:rFonts w:ascii="Verdana Ref" w:hAnsi="Verdana Ref"/>
          <w:b w:val="0"/>
          <w:sz w:val="24"/>
          <w:szCs w:val="24"/>
        </w:rPr>
      </w:pPr>
      <w:r w:rsidRPr="004E2B7D">
        <w:rPr>
          <w:rFonts w:ascii="Verdana Ref" w:hAnsi="Verdana Ref"/>
          <w:b w:val="0"/>
          <w:sz w:val="24"/>
          <w:szCs w:val="24"/>
        </w:rPr>
        <w:t>Table 2. The Group</w:t>
      </w:r>
      <w:r w:rsidR="004B64D1">
        <w:rPr>
          <w:rFonts w:ascii="Verdana Ref" w:hAnsi="Verdana Ref"/>
          <w:b w:val="0"/>
          <w:sz w:val="24"/>
          <w:szCs w:val="24"/>
        </w:rPr>
        <w:t>’</w:t>
      </w:r>
      <w:bookmarkStart w:id="0" w:name="_GoBack"/>
      <w:bookmarkEnd w:id="0"/>
      <w:r w:rsidRPr="004E2B7D">
        <w:rPr>
          <w:rFonts w:ascii="Verdana Ref" w:hAnsi="Verdana Ref"/>
          <w:b w:val="0"/>
          <w:sz w:val="24"/>
          <w:szCs w:val="24"/>
        </w:rPr>
        <w:t>s Involvement with other Agencies</w:t>
      </w:r>
    </w:p>
    <w:p w:rsidR="00CE0041" w:rsidRPr="004E2B7D" w:rsidRDefault="00CE0041" w:rsidP="00CE0041">
      <w:pPr>
        <w:jc w:val="center"/>
        <w:rPr>
          <w:rFonts w:ascii="Verdana Ref" w:hAnsi="Verdana Ref"/>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28"/>
        <w:gridCol w:w="1417"/>
        <w:gridCol w:w="993"/>
        <w:gridCol w:w="1045"/>
      </w:tblGrid>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Agency</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No. of the group involved</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Male</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Female</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Educational Psychology</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6</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Bereavement Counselling</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1</w:t>
            </w:r>
          </w:p>
        </w:tc>
        <w:tc>
          <w:tcPr>
            <w:tcW w:w="993" w:type="dxa"/>
          </w:tcPr>
          <w:p w:rsidR="00CE0041" w:rsidRPr="004E2B7D" w:rsidRDefault="00CE0041" w:rsidP="00824592">
            <w:pPr>
              <w:jc w:val="center"/>
              <w:rPr>
                <w:rFonts w:ascii="Verdana Ref" w:hAnsi="Verdana Ref"/>
                <w:lang w:val="en-GB"/>
              </w:rPr>
            </w:pP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1</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Acceptable Behaviour Contracts*</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rsidR="00CE0041" w:rsidRPr="004E2B7D" w:rsidRDefault="00CE0041" w:rsidP="00824592">
            <w:pPr>
              <w:jc w:val="center"/>
              <w:rPr>
                <w:rFonts w:ascii="Verdana Ref" w:hAnsi="Verdana Ref"/>
                <w:lang w:val="en-GB"/>
              </w:rPr>
            </w:pP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Education Welfare Service</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Voluntary Sector Youth Provision</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Local Authority Youth Centre</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7</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Not in Education, Training or Employment</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1</w:t>
            </w:r>
          </w:p>
        </w:tc>
        <w:tc>
          <w:tcPr>
            <w:tcW w:w="993" w:type="dxa"/>
          </w:tcPr>
          <w:p w:rsidR="00CE0041" w:rsidRPr="004E2B7D" w:rsidRDefault="00CE0041" w:rsidP="00824592">
            <w:pPr>
              <w:jc w:val="center"/>
              <w:rPr>
                <w:rFonts w:ascii="Verdana Ref" w:hAnsi="Verdana Ref"/>
                <w:lang w:val="en-GB"/>
              </w:rPr>
            </w:pP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1</w:t>
            </w:r>
          </w:p>
        </w:tc>
      </w:tr>
      <w:tr w:rsidR="00CE0041" w:rsidRPr="004E2B7D">
        <w:tc>
          <w:tcPr>
            <w:tcW w:w="4928" w:type="dxa"/>
          </w:tcPr>
          <w:p w:rsidR="00CE0041" w:rsidRPr="004E2B7D" w:rsidRDefault="00CE0041" w:rsidP="00824592">
            <w:pPr>
              <w:rPr>
                <w:rFonts w:ascii="Verdana Ref" w:hAnsi="Verdana Ref"/>
                <w:lang w:val="en-GB"/>
              </w:rPr>
            </w:pPr>
            <w:r w:rsidRPr="004E2B7D">
              <w:rPr>
                <w:rFonts w:ascii="Verdana Ref" w:hAnsi="Verdana Ref"/>
                <w:lang w:val="en-GB"/>
              </w:rPr>
              <w:t>Educated Otherwise than at School</w:t>
            </w:r>
          </w:p>
        </w:tc>
        <w:tc>
          <w:tcPr>
            <w:tcW w:w="1417" w:type="dxa"/>
          </w:tcPr>
          <w:p w:rsidR="00CE0041" w:rsidRPr="004E2B7D" w:rsidRDefault="00CE0041" w:rsidP="00824592">
            <w:pPr>
              <w:jc w:val="center"/>
              <w:rPr>
                <w:rFonts w:ascii="Verdana Ref" w:hAnsi="Verdana Ref"/>
                <w:lang w:val="en-GB"/>
              </w:rPr>
            </w:pPr>
            <w:r w:rsidRPr="004E2B7D">
              <w:rPr>
                <w:rFonts w:ascii="Verdana Ref" w:hAnsi="Verdana Ref"/>
                <w:lang w:val="en-GB"/>
              </w:rPr>
              <w:t>4</w:t>
            </w:r>
          </w:p>
        </w:tc>
        <w:tc>
          <w:tcPr>
            <w:tcW w:w="993" w:type="dxa"/>
          </w:tcPr>
          <w:p w:rsidR="00CE0041" w:rsidRPr="004E2B7D" w:rsidRDefault="00CE0041" w:rsidP="00824592">
            <w:pPr>
              <w:jc w:val="center"/>
              <w:rPr>
                <w:rFonts w:ascii="Verdana Ref" w:hAnsi="Verdana Ref"/>
                <w:lang w:val="en-GB"/>
              </w:rPr>
            </w:pPr>
            <w:r w:rsidRPr="004E2B7D">
              <w:rPr>
                <w:rFonts w:ascii="Verdana Ref" w:hAnsi="Verdana Ref"/>
                <w:lang w:val="en-GB"/>
              </w:rPr>
              <w:t>3</w:t>
            </w:r>
          </w:p>
        </w:tc>
        <w:tc>
          <w:tcPr>
            <w:tcW w:w="1045" w:type="dxa"/>
          </w:tcPr>
          <w:p w:rsidR="00CE0041" w:rsidRPr="004E2B7D" w:rsidRDefault="00CE0041" w:rsidP="00824592">
            <w:pPr>
              <w:jc w:val="center"/>
              <w:rPr>
                <w:rFonts w:ascii="Verdana Ref" w:hAnsi="Verdana Ref"/>
                <w:lang w:val="en-GB"/>
              </w:rPr>
            </w:pPr>
            <w:r w:rsidRPr="004E2B7D">
              <w:rPr>
                <w:rFonts w:ascii="Verdana Ref" w:hAnsi="Verdana Ref"/>
                <w:lang w:val="en-GB"/>
              </w:rPr>
              <w:t>1</w:t>
            </w:r>
          </w:p>
        </w:tc>
      </w:tr>
    </w:tbl>
    <w:p w:rsidR="00713453" w:rsidRDefault="00713453"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This exclusion is one aspect of the effect of their antisocial behaviour.  </w:t>
      </w:r>
      <w:r w:rsidR="00006150">
        <w:rPr>
          <w:rFonts w:ascii="Verdana Ref" w:hAnsi="Verdana Ref"/>
          <w:lang w:val="en-GB"/>
        </w:rPr>
        <w:t>A</w:t>
      </w:r>
      <w:r w:rsidRPr="004E2B7D">
        <w:rPr>
          <w:rFonts w:ascii="Verdana Ref" w:hAnsi="Verdana Ref"/>
          <w:lang w:val="en-GB"/>
        </w:rPr>
        <w:t xml:space="preserve">ntisocial behaviour has many signs.  As Rutter et al. (1998) state, ‘acknowledging the heterogeneity of antisocial behaviour has obvious consequences for the way it is studied and dealt with’.  This heterogeneity will be a key factor when teasing out development needs and subsequent learning needs of the group.  A construct for framing learning needs is provided by van der Zee (1996: 163).  </w:t>
      </w:r>
    </w:p>
    <w:p w:rsidR="00CE0041" w:rsidRPr="004E2B7D" w:rsidRDefault="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 latest ward-level socio-economic information available is over 10 years old.  This is wholly unsatisfactory.  There are other weaknesses in statistical information, inasmuch as it does not describe pockets of relative deprivation at a sub-ward level.  The Social Exclusion Unit Neighbourhood Renewal Strategy consultation stated that ‘m</w:t>
      </w:r>
      <w:r w:rsidRPr="004E2B7D">
        <w:rPr>
          <w:rFonts w:ascii="Verdana Ref" w:hAnsi="Verdana Ref"/>
        </w:rPr>
        <w:t xml:space="preserve">any local authority districts suffer from extreme deprivation.  But the most severe extremes occur within smaller areas – </w:t>
      </w:r>
      <w:proofErr w:type="spellStart"/>
      <w:r w:rsidRPr="004E2B7D">
        <w:rPr>
          <w:rFonts w:ascii="Verdana Ref" w:hAnsi="Verdana Ref"/>
        </w:rPr>
        <w:t>neighbourhoods</w:t>
      </w:r>
      <w:proofErr w:type="spellEnd"/>
      <w:r w:rsidRPr="004E2B7D">
        <w:rPr>
          <w:rFonts w:ascii="Verdana Ref" w:hAnsi="Verdana Ref"/>
        </w:rPr>
        <w:t>’.</w:t>
      </w:r>
      <w:r w:rsidRPr="004E2B7D">
        <w:rPr>
          <w:rFonts w:ascii="Verdana Ref" w:hAnsi="Verdana Ref"/>
          <w:lang w:val="en-GB"/>
        </w:rPr>
        <w:t xml:space="preserve">  Also, misinterpretation of the needs can occur if data is poorly analysed, or if inappropriate data is sourced in the first place.</w:t>
      </w:r>
    </w:p>
    <w:p w:rsidR="00CE0041" w:rsidRPr="004E2B7D" w:rsidRDefault="00CE0041">
      <w:pPr>
        <w:rPr>
          <w:rFonts w:ascii="Verdana Ref" w:hAnsi="Verdana Ref"/>
          <w:lang w:val="en-GB"/>
        </w:rPr>
      </w:pPr>
    </w:p>
    <w:p w:rsidR="00CE0041" w:rsidRPr="004E2B7D" w:rsidRDefault="00CE0041" w:rsidP="00CE0041">
      <w:pPr>
        <w:pStyle w:val="Heading2"/>
        <w:rPr>
          <w:rFonts w:ascii="Verdana Ref" w:hAnsi="Verdana Ref"/>
          <w:b w:val="0"/>
          <w:szCs w:val="24"/>
        </w:rPr>
      </w:pPr>
      <w:r w:rsidRPr="004E2B7D">
        <w:rPr>
          <w:rFonts w:ascii="Verdana Ref" w:hAnsi="Verdana Ref"/>
          <w:b w:val="0"/>
          <w:szCs w:val="24"/>
        </w:rPr>
        <w:t>Estimating Development Needs</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Assessing need is a complex process.  It involves making judgements, and to a certain extent assumptions about the circumstances affecting individuals.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 group are aware of the circumstances of their lives and feel strongly the relative deprivation separating them from others within the wider community.  Future interventions will seek to enable individuals to succeed, to make inroads into this sense of hopelessness.  In order to grow, to develop, future interventions should allow every opportunity for regular opportunities to achieve.</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In developing any hypothesis about community it is important to develop a holistic understanding of group and community based on information which is primary and secondary, both qualitative and quantitative.  One of the </w:t>
      </w:r>
      <w:r w:rsidRPr="004E2B7D">
        <w:rPr>
          <w:rFonts w:ascii="Verdana Ref" w:hAnsi="Verdana Ref"/>
          <w:lang w:val="en-GB"/>
        </w:rPr>
        <w:lastRenderedPageBreak/>
        <w:t xml:space="preserve">shortcomings of the philosophy of Cresswell (1992) was the ‘problem’ oriented approach adopted.  </w:t>
      </w:r>
    </w:p>
    <w:p w:rsidR="00CE0041" w:rsidRPr="004E2B7D" w:rsidRDefault="00CE0041" w:rsidP="00CE0041">
      <w:pPr>
        <w:rPr>
          <w:rFonts w:ascii="Verdana Ref" w:hAnsi="Verdana Ref"/>
          <w:lang w:val="en-GB"/>
        </w:rPr>
      </w:pPr>
    </w:p>
    <w:p w:rsidR="00CE0041" w:rsidRPr="004E2B7D" w:rsidRDefault="00CE0041" w:rsidP="00CE0041">
      <w:pPr>
        <w:pStyle w:val="Heading2"/>
        <w:rPr>
          <w:rFonts w:ascii="Verdana Ref" w:hAnsi="Verdana Ref"/>
          <w:b w:val="0"/>
          <w:szCs w:val="24"/>
        </w:rPr>
      </w:pPr>
      <w:r w:rsidRPr="004E2B7D">
        <w:rPr>
          <w:rFonts w:ascii="Verdana Ref" w:hAnsi="Verdana Ref"/>
          <w:b w:val="0"/>
          <w:szCs w:val="24"/>
        </w:rPr>
        <w:t>Conclusions</w:t>
      </w:r>
    </w:p>
    <w:p w:rsidR="00CE0041" w:rsidRPr="004E2B7D" w:rsidRDefault="00CE0041" w:rsidP="00CE0041">
      <w:pPr>
        <w:rPr>
          <w:rFonts w:ascii="Verdana Ref" w:hAnsi="Verdana Ref"/>
          <w:i/>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A great deal has been learned about the situation of the young people within the group, aspects of their personalities, likes and dislikes, about their learning styles and their norms.  It has become apparent that almost all the group need to enhance their emotional intelligence (Handy, 1997: 212). It has been learned that positive outcomes can be gained from the </w:t>
      </w:r>
      <w:proofErr w:type="gramStart"/>
      <w:r w:rsidRPr="004E2B7D">
        <w:rPr>
          <w:rFonts w:ascii="Verdana Ref" w:hAnsi="Verdana Ref"/>
          <w:lang w:val="en-GB"/>
        </w:rPr>
        <w:t>groups</w:t>
      </w:r>
      <w:proofErr w:type="gramEnd"/>
      <w:r w:rsidRPr="004E2B7D">
        <w:rPr>
          <w:rFonts w:ascii="Verdana Ref" w:hAnsi="Verdana Ref"/>
          <w:lang w:val="en-GB"/>
        </w:rPr>
        <w:t xml:space="preserve"> active involvement in planning, monitoring and evaluating work.  It is difficult to prove a link but the recent holiday scheme run in the village was the first where none of the group have been sent home from trips or excluded from activities, it was the first they had been actively involved in putting together.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It was reassuring to hear from community workers that they are open to ways of working that are responsive to needs.  One Community Educator said ‘Young people are the route of all issues, at the moment they have very limited options, they need things to do’.  This is reinforced by a consultation carried out by the Streetwise project (2000).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Evidence shows that the group have acute development needs, this is supported by the fact that they have limited social skills and a difficulty coping with their role and, indeed, their rights and responsibilities within both the neighbourhood and the wider community.  In order to work with them to bring about change it will be necessary to increase their knowledge, skills and abilities.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It has become apparent in sessions three and four that the females in the group sometimes feel intimidated in the group.  This came out as a result of a visit to the groupwork by an older group of young men. This issue of intimidation will be a focus of work with the young women.</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 need to increase skills and knowledge is not confined to the young people, but also extends to parents and decision makers.  In relation to a question on gaps between needs and resources, the response from a Community Educator was ‘we don’t know what resources are available, perhaps we need to carry out political lobbying’.  In terms of moving forward this agenda, a series of meetings have been arranged between key organisations to agree how the organisations can work together in the village in an empowering way.</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Some of the young men within the group frequently commit low-level criminal acts.  The average age of these young men is 14 years.  Recognising that the peak age of offending for young men is 18 years (Coleman and Hendry: 182).  One approach might involve teaching social skills linked to a programme emphasising the personal benefits of avoidance of offending. Another appropriate intervention at this stage could offer a mixed programme including social skills development work; confidence building and citizenship skills as well as fun activities.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A number of the group have significant caring responsibilities for younger siblings.  One development need is illustrated by the fact that these young people are expected to carry out this role for which they may have some of the skills, but perhaps not the necessary knowledge or ability to cope in a difficult situation.</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There is a need for members of the group to develop a greater awareness of responsible health behaviours and a more positive attitude toward their own health and that of other group members.  A programme of issue based work will be developed to raise and address issues of risky behaviour.  Some aspects of this may be taken forward using gender based methods (</w:t>
      </w:r>
      <w:proofErr w:type="spellStart"/>
      <w:r w:rsidRPr="004E2B7D">
        <w:rPr>
          <w:rFonts w:ascii="Verdana Ref" w:hAnsi="Verdana Ref"/>
          <w:lang w:val="en-GB"/>
        </w:rPr>
        <w:t>Batsleer</w:t>
      </w:r>
      <w:proofErr w:type="spellEnd"/>
      <w:r w:rsidRPr="004E2B7D">
        <w:rPr>
          <w:rFonts w:ascii="Verdana Ref" w:hAnsi="Verdana Ref"/>
          <w:lang w:val="en-GB"/>
        </w:rPr>
        <w:t>, 1996).</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 findings of this profile will be used to increase colleague</w:t>
      </w:r>
      <w:r w:rsidR="00006150">
        <w:rPr>
          <w:rFonts w:ascii="Verdana Ref" w:hAnsi="Verdana Ref"/>
          <w:lang w:val="en-GB"/>
        </w:rPr>
        <w:t>’</w:t>
      </w:r>
      <w:r w:rsidRPr="004E2B7D">
        <w:rPr>
          <w:rFonts w:ascii="Verdana Ref" w:hAnsi="Verdana Ref"/>
          <w:lang w:val="en-GB"/>
        </w:rPr>
        <w:t>s awareness of some of the needs of the group in order to enable a multi-modal intervention.  One Community Educator was keen to say that ‘the needs of the community are not currently being met’. One means of responding to the needs of families is to put a programme of work in place which meets their diverse needs.  Subsequently, a programme of Community Education which will look to intervene on a family level (Coleman and Hendry, 1999: 187), a peer group level and a neighbourhood level could be developed, taking into account the five points suggested by van der Zee (1996: 165) for the development of a learning society.</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There is a great deal of evidence to show that employment is among the most powerful of all options in combating antisocial behaviour (</w:t>
      </w:r>
      <w:proofErr w:type="spellStart"/>
      <w:r w:rsidRPr="004E2B7D">
        <w:rPr>
          <w:rFonts w:ascii="Verdana Ref" w:hAnsi="Verdana Ref"/>
          <w:lang w:val="en-GB"/>
        </w:rPr>
        <w:t>Lipsey</w:t>
      </w:r>
      <w:proofErr w:type="spellEnd"/>
      <w:r w:rsidRPr="004E2B7D">
        <w:rPr>
          <w:rFonts w:ascii="Verdana Ref" w:hAnsi="Verdana Ref"/>
          <w:lang w:val="en-GB"/>
        </w:rPr>
        <w:t xml:space="preserve">, 1995).  Any subsequent programme of issue based work could contain content on securing and maintaining employment.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 group feel harassed by the police in the wider community.  The programme of issue based work will contain detail on young people’s rights and responsibilities and the effect of enhanced social skills.</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A comprehensive needs analysis will be carried out in the village in the next few months as part of the Welsh Assembly Government Communities First agenda.  One Community Educator was keen to point out that ‘Funding should be provided but as well as using questionnaires, it is vital to carry out research on a one to one basis.  Only then will the power shift, if families in communities are actively involved’.    </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 xml:space="preserve">Individuals within the group and their parents have significant contact with professionals.  A greater understanding of the legislation, policies and guidelines which apply to their lives and with a greater ability to communicate effectively, will benefit all concerned.  This would enable young people and their parents to better understand and negotiate the detail of the services they receive from agencies.  Ultimately, this would achieve a more effective end result for the individuals, their families and the community.  To quote Freire (1972) in Dalrymple and Burke (1995: 15) ‘In order for the oppressed to be able to wage the struggle for their liberation they must perceive the </w:t>
      </w:r>
      <w:r w:rsidRPr="004E2B7D">
        <w:rPr>
          <w:rFonts w:ascii="Verdana Ref" w:hAnsi="Verdana Ref"/>
          <w:lang w:val="en-GB"/>
        </w:rPr>
        <w:lastRenderedPageBreak/>
        <w:t>reality of oppression, not as a closed world from which there is no exit, but as a limited situation which they can transform’.</w:t>
      </w:r>
    </w:p>
    <w:p w:rsidR="00CE0041" w:rsidRPr="004E2B7D" w:rsidRDefault="00CE0041" w:rsidP="00CE0041">
      <w:pPr>
        <w:rPr>
          <w:rFonts w:ascii="Verdana Ref" w:hAnsi="Verdana Ref"/>
          <w:lang w:val="en-GB"/>
        </w:rPr>
      </w:pPr>
    </w:p>
    <w:p w:rsidR="00CE0041" w:rsidRPr="004E2B7D" w:rsidRDefault="00CE0041" w:rsidP="00CE0041">
      <w:pPr>
        <w:rPr>
          <w:rFonts w:ascii="Verdana Ref" w:hAnsi="Verdana Ref"/>
          <w:lang w:val="en-GB"/>
        </w:rPr>
      </w:pPr>
      <w:r w:rsidRPr="004E2B7D">
        <w:rPr>
          <w:rFonts w:ascii="Verdana Ref" w:hAnsi="Verdana Ref"/>
          <w:lang w:val="en-GB"/>
        </w:rPr>
        <w:t>These conclusions will be further discussed with the group and key individuals to establish a programme for joint working at a neighbourhood level, taking into account local capacity and regeneration initiatives such as Communities First, Objective 1 funding and additional funding as appropriate.</w:t>
      </w:r>
    </w:p>
    <w:p w:rsidR="00CE0041" w:rsidRPr="004E2B7D" w:rsidRDefault="00CE0041" w:rsidP="00CE0041">
      <w:pPr>
        <w:rPr>
          <w:rFonts w:ascii="Verdana Ref" w:hAnsi="Verdana Ref"/>
          <w:lang w:val="en-GB"/>
        </w:rPr>
      </w:pPr>
    </w:p>
    <w:sectPr w:rsidR="00CE0041" w:rsidRPr="004E2B7D" w:rsidSect="008D79A2">
      <w:pgSz w:w="11907" w:h="16840" w:code="9"/>
      <w:pgMar w:top="1079" w:right="1797" w:bottom="1258"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Verdana Ref">
    <w:altName w:val="Tahoma"/>
    <w:charset w:val="00"/>
    <w:family w:val="swiss"/>
    <w:pitch w:val="variable"/>
    <w:sig w:usb0="20000287" w:usb1="00000000"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67A6"/>
    <w:rsid w:val="00006150"/>
    <w:rsid w:val="000766C2"/>
    <w:rsid w:val="000C5AB8"/>
    <w:rsid w:val="000D7D9C"/>
    <w:rsid w:val="0013162C"/>
    <w:rsid w:val="00132C30"/>
    <w:rsid w:val="00161859"/>
    <w:rsid w:val="00166AC6"/>
    <w:rsid w:val="001F6DD7"/>
    <w:rsid w:val="002D4889"/>
    <w:rsid w:val="003226C2"/>
    <w:rsid w:val="0039021D"/>
    <w:rsid w:val="0039314D"/>
    <w:rsid w:val="003942B8"/>
    <w:rsid w:val="003A7B07"/>
    <w:rsid w:val="003F720E"/>
    <w:rsid w:val="00413553"/>
    <w:rsid w:val="0044755E"/>
    <w:rsid w:val="00473AA2"/>
    <w:rsid w:val="00481B5D"/>
    <w:rsid w:val="004A0671"/>
    <w:rsid w:val="004A5258"/>
    <w:rsid w:val="004B64D1"/>
    <w:rsid w:val="004E2B7D"/>
    <w:rsid w:val="005235D1"/>
    <w:rsid w:val="00586E9E"/>
    <w:rsid w:val="005B3B89"/>
    <w:rsid w:val="005B4DB3"/>
    <w:rsid w:val="006367F9"/>
    <w:rsid w:val="00690CE9"/>
    <w:rsid w:val="006B11E8"/>
    <w:rsid w:val="006B67A6"/>
    <w:rsid w:val="006E05EB"/>
    <w:rsid w:val="006F2755"/>
    <w:rsid w:val="00713453"/>
    <w:rsid w:val="007308A5"/>
    <w:rsid w:val="007564DA"/>
    <w:rsid w:val="00774BB3"/>
    <w:rsid w:val="007B5485"/>
    <w:rsid w:val="007D319E"/>
    <w:rsid w:val="007E362D"/>
    <w:rsid w:val="007E48AF"/>
    <w:rsid w:val="00824592"/>
    <w:rsid w:val="0086274E"/>
    <w:rsid w:val="00867150"/>
    <w:rsid w:val="00871E51"/>
    <w:rsid w:val="008921A1"/>
    <w:rsid w:val="008971FF"/>
    <w:rsid w:val="008D79A2"/>
    <w:rsid w:val="0090390B"/>
    <w:rsid w:val="00971AC1"/>
    <w:rsid w:val="009A4FE9"/>
    <w:rsid w:val="00A5416C"/>
    <w:rsid w:val="00A7499A"/>
    <w:rsid w:val="00AF1B88"/>
    <w:rsid w:val="00B456A3"/>
    <w:rsid w:val="00B85569"/>
    <w:rsid w:val="00B95D0C"/>
    <w:rsid w:val="00B97981"/>
    <w:rsid w:val="00BA7615"/>
    <w:rsid w:val="00BB0C15"/>
    <w:rsid w:val="00BB5383"/>
    <w:rsid w:val="00C06A7F"/>
    <w:rsid w:val="00C45A0A"/>
    <w:rsid w:val="00C4613D"/>
    <w:rsid w:val="00C8602D"/>
    <w:rsid w:val="00C94E79"/>
    <w:rsid w:val="00CE0041"/>
    <w:rsid w:val="00D16AF7"/>
    <w:rsid w:val="00D308D3"/>
    <w:rsid w:val="00D71CB7"/>
    <w:rsid w:val="00D74FF4"/>
    <w:rsid w:val="00D85428"/>
    <w:rsid w:val="00DE7913"/>
    <w:rsid w:val="00E16E8A"/>
    <w:rsid w:val="00E2781E"/>
    <w:rsid w:val="00E76F5E"/>
    <w:rsid w:val="00E80EC9"/>
    <w:rsid w:val="00EC0FC4"/>
    <w:rsid w:val="00EC4659"/>
    <w:rsid w:val="00F01F82"/>
    <w:rsid w:val="00F23E80"/>
    <w:rsid w:val="00F37115"/>
    <w:rsid w:val="00FD3DBE"/>
    <w:rsid w:val="00FF4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7F3AEFA5"/>
  <w15:docId w15:val="{87CE0E34-73AB-4DEB-BB14-AEEC2387F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0041"/>
    <w:rPr>
      <w:rFonts w:ascii="Comic Sans MS" w:hAnsi="Comic Sans MS"/>
      <w:sz w:val="24"/>
      <w:szCs w:val="24"/>
      <w:lang w:val="en-US" w:eastAsia="en-US"/>
    </w:rPr>
  </w:style>
  <w:style w:type="paragraph" w:styleId="Heading2">
    <w:name w:val="heading 2"/>
    <w:basedOn w:val="Normal"/>
    <w:next w:val="Normal"/>
    <w:qFormat/>
    <w:rsid w:val="00CE0041"/>
    <w:pPr>
      <w:keepNext/>
      <w:outlineLvl w:val="1"/>
    </w:pPr>
    <w:rPr>
      <w:b/>
      <w:i/>
      <w:szCs w:val="20"/>
      <w:lang w:val="en-GB"/>
    </w:rPr>
  </w:style>
  <w:style w:type="paragraph" w:styleId="Heading4">
    <w:name w:val="heading 4"/>
    <w:basedOn w:val="Normal"/>
    <w:next w:val="Normal"/>
    <w:qFormat/>
    <w:rsid w:val="00CE0041"/>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1757</Words>
  <Characters>9268</Characters>
  <Application>Microsoft Office Word</Application>
  <DocSecurity>0</DocSecurity>
  <Lines>77</Lines>
  <Paragraphs>22</Paragraphs>
  <ScaleCrop>false</ScaleCrop>
  <HeadingPairs>
    <vt:vector size="2" baseType="variant">
      <vt:variant>
        <vt:lpstr>Title</vt:lpstr>
      </vt:variant>
      <vt:variant>
        <vt:i4>1</vt:i4>
      </vt:variant>
    </vt:vector>
  </HeadingPairs>
  <TitlesOfParts>
    <vt:vector size="1" baseType="lpstr">
      <vt:lpstr>I see the aim of this paper as exploring how learning providers, with this term being taken in its widest sense can identify t</vt:lpstr>
    </vt:vector>
  </TitlesOfParts>
  <Company>FSC</Company>
  <LinksUpToDate>false</LinksUpToDate>
  <CharactersWithSpaces>11003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 see the aim of this paper as exploring how learning providers, with this term being taken in its widest sense can identify t</dc:title>
  <dc:subject/>
  <dc:creator>FSC</dc:creator>
  <cp:keywords/>
  <dc:description/>
  <cp:lastModifiedBy>Darrel Williams</cp:lastModifiedBy>
  <cp:revision>3</cp:revision>
  <dcterms:created xsi:type="dcterms:W3CDTF">2017-10-20T09:35:00Z</dcterms:created>
  <dcterms:modified xsi:type="dcterms:W3CDTF">2017-10-20T09:36:00Z</dcterms:modified>
</cp:coreProperties>
</file>