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302C3" w14:textId="667BB842" w:rsidR="007C7D92" w:rsidRPr="0092090E" w:rsidRDefault="007C7D92" w:rsidP="008540A8">
      <w:pPr>
        <w:jc w:val="both"/>
        <w:rPr>
          <w:rFonts w:ascii="Arial" w:hAnsi="Arial" w:cs="Arial"/>
        </w:rPr>
      </w:pPr>
      <w:r w:rsidRPr="0092090E">
        <w:rPr>
          <w:rFonts w:ascii="Arial" w:hAnsi="Arial" w:cs="Arial"/>
          <w:u w:val="single"/>
        </w:rPr>
        <w:t>Examine the con</w:t>
      </w:r>
      <w:r w:rsidR="009753C9" w:rsidRPr="0092090E">
        <w:rPr>
          <w:rFonts w:ascii="Arial" w:hAnsi="Arial" w:cs="Arial"/>
          <w:u w:val="single"/>
        </w:rPr>
        <w:t xml:space="preserve">cept of dishonesty and </w:t>
      </w:r>
      <w:r w:rsidR="00AF23B6" w:rsidRPr="0092090E">
        <w:rPr>
          <w:rFonts w:ascii="Arial" w:hAnsi="Arial" w:cs="Arial"/>
          <w:u w:val="single"/>
        </w:rPr>
        <w:t xml:space="preserve">its role </w:t>
      </w:r>
      <w:r w:rsidR="00654A74" w:rsidRPr="0092090E">
        <w:rPr>
          <w:rFonts w:ascii="Arial" w:hAnsi="Arial" w:cs="Arial"/>
          <w:u w:val="single"/>
        </w:rPr>
        <w:t>concerning</w:t>
      </w:r>
      <w:r w:rsidR="00AF23B6" w:rsidRPr="0092090E">
        <w:rPr>
          <w:rFonts w:ascii="Arial" w:hAnsi="Arial" w:cs="Arial"/>
          <w:u w:val="single"/>
        </w:rPr>
        <w:t xml:space="preserve"> theft offences</w:t>
      </w:r>
      <w:r w:rsidR="00E27992" w:rsidRPr="0092090E">
        <w:rPr>
          <w:rFonts w:ascii="Arial" w:hAnsi="Arial" w:cs="Arial"/>
          <w:u w:val="single"/>
        </w:rPr>
        <w:t xml:space="preserve"> in the UK</w:t>
      </w:r>
      <w:r w:rsidR="00E27992" w:rsidRPr="0092090E">
        <w:rPr>
          <w:rFonts w:ascii="Arial" w:hAnsi="Arial" w:cs="Arial"/>
        </w:rPr>
        <w:t xml:space="preserve">. </w:t>
      </w:r>
    </w:p>
    <w:p w14:paraId="6EDDEBBF" w14:textId="77777777" w:rsidR="00166F01" w:rsidRPr="0092090E" w:rsidRDefault="00166F01" w:rsidP="008540A8">
      <w:pPr>
        <w:jc w:val="both"/>
        <w:rPr>
          <w:rFonts w:ascii="Arial" w:hAnsi="Arial" w:cs="Arial"/>
        </w:rPr>
      </w:pPr>
    </w:p>
    <w:p w14:paraId="5B89A562" w14:textId="3FD0B5EC" w:rsidR="00B927DA" w:rsidRPr="0092090E" w:rsidRDefault="00AD623F" w:rsidP="008540A8">
      <w:pPr>
        <w:jc w:val="both"/>
        <w:rPr>
          <w:rFonts w:ascii="Arial" w:hAnsi="Arial" w:cs="Arial"/>
        </w:rPr>
      </w:pPr>
      <w:r w:rsidRPr="0092090E">
        <w:rPr>
          <w:rFonts w:ascii="Arial" w:hAnsi="Arial" w:cs="Arial"/>
        </w:rPr>
        <w:t>Introduction</w:t>
      </w:r>
    </w:p>
    <w:p w14:paraId="7638A771" w14:textId="5B8C899D" w:rsidR="00AD623F" w:rsidRDefault="00AD623F" w:rsidP="008540A8">
      <w:pPr>
        <w:jc w:val="both"/>
        <w:rPr>
          <w:rFonts w:ascii="Arial" w:hAnsi="Arial" w:cs="Arial"/>
        </w:rPr>
      </w:pPr>
      <w:r w:rsidRPr="00107380">
        <w:rPr>
          <w:rFonts w:ascii="Arial" w:hAnsi="Arial" w:cs="Arial"/>
        </w:rPr>
        <w:t xml:space="preserve">This essay will </w:t>
      </w:r>
      <w:r w:rsidR="00911C36" w:rsidRPr="00107380">
        <w:rPr>
          <w:rFonts w:ascii="Arial" w:hAnsi="Arial" w:cs="Arial"/>
        </w:rPr>
        <w:t xml:space="preserve">evaluate the role that dishonesty plays in </w:t>
      </w:r>
      <w:r w:rsidR="00E466CB" w:rsidRPr="00107380">
        <w:rPr>
          <w:rFonts w:ascii="Arial" w:hAnsi="Arial" w:cs="Arial"/>
        </w:rPr>
        <w:t xml:space="preserve">theft </w:t>
      </w:r>
      <w:r w:rsidR="001D08C3" w:rsidRPr="00107380">
        <w:rPr>
          <w:rFonts w:ascii="Arial" w:hAnsi="Arial" w:cs="Arial"/>
        </w:rPr>
        <w:t xml:space="preserve">offences, </w:t>
      </w:r>
      <w:r w:rsidR="00DC11F0" w:rsidRPr="00107380">
        <w:rPr>
          <w:rFonts w:ascii="Arial" w:hAnsi="Arial" w:cs="Arial"/>
        </w:rPr>
        <w:t>emphasising the common law definition of dishonesty and</w:t>
      </w:r>
      <w:r w:rsidR="00256593" w:rsidRPr="00107380">
        <w:rPr>
          <w:rFonts w:ascii="Arial" w:hAnsi="Arial" w:cs="Arial"/>
        </w:rPr>
        <w:t xml:space="preserve"> releva</w:t>
      </w:r>
      <w:r w:rsidR="002851C3" w:rsidRPr="00107380">
        <w:rPr>
          <w:rFonts w:ascii="Arial" w:hAnsi="Arial" w:cs="Arial"/>
        </w:rPr>
        <w:t xml:space="preserve">nt </w:t>
      </w:r>
      <w:r w:rsidR="00AC69C4" w:rsidRPr="00107380">
        <w:rPr>
          <w:rFonts w:ascii="Arial" w:hAnsi="Arial" w:cs="Arial"/>
        </w:rPr>
        <w:t>case</w:t>
      </w:r>
      <w:r w:rsidR="00151580" w:rsidRPr="00107380">
        <w:rPr>
          <w:rFonts w:ascii="Arial" w:hAnsi="Arial" w:cs="Arial"/>
        </w:rPr>
        <w:t xml:space="preserve"> law from cases such as R.V G</w:t>
      </w:r>
      <w:r w:rsidR="006E75D6" w:rsidRPr="00107380">
        <w:rPr>
          <w:rFonts w:ascii="Arial" w:hAnsi="Arial" w:cs="Arial"/>
        </w:rPr>
        <w:t xml:space="preserve">hosh (1982) </w:t>
      </w:r>
      <w:r w:rsidR="005D12BF">
        <w:rPr>
          <w:rFonts w:ascii="Arial" w:hAnsi="Arial" w:cs="Arial"/>
        </w:rPr>
        <w:t>versus</w:t>
      </w:r>
      <w:r w:rsidR="006E75D6" w:rsidRPr="00107380">
        <w:rPr>
          <w:rFonts w:ascii="Arial" w:hAnsi="Arial" w:cs="Arial"/>
        </w:rPr>
        <w:t xml:space="preserve"> Ivey</w:t>
      </w:r>
      <w:r w:rsidR="006C7846" w:rsidRPr="00107380">
        <w:rPr>
          <w:rFonts w:ascii="Arial" w:hAnsi="Arial" w:cs="Arial"/>
        </w:rPr>
        <w:t xml:space="preserve"> V Genting </w:t>
      </w:r>
      <w:r w:rsidR="00DC11F0" w:rsidRPr="00107380">
        <w:rPr>
          <w:rFonts w:ascii="Arial" w:hAnsi="Arial" w:cs="Arial"/>
        </w:rPr>
        <w:t>Casino</w:t>
      </w:r>
      <w:r w:rsidR="006C7846" w:rsidRPr="00107380">
        <w:rPr>
          <w:rFonts w:ascii="Arial" w:hAnsi="Arial" w:cs="Arial"/>
        </w:rPr>
        <w:t xml:space="preserve"> UK Ltd (2017).</w:t>
      </w:r>
      <w:r w:rsidR="008E576C" w:rsidRPr="00107380">
        <w:rPr>
          <w:rFonts w:ascii="Arial" w:hAnsi="Arial" w:cs="Arial"/>
        </w:rPr>
        <w:t xml:space="preserve"> </w:t>
      </w:r>
      <w:r w:rsidR="00EB38C0" w:rsidRPr="00EB38C0">
        <w:rPr>
          <w:rFonts w:ascii="Arial" w:hAnsi="Arial" w:cs="Arial"/>
        </w:rPr>
        <w:t xml:space="preserve">In the legal system of the United Kingdom, the notion of dishonesty plays a fundamental role in the comprehension and determination of stealing charges. With an emphasis on the common law definition of dishonesty and relevant case law like Ivey v. Genting Casinos UK Ltd. (2017) and R v. Ghosh (1982), this essay critically analyses the function of dishonesty in connection to </w:t>
      </w:r>
      <w:r w:rsidR="00A271F6">
        <w:rPr>
          <w:rFonts w:ascii="Arial" w:hAnsi="Arial" w:cs="Arial"/>
        </w:rPr>
        <w:t>theft</w:t>
      </w:r>
      <w:r w:rsidR="00EB38C0" w:rsidRPr="00EB38C0">
        <w:rPr>
          <w:rFonts w:ascii="Arial" w:hAnsi="Arial" w:cs="Arial"/>
        </w:rPr>
        <w:t xml:space="preserve"> charges.</w:t>
      </w:r>
    </w:p>
    <w:p w14:paraId="3A00E021" w14:textId="13D772FF" w:rsidR="00A4458C" w:rsidRDefault="000D396D" w:rsidP="008540A8">
      <w:pPr>
        <w:jc w:val="both"/>
        <w:rPr>
          <w:rFonts w:ascii="Arial" w:hAnsi="Arial" w:cs="Arial"/>
        </w:rPr>
      </w:pPr>
      <w:r>
        <w:rPr>
          <w:rFonts w:ascii="Arial" w:hAnsi="Arial" w:cs="Arial"/>
        </w:rPr>
        <w:t>According</w:t>
      </w:r>
      <w:r w:rsidR="00925709">
        <w:rPr>
          <w:rFonts w:ascii="Arial" w:hAnsi="Arial" w:cs="Arial"/>
        </w:rPr>
        <w:t xml:space="preserve"> to Leggette (2019) </w:t>
      </w:r>
      <w:r w:rsidR="008E0D54">
        <w:rPr>
          <w:rFonts w:ascii="Arial" w:hAnsi="Arial" w:cs="Arial"/>
        </w:rPr>
        <w:t>In criminal law</w:t>
      </w:r>
      <w:r w:rsidR="00495455">
        <w:rPr>
          <w:rFonts w:ascii="Arial" w:hAnsi="Arial" w:cs="Arial"/>
        </w:rPr>
        <w:t xml:space="preserve">, assessing the level of </w:t>
      </w:r>
      <w:r w:rsidR="00925709">
        <w:rPr>
          <w:rFonts w:ascii="Arial" w:hAnsi="Arial" w:cs="Arial"/>
        </w:rPr>
        <w:t>dishonesty</w:t>
      </w:r>
      <w:r w:rsidR="00F010B9">
        <w:rPr>
          <w:rFonts w:ascii="Arial" w:hAnsi="Arial" w:cs="Arial"/>
        </w:rPr>
        <w:t xml:space="preserve"> </w:t>
      </w:r>
      <w:r w:rsidR="00363222">
        <w:rPr>
          <w:rFonts w:ascii="Arial" w:hAnsi="Arial" w:cs="Arial"/>
        </w:rPr>
        <w:t>concerning</w:t>
      </w:r>
      <w:r w:rsidR="00F010B9">
        <w:rPr>
          <w:rFonts w:ascii="Arial" w:hAnsi="Arial" w:cs="Arial"/>
        </w:rPr>
        <w:t xml:space="preserve"> certain property offences is considered an essential comp</w:t>
      </w:r>
      <w:r w:rsidR="00DE4CFA">
        <w:rPr>
          <w:rFonts w:ascii="Arial" w:hAnsi="Arial" w:cs="Arial"/>
        </w:rPr>
        <w:t>onent in determining criminal liability.</w:t>
      </w:r>
      <w:r w:rsidR="00271B5B">
        <w:rPr>
          <w:rFonts w:ascii="Arial" w:hAnsi="Arial" w:cs="Arial"/>
        </w:rPr>
        <w:t xml:space="preserve"> </w:t>
      </w:r>
      <w:r w:rsidR="00363222">
        <w:rPr>
          <w:rFonts w:ascii="Arial" w:hAnsi="Arial" w:cs="Arial"/>
        </w:rPr>
        <w:t>Nevertheless</w:t>
      </w:r>
      <w:r w:rsidR="00271B5B">
        <w:rPr>
          <w:rFonts w:ascii="Arial" w:hAnsi="Arial" w:cs="Arial"/>
        </w:rPr>
        <w:t>, the meaning o</w:t>
      </w:r>
      <w:r w:rsidR="00363222">
        <w:rPr>
          <w:rFonts w:ascii="Arial" w:hAnsi="Arial" w:cs="Arial"/>
        </w:rPr>
        <w:t>f</w:t>
      </w:r>
      <w:r w:rsidR="00271B5B">
        <w:rPr>
          <w:rFonts w:ascii="Arial" w:hAnsi="Arial" w:cs="Arial"/>
        </w:rPr>
        <w:t xml:space="preserve"> dishonesty is still </w:t>
      </w:r>
      <w:r w:rsidR="00EF7647">
        <w:rPr>
          <w:rFonts w:ascii="Arial" w:hAnsi="Arial" w:cs="Arial"/>
        </w:rPr>
        <w:t>partially specified by law</w:t>
      </w:r>
      <w:r w:rsidR="00EF598A">
        <w:rPr>
          <w:rFonts w:ascii="Arial" w:hAnsi="Arial" w:cs="Arial"/>
        </w:rPr>
        <w:t xml:space="preserve">; </w:t>
      </w:r>
      <w:r w:rsidR="00EF7647">
        <w:rPr>
          <w:rFonts w:ascii="Arial" w:hAnsi="Arial" w:cs="Arial"/>
        </w:rPr>
        <w:t>section</w:t>
      </w:r>
      <w:r w:rsidR="00EF598A">
        <w:rPr>
          <w:rFonts w:ascii="Arial" w:hAnsi="Arial" w:cs="Arial"/>
        </w:rPr>
        <w:t xml:space="preserve"> 2 of the Theft Act 1968</w:t>
      </w:r>
      <w:r w:rsidR="00340A5A">
        <w:rPr>
          <w:rFonts w:ascii="Arial" w:hAnsi="Arial" w:cs="Arial"/>
        </w:rPr>
        <w:t xml:space="preserve"> lists situations </w:t>
      </w:r>
      <w:r w:rsidR="00377806">
        <w:rPr>
          <w:rFonts w:ascii="Arial" w:hAnsi="Arial" w:cs="Arial"/>
        </w:rPr>
        <w:t>where</w:t>
      </w:r>
      <w:r w:rsidR="00340A5A">
        <w:rPr>
          <w:rFonts w:ascii="Arial" w:hAnsi="Arial" w:cs="Arial"/>
        </w:rPr>
        <w:t xml:space="preserve"> a person is not considered to have acted</w:t>
      </w:r>
      <w:r w:rsidR="008E240A">
        <w:rPr>
          <w:rFonts w:ascii="Arial" w:hAnsi="Arial" w:cs="Arial"/>
        </w:rPr>
        <w:t xml:space="preserve"> dishonestly.</w:t>
      </w:r>
      <w:r w:rsidR="00844EF4">
        <w:rPr>
          <w:rFonts w:ascii="Arial" w:hAnsi="Arial" w:cs="Arial"/>
        </w:rPr>
        <w:t xml:space="preserve"> </w:t>
      </w:r>
      <w:r w:rsidR="00E66D56">
        <w:rPr>
          <w:rFonts w:ascii="Arial" w:hAnsi="Arial" w:cs="Arial"/>
        </w:rPr>
        <w:t>The</w:t>
      </w:r>
      <w:r w:rsidR="00257AF4">
        <w:rPr>
          <w:rFonts w:ascii="Arial" w:hAnsi="Arial" w:cs="Arial"/>
        </w:rPr>
        <w:t xml:space="preserve"> case of </w:t>
      </w:r>
      <w:r w:rsidR="00E66D56" w:rsidRPr="00107380">
        <w:rPr>
          <w:rFonts w:ascii="Arial" w:hAnsi="Arial" w:cs="Arial"/>
        </w:rPr>
        <w:t>R.</w:t>
      </w:r>
      <w:r w:rsidR="00E66D56">
        <w:rPr>
          <w:rFonts w:ascii="Arial" w:hAnsi="Arial" w:cs="Arial"/>
        </w:rPr>
        <w:t>v</w:t>
      </w:r>
      <w:r w:rsidR="00E66D56" w:rsidRPr="00107380">
        <w:rPr>
          <w:rFonts w:ascii="Arial" w:hAnsi="Arial" w:cs="Arial"/>
        </w:rPr>
        <w:t xml:space="preserve"> Ghosh (1982) </w:t>
      </w:r>
      <w:r w:rsidR="00E66D56">
        <w:rPr>
          <w:rFonts w:ascii="Arial" w:hAnsi="Arial" w:cs="Arial"/>
        </w:rPr>
        <w:t>versus</w:t>
      </w:r>
      <w:r w:rsidR="00E66D56" w:rsidRPr="00107380">
        <w:rPr>
          <w:rFonts w:ascii="Arial" w:hAnsi="Arial" w:cs="Arial"/>
        </w:rPr>
        <w:t xml:space="preserve"> Ivey V Genting Casino UK Ltd (2017)</w:t>
      </w:r>
      <w:r w:rsidR="00E66D56">
        <w:rPr>
          <w:rFonts w:ascii="Arial" w:hAnsi="Arial" w:cs="Arial"/>
        </w:rPr>
        <w:t xml:space="preserve"> is a case regarding a professional gambler Phil Ivey who attended Crockford Club, a casino in London, Phil Ivey played a game of Punto Banco, a variation of baccarat. Ivey won many winnings for two days, but the casino refused to give his winnings back, claiming he had taken unfair advantage of the tactic called “edge-sorting”. To ascertain the face value of playing cards, edge-sorting entails finding minute variations in the patterns on the backs of the cards (lawteacher.net, 2024).</w:t>
      </w:r>
    </w:p>
    <w:p w14:paraId="6E56DFAE" w14:textId="1FD31322" w:rsidR="007328FA" w:rsidRPr="007328FA" w:rsidRDefault="007328FA" w:rsidP="008540A8">
      <w:pPr>
        <w:jc w:val="both"/>
        <w:rPr>
          <w:rFonts w:ascii="Arial" w:hAnsi="Arial" w:cs="Arial"/>
        </w:rPr>
      </w:pPr>
      <w:r w:rsidRPr="007328FA">
        <w:rPr>
          <w:rFonts w:ascii="Arial" w:hAnsi="Arial" w:cs="Arial"/>
        </w:rPr>
        <w:t>As a result of the accusations of dishonesty, Phil Ivey not only lost his winnings but also had to deal with high legal costs and harm to his reputation. This case provides a prime example of the grave repercussions that can result from acting dishonestly, especially in the gaming industry where honesty and justice are crucial</w:t>
      </w:r>
      <w:r w:rsidR="006E79A6">
        <w:rPr>
          <w:rFonts w:ascii="Arial" w:hAnsi="Arial" w:cs="Arial"/>
        </w:rPr>
        <w:t xml:space="preserve"> (</w:t>
      </w:r>
      <w:r w:rsidR="007C215D">
        <w:rPr>
          <w:rFonts w:ascii="Arial" w:hAnsi="Arial" w:cs="Arial"/>
        </w:rPr>
        <w:t>Barker and Chambers, 20</w:t>
      </w:r>
      <w:r w:rsidR="008A61C7">
        <w:rPr>
          <w:rFonts w:ascii="Arial" w:hAnsi="Arial" w:cs="Arial"/>
        </w:rPr>
        <w:t xml:space="preserve">24). </w:t>
      </w:r>
      <w:r w:rsidRPr="007328FA">
        <w:rPr>
          <w:rFonts w:ascii="Arial" w:hAnsi="Arial" w:cs="Arial"/>
        </w:rPr>
        <w:t xml:space="preserve">The criteria for determining dishonesty in other areas of law, particularly criminal law, has been significantly impacted by the Ivey v. Genting Casinos case. </w:t>
      </w:r>
    </w:p>
    <w:p w14:paraId="15D00B7A" w14:textId="603C4338" w:rsidR="007328FA" w:rsidRPr="007328FA" w:rsidRDefault="001A4D19" w:rsidP="008540A8">
      <w:pPr>
        <w:jc w:val="both"/>
        <w:rPr>
          <w:rFonts w:ascii="Arial" w:hAnsi="Arial" w:cs="Arial"/>
        </w:rPr>
      </w:pPr>
      <w:r>
        <w:rPr>
          <w:rFonts w:ascii="Arial" w:hAnsi="Arial" w:cs="Arial"/>
        </w:rPr>
        <w:t xml:space="preserve">As stated by </w:t>
      </w:r>
      <w:r w:rsidR="008F11D2">
        <w:rPr>
          <w:rFonts w:ascii="Arial" w:hAnsi="Arial" w:cs="Arial"/>
        </w:rPr>
        <w:t>Sh</w:t>
      </w:r>
      <w:r w:rsidR="00044F26">
        <w:rPr>
          <w:rFonts w:ascii="Arial" w:hAnsi="Arial" w:cs="Arial"/>
        </w:rPr>
        <w:t xml:space="preserve">ehadeh </w:t>
      </w:r>
      <w:r w:rsidR="00E96E0D">
        <w:rPr>
          <w:rFonts w:ascii="Arial" w:hAnsi="Arial" w:cs="Arial"/>
        </w:rPr>
        <w:t>(2017),</w:t>
      </w:r>
      <w:r w:rsidR="007473A8">
        <w:rPr>
          <w:rFonts w:ascii="Arial" w:hAnsi="Arial" w:cs="Arial"/>
        </w:rPr>
        <w:t xml:space="preserve"> </w:t>
      </w:r>
      <w:r w:rsidR="00E96E0D">
        <w:rPr>
          <w:rFonts w:ascii="Arial" w:hAnsi="Arial" w:cs="Arial"/>
        </w:rPr>
        <w:t>t</w:t>
      </w:r>
      <w:r w:rsidR="007328FA" w:rsidRPr="007328FA">
        <w:rPr>
          <w:rFonts w:ascii="Arial" w:hAnsi="Arial" w:cs="Arial"/>
        </w:rPr>
        <w:t xml:space="preserve">he two-stage test developed in the 1982 case of R v. Ghosh served as the foundation for the methodology used to determine dishonesty in criminal proceedings </w:t>
      </w:r>
      <w:r w:rsidR="00E35FE8">
        <w:rPr>
          <w:rFonts w:ascii="Arial" w:hAnsi="Arial" w:cs="Arial"/>
        </w:rPr>
        <w:t>before</w:t>
      </w:r>
      <w:r w:rsidR="007328FA" w:rsidRPr="007328FA">
        <w:rPr>
          <w:rFonts w:ascii="Arial" w:hAnsi="Arial" w:cs="Arial"/>
        </w:rPr>
        <w:t xml:space="preserve"> the ruling in Ivey. The Ghosh test said that </w:t>
      </w:r>
      <w:r w:rsidR="00E35FE8">
        <w:rPr>
          <w:rFonts w:ascii="Arial" w:hAnsi="Arial" w:cs="Arial"/>
        </w:rPr>
        <w:t>for</w:t>
      </w:r>
      <w:r w:rsidR="007328FA" w:rsidRPr="007328FA">
        <w:rPr>
          <w:rFonts w:ascii="Arial" w:hAnsi="Arial" w:cs="Arial"/>
        </w:rPr>
        <w:t xml:space="preserve"> behaviour to be considered dishonest, it had to meet two requirements: an objective component (was the behaviour dishonest by the standards of reasonable and honest individuals) and a subjective component (did the defendant understand that his actions were dishonest by those standards). </w:t>
      </w:r>
    </w:p>
    <w:p w14:paraId="738A256C" w14:textId="59D01491" w:rsidR="008540A8" w:rsidRPr="008540A8" w:rsidRDefault="007328FA" w:rsidP="008540A8">
      <w:pPr>
        <w:jc w:val="both"/>
        <w:rPr>
          <w:rFonts w:ascii="Arial" w:hAnsi="Arial" w:cs="Arial"/>
        </w:rPr>
      </w:pPr>
      <w:r w:rsidRPr="007328FA">
        <w:rPr>
          <w:rFonts w:ascii="Arial" w:hAnsi="Arial" w:cs="Arial"/>
        </w:rPr>
        <w:t xml:space="preserve">However, in the Ivey case, the UK Supreme Court rejected the subjective Ghosh test and re-examined the dishonesty test. The court determined that the test's subjective component was erroneous and unclear, which caused inconsistent results when </w:t>
      </w:r>
      <w:r w:rsidRPr="007328FA">
        <w:rPr>
          <w:rFonts w:ascii="Arial" w:hAnsi="Arial" w:cs="Arial"/>
        </w:rPr>
        <w:lastRenderedPageBreak/>
        <w:t>applying it. Rather, the court supported a wholly objective basis for determining dishonesty, holding that the standards of common, reasonable people should be used to evaluate dishonesty</w:t>
      </w:r>
      <w:r w:rsidR="008540A8">
        <w:rPr>
          <w:rFonts w:ascii="Arial" w:hAnsi="Arial" w:cs="Arial"/>
        </w:rPr>
        <w:t>.</w:t>
      </w:r>
      <w:r w:rsidR="008540A8" w:rsidRPr="008540A8">
        <w:t xml:space="preserve"> </w:t>
      </w:r>
      <w:r w:rsidR="008540A8" w:rsidRPr="008540A8">
        <w:rPr>
          <w:rFonts w:ascii="Arial" w:hAnsi="Arial" w:cs="Arial"/>
        </w:rPr>
        <w:t xml:space="preserve">The Ivey case has affected the standard for dishonesty in several criminal law contexts, including fraud, theft, and white-collar crime. Its effects go beyond the domain of gambling law. The Ivey judgement has improved clarity and uniformity in evaluating dishonesty in criminal proceedings by establishing a strictly objective standard. </w:t>
      </w:r>
    </w:p>
    <w:p w14:paraId="15CAA72F" w14:textId="77777777" w:rsidR="008540A8" w:rsidRPr="008540A8" w:rsidRDefault="008540A8" w:rsidP="008540A8">
      <w:pPr>
        <w:jc w:val="both"/>
        <w:rPr>
          <w:rFonts w:ascii="Arial" w:hAnsi="Arial" w:cs="Arial"/>
        </w:rPr>
      </w:pPr>
      <w:r w:rsidRPr="008540A8">
        <w:rPr>
          <w:rFonts w:ascii="Arial" w:hAnsi="Arial" w:cs="Arial"/>
        </w:rPr>
        <w:t xml:space="preserve">In civil law contexts, where dishonesty issues may surface in contractual disputes, lawsuits involving torts, and other civil litigation matters, the Ivey test for dishonesty has also been adopted. All things considered, the Ivey case has changed the way that dishonesty is viewed by the law, creating a new benchmark for judging dishonest behaviour in both criminal and civil law settings. </w:t>
      </w:r>
    </w:p>
    <w:p w14:paraId="32B34ED8" w14:textId="010EC684" w:rsidR="008540A8" w:rsidRPr="008540A8" w:rsidRDefault="000860EA" w:rsidP="008540A8">
      <w:pPr>
        <w:jc w:val="both"/>
        <w:rPr>
          <w:rFonts w:ascii="Arial" w:hAnsi="Arial" w:cs="Arial"/>
        </w:rPr>
      </w:pPr>
      <w:r>
        <w:rPr>
          <w:rFonts w:ascii="Arial" w:hAnsi="Arial" w:cs="Arial"/>
        </w:rPr>
        <w:t xml:space="preserve">According to </w:t>
      </w:r>
      <w:r w:rsidR="00F03BBA">
        <w:rPr>
          <w:rFonts w:ascii="Arial" w:hAnsi="Arial" w:cs="Arial"/>
        </w:rPr>
        <w:t>Graham, A. and Roberts, C. (2020)</w:t>
      </w:r>
      <w:r w:rsidR="00EC4BD5">
        <w:rPr>
          <w:rFonts w:ascii="Arial" w:hAnsi="Arial" w:cs="Arial"/>
        </w:rPr>
        <w:t xml:space="preserve">, </w:t>
      </w:r>
      <w:r w:rsidR="008540A8" w:rsidRPr="008540A8">
        <w:rPr>
          <w:rFonts w:ascii="Arial" w:hAnsi="Arial" w:cs="Arial"/>
        </w:rPr>
        <w:t xml:space="preserve">UK law, a key factor in determining criminal responsibility for theft charges is dishonesty. An objective and a subjective component were needed for the two-part test for dishonesty, which was first proposed in the landmark case of </w:t>
      </w:r>
      <w:r w:rsidR="006E7498" w:rsidRPr="008540A8">
        <w:rPr>
          <w:rFonts w:ascii="Arial" w:hAnsi="Arial" w:cs="Arial"/>
        </w:rPr>
        <w:t>R</w:t>
      </w:r>
      <w:r w:rsidR="006E7498">
        <w:rPr>
          <w:rFonts w:ascii="Arial" w:hAnsi="Arial" w:cs="Arial"/>
        </w:rPr>
        <w:t>.</w:t>
      </w:r>
      <w:r w:rsidR="006E7498" w:rsidRPr="008540A8">
        <w:rPr>
          <w:rFonts w:ascii="Arial" w:hAnsi="Arial" w:cs="Arial"/>
        </w:rPr>
        <w:t xml:space="preserve">v </w:t>
      </w:r>
      <w:r w:rsidR="006E7498">
        <w:rPr>
          <w:rFonts w:ascii="Arial" w:hAnsi="Arial" w:cs="Arial"/>
        </w:rPr>
        <w:t>Ghosh</w:t>
      </w:r>
      <w:r w:rsidR="008540A8" w:rsidRPr="008540A8">
        <w:rPr>
          <w:rFonts w:ascii="Arial" w:hAnsi="Arial" w:cs="Arial"/>
        </w:rPr>
        <w:t xml:space="preserve"> (1982). This test states that a defendant is deemed dishonest if their actions were dishonest by the common standards of reasonable and honest individuals (objective element) and if they knew, based on those standards, that their actions were dishonest (subjective element). The subjective nature of this test has drawn criticism, too, as some contend that it could provide erratic and unpredictable results.  </w:t>
      </w:r>
    </w:p>
    <w:p w14:paraId="23E479EE" w14:textId="74AE8AC4" w:rsidR="008540A8" w:rsidRPr="008540A8" w:rsidRDefault="008540A8" w:rsidP="008540A8">
      <w:pPr>
        <w:jc w:val="both"/>
        <w:rPr>
          <w:rFonts w:ascii="Arial" w:hAnsi="Arial" w:cs="Arial"/>
        </w:rPr>
      </w:pPr>
      <w:r w:rsidRPr="008540A8">
        <w:rPr>
          <w:rFonts w:ascii="Arial" w:hAnsi="Arial" w:cs="Arial"/>
        </w:rPr>
        <w:t xml:space="preserve">The logical component and the subjective aspect are the two primary elements of the Ghosh exam. First, the jury must determine whether the defendant's actions would be viewed as dishonest by the norms of reasonable and ordinary people </w:t>
      </w:r>
      <w:r w:rsidR="00E35FE8">
        <w:rPr>
          <w:rFonts w:ascii="Arial" w:hAnsi="Arial" w:cs="Arial"/>
        </w:rPr>
        <w:t>to</w:t>
      </w:r>
      <w:r w:rsidRPr="008540A8">
        <w:rPr>
          <w:rFonts w:ascii="Arial" w:hAnsi="Arial" w:cs="Arial"/>
        </w:rPr>
        <w:t xml:space="preserve"> satisfy the objective element. Essentially, the jury's task is to decide </w:t>
      </w:r>
      <w:r w:rsidR="00A4253D" w:rsidRPr="008540A8">
        <w:rPr>
          <w:rFonts w:ascii="Arial" w:hAnsi="Arial" w:cs="Arial"/>
        </w:rPr>
        <w:t>whether</w:t>
      </w:r>
      <w:r w:rsidRPr="008540A8">
        <w:rPr>
          <w:rFonts w:ascii="Arial" w:hAnsi="Arial" w:cs="Arial"/>
        </w:rPr>
        <w:t xml:space="preserve"> a reasonable person, aware of the circumstances, would consider the defendant's behaviour to be dishonest. When comparing the defendant's actions to societal standards and expectations, this objective evaluation is an essential reference point. </w:t>
      </w:r>
    </w:p>
    <w:p w14:paraId="4E7919A4" w14:textId="4F52DB63" w:rsidR="008540A8" w:rsidRPr="008540A8" w:rsidRDefault="008540A8" w:rsidP="008540A8">
      <w:pPr>
        <w:jc w:val="both"/>
        <w:rPr>
          <w:rFonts w:ascii="Arial" w:hAnsi="Arial" w:cs="Arial"/>
        </w:rPr>
      </w:pPr>
      <w:r w:rsidRPr="008540A8">
        <w:rPr>
          <w:rFonts w:ascii="Arial" w:hAnsi="Arial" w:cs="Arial"/>
        </w:rPr>
        <w:t>secondly</w:t>
      </w:r>
      <w:r w:rsidR="008D5622">
        <w:rPr>
          <w:rFonts w:ascii="Arial" w:hAnsi="Arial" w:cs="Arial"/>
        </w:rPr>
        <w:t>,</w:t>
      </w:r>
      <w:r w:rsidRPr="008540A8">
        <w:rPr>
          <w:rFonts w:ascii="Arial" w:hAnsi="Arial" w:cs="Arial"/>
        </w:rPr>
        <w:t xml:space="preserve"> the Ghosh test's subjective component entails a questioning of the defendant's mental state </w:t>
      </w:r>
      <w:r w:rsidR="009D3B7D">
        <w:rPr>
          <w:rFonts w:ascii="Arial" w:hAnsi="Arial" w:cs="Arial"/>
        </w:rPr>
        <w:t>concerning</w:t>
      </w:r>
      <w:r w:rsidRPr="008540A8">
        <w:rPr>
          <w:rFonts w:ascii="Arial" w:hAnsi="Arial" w:cs="Arial"/>
        </w:rPr>
        <w:t xml:space="preserve"> their actions. The jury's task in this case is to determine whether the accused person subjectively acknowledged that, by the criteria of fair and normal persons, their conduct </w:t>
      </w:r>
      <w:r w:rsidR="009D3B7D">
        <w:rPr>
          <w:rFonts w:ascii="Arial" w:hAnsi="Arial" w:cs="Arial"/>
        </w:rPr>
        <w:t>was</w:t>
      </w:r>
      <w:r w:rsidRPr="008540A8">
        <w:rPr>
          <w:rFonts w:ascii="Arial" w:hAnsi="Arial" w:cs="Arial"/>
        </w:rPr>
        <w:t xml:space="preserve"> dishonest. Stated otherwise, was the accused </w:t>
      </w:r>
      <w:r w:rsidR="00A4253D" w:rsidRPr="008540A8">
        <w:rPr>
          <w:rFonts w:ascii="Arial" w:hAnsi="Arial" w:cs="Arial"/>
        </w:rPr>
        <w:t>party.</w:t>
      </w:r>
      <w:r w:rsidRPr="008540A8">
        <w:rPr>
          <w:rFonts w:ascii="Arial" w:hAnsi="Arial" w:cs="Arial"/>
        </w:rPr>
        <w:t xml:space="preserve"> </w:t>
      </w:r>
      <w:r w:rsidR="00A4253D">
        <w:rPr>
          <w:rFonts w:ascii="Arial" w:hAnsi="Arial" w:cs="Arial"/>
        </w:rPr>
        <w:t>A</w:t>
      </w:r>
      <w:r w:rsidRPr="008540A8">
        <w:rPr>
          <w:rFonts w:ascii="Arial" w:hAnsi="Arial" w:cs="Arial"/>
        </w:rPr>
        <w:t xml:space="preserve">cting with dishonesty now of the claimed offence? This subjective evaluation explores the defendant's motives, goals, and worldview to shed light on their guilt. </w:t>
      </w:r>
    </w:p>
    <w:p w14:paraId="16D983FE" w14:textId="18A3D982" w:rsidR="008540A8" w:rsidRPr="008540A8" w:rsidRDefault="008540A8" w:rsidP="008540A8">
      <w:pPr>
        <w:jc w:val="both"/>
        <w:rPr>
          <w:rFonts w:ascii="Arial" w:hAnsi="Arial" w:cs="Arial"/>
        </w:rPr>
      </w:pPr>
      <w:r w:rsidRPr="008540A8">
        <w:rPr>
          <w:rFonts w:ascii="Arial" w:hAnsi="Arial" w:cs="Arial"/>
        </w:rPr>
        <w:t xml:space="preserve">To provide a comprehensive analysis they look at numerous examples and court rulings that have influenced the interpretation and use of the Ghosh test </w:t>
      </w:r>
      <w:r w:rsidR="009D3B7D">
        <w:rPr>
          <w:rFonts w:ascii="Arial" w:hAnsi="Arial" w:cs="Arial"/>
        </w:rPr>
        <w:t>to</w:t>
      </w:r>
      <w:r w:rsidRPr="008540A8">
        <w:rPr>
          <w:rFonts w:ascii="Arial" w:hAnsi="Arial" w:cs="Arial"/>
        </w:rPr>
        <w:t xml:space="preserve"> offer a thorough overview. These examples provide insightful information on the subtleties and difficulties involved in determining dishonesty in various factual contexts. We might look at the Ghosh test's use in situations involving complex financial fraud, small-time larceny, or morally dubious situations. </w:t>
      </w:r>
    </w:p>
    <w:p w14:paraId="31A971D4" w14:textId="0D2A775C" w:rsidR="008540A8" w:rsidRPr="008540A8" w:rsidRDefault="008540A8" w:rsidP="008540A8">
      <w:pPr>
        <w:jc w:val="both"/>
        <w:rPr>
          <w:rFonts w:ascii="Arial" w:hAnsi="Arial" w:cs="Arial"/>
        </w:rPr>
      </w:pPr>
      <w:r w:rsidRPr="008540A8">
        <w:rPr>
          <w:rFonts w:ascii="Arial" w:hAnsi="Arial" w:cs="Arial"/>
        </w:rPr>
        <w:lastRenderedPageBreak/>
        <w:t>By presenting both sides of the argument and engaging with relevant evidence and analysis they seek to offer a thorough grasp of the notion of dishonesty in stealing</w:t>
      </w:r>
      <w:r w:rsidR="007B7BA7">
        <w:rPr>
          <w:rFonts w:ascii="Arial" w:hAnsi="Arial" w:cs="Arial"/>
        </w:rPr>
        <w:t xml:space="preserve"> </w:t>
      </w:r>
      <w:r w:rsidRPr="008540A8">
        <w:rPr>
          <w:rFonts w:ascii="Arial" w:hAnsi="Arial" w:cs="Arial"/>
        </w:rPr>
        <w:t xml:space="preserve">offences within the UK legal system by outlining both sides of the debate and interacting with pertinent data and analysis. </w:t>
      </w:r>
      <w:r w:rsidR="009D3B7D">
        <w:rPr>
          <w:rFonts w:ascii="Arial" w:hAnsi="Arial" w:cs="Arial"/>
        </w:rPr>
        <w:t>Using</w:t>
      </w:r>
      <w:r w:rsidRPr="008540A8">
        <w:rPr>
          <w:rFonts w:ascii="Arial" w:hAnsi="Arial" w:cs="Arial"/>
        </w:rPr>
        <w:t xml:space="preserve"> analytical scrutiny and deliberate discussion, </w:t>
      </w:r>
      <w:r w:rsidR="009D3B7D">
        <w:rPr>
          <w:rFonts w:ascii="Arial" w:hAnsi="Arial" w:cs="Arial"/>
        </w:rPr>
        <w:t>we aim</w:t>
      </w:r>
      <w:r w:rsidRPr="008540A8">
        <w:rPr>
          <w:rFonts w:ascii="Arial" w:hAnsi="Arial" w:cs="Arial"/>
        </w:rPr>
        <w:t xml:space="preserve"> to clarify the intricacies and consequences associated with evaluating dishonest behaviour within the framework of criminal law. </w:t>
      </w:r>
    </w:p>
    <w:p w14:paraId="7DC3F3F2" w14:textId="5CE43327" w:rsidR="008540A8" w:rsidRPr="008540A8" w:rsidRDefault="008540A8" w:rsidP="008540A8">
      <w:pPr>
        <w:jc w:val="both"/>
        <w:rPr>
          <w:rFonts w:ascii="Arial" w:hAnsi="Arial" w:cs="Arial"/>
        </w:rPr>
      </w:pPr>
      <w:r w:rsidRPr="008540A8">
        <w:rPr>
          <w:rFonts w:ascii="Arial" w:hAnsi="Arial" w:cs="Arial"/>
        </w:rPr>
        <w:t xml:space="preserve"> Moreover, the examination goes beyond the Ghosh test to </w:t>
      </w:r>
      <w:r w:rsidR="007B7BA7" w:rsidRPr="008540A8">
        <w:rPr>
          <w:rFonts w:ascii="Arial" w:hAnsi="Arial" w:cs="Arial"/>
        </w:rPr>
        <w:t>consider</w:t>
      </w:r>
      <w:r w:rsidRPr="008540A8">
        <w:rPr>
          <w:rFonts w:ascii="Arial" w:hAnsi="Arial" w:cs="Arial"/>
        </w:rPr>
        <w:t xml:space="preserve"> different perspectives and objections from the legal academic community. Certain academics contend that the Ghosh test's dependence on individuals' subjective assessments of dishonesty could result in irregularities and unfairness in its implementation. Some, on the other hand, support a criterion that is more objective and grounded in moral and societal values. </w:t>
      </w:r>
    </w:p>
    <w:p w14:paraId="009DC31A" w14:textId="3598082E" w:rsidR="008540A8" w:rsidRDefault="008540A8" w:rsidP="008540A8">
      <w:pPr>
        <w:jc w:val="both"/>
        <w:rPr>
          <w:rFonts w:ascii="Arial" w:hAnsi="Arial" w:cs="Arial"/>
        </w:rPr>
      </w:pPr>
      <w:r w:rsidRPr="008540A8">
        <w:rPr>
          <w:rFonts w:ascii="Arial" w:hAnsi="Arial" w:cs="Arial"/>
        </w:rPr>
        <w:t xml:space="preserve"> Subsequent case law, most notably Ivey v. Genting Casinos UK Ltd. (2017), significantly altered the standards for what constitutes dishonesty. The Supreme Court ruled in this instance that the Ghosh test's subjective component was faulty and therefore to be dropped. Rather, the Court upheld an entirely objective standard for dishonesty, by the ideals of justice and clarity of the law. The only consideration under this objective test is whether the defendant's actions would be viewed as dishonest by the average and reasonable person. </w:t>
      </w:r>
    </w:p>
    <w:p w14:paraId="69A65677" w14:textId="01EC3EA9" w:rsidR="00F435A8" w:rsidRDefault="002B1671" w:rsidP="008540A8">
      <w:pPr>
        <w:jc w:val="both"/>
        <w:rPr>
          <w:rFonts w:ascii="Arial" w:hAnsi="Arial" w:cs="Arial"/>
        </w:rPr>
      </w:pPr>
      <w:r>
        <w:rPr>
          <w:rFonts w:ascii="Arial" w:hAnsi="Arial" w:cs="Arial"/>
        </w:rPr>
        <w:t xml:space="preserve">Moreover, </w:t>
      </w:r>
      <w:r w:rsidR="00CE6CEB">
        <w:rPr>
          <w:rFonts w:ascii="Arial" w:hAnsi="Arial" w:cs="Arial"/>
        </w:rPr>
        <w:t xml:space="preserve">there </w:t>
      </w:r>
      <w:r w:rsidR="001600CF">
        <w:rPr>
          <w:rFonts w:ascii="Arial" w:hAnsi="Arial" w:cs="Arial"/>
        </w:rPr>
        <w:t>are</w:t>
      </w:r>
      <w:r w:rsidR="00CE6CEB">
        <w:rPr>
          <w:rFonts w:ascii="Arial" w:hAnsi="Arial" w:cs="Arial"/>
        </w:rPr>
        <w:t xml:space="preserve"> advantages and disadvantages of the </w:t>
      </w:r>
      <w:r w:rsidR="00917297">
        <w:rPr>
          <w:rFonts w:ascii="Arial" w:hAnsi="Arial" w:cs="Arial"/>
        </w:rPr>
        <w:t>Ivey v Genting</w:t>
      </w:r>
      <w:r w:rsidR="00AC26C1">
        <w:rPr>
          <w:rFonts w:ascii="Arial" w:hAnsi="Arial" w:cs="Arial"/>
        </w:rPr>
        <w:t xml:space="preserve"> C</w:t>
      </w:r>
      <w:r w:rsidR="00917297">
        <w:rPr>
          <w:rFonts w:ascii="Arial" w:hAnsi="Arial" w:cs="Arial"/>
        </w:rPr>
        <w:t>asinos U</w:t>
      </w:r>
      <w:r w:rsidR="00AC26C1">
        <w:rPr>
          <w:rFonts w:ascii="Arial" w:hAnsi="Arial" w:cs="Arial"/>
        </w:rPr>
        <w:t>K</w:t>
      </w:r>
      <w:r w:rsidR="00917297">
        <w:rPr>
          <w:rFonts w:ascii="Arial" w:hAnsi="Arial" w:cs="Arial"/>
        </w:rPr>
        <w:t xml:space="preserve"> Ltd (20</w:t>
      </w:r>
      <w:r w:rsidR="00AC26C1">
        <w:rPr>
          <w:rFonts w:ascii="Arial" w:hAnsi="Arial" w:cs="Arial"/>
        </w:rPr>
        <w:t>17)</w:t>
      </w:r>
      <w:r w:rsidR="00507361">
        <w:rPr>
          <w:rFonts w:ascii="Arial" w:hAnsi="Arial" w:cs="Arial"/>
        </w:rPr>
        <w:t xml:space="preserve"> </w:t>
      </w:r>
      <w:r w:rsidR="00CE6CEB">
        <w:rPr>
          <w:rFonts w:ascii="Arial" w:hAnsi="Arial" w:cs="Arial"/>
        </w:rPr>
        <w:t xml:space="preserve">case. The advantages </w:t>
      </w:r>
      <w:r w:rsidR="00A575C2">
        <w:rPr>
          <w:rFonts w:ascii="Arial" w:hAnsi="Arial" w:cs="Arial"/>
        </w:rPr>
        <w:t>lie</w:t>
      </w:r>
      <w:r w:rsidR="00C32A39">
        <w:rPr>
          <w:rFonts w:ascii="Arial" w:hAnsi="Arial" w:cs="Arial"/>
        </w:rPr>
        <w:t xml:space="preserve"> in the </w:t>
      </w:r>
      <w:r w:rsidR="00A575C2">
        <w:rPr>
          <w:rFonts w:ascii="Arial" w:hAnsi="Arial" w:cs="Arial"/>
        </w:rPr>
        <w:t>clarification</w:t>
      </w:r>
      <w:r w:rsidR="00C32A39">
        <w:rPr>
          <w:rFonts w:ascii="Arial" w:hAnsi="Arial" w:cs="Arial"/>
        </w:rPr>
        <w:t xml:space="preserve"> of the</w:t>
      </w:r>
      <w:r w:rsidR="00CE6CEB">
        <w:rPr>
          <w:rFonts w:ascii="Arial" w:hAnsi="Arial" w:cs="Arial"/>
        </w:rPr>
        <w:t xml:space="preserve"> </w:t>
      </w:r>
      <w:r w:rsidR="005E1E52">
        <w:rPr>
          <w:rFonts w:ascii="Arial" w:hAnsi="Arial" w:cs="Arial"/>
        </w:rPr>
        <w:t xml:space="preserve">subjective aspect of dishonesty </w:t>
      </w:r>
      <w:r w:rsidR="001600CF">
        <w:rPr>
          <w:rFonts w:ascii="Arial" w:hAnsi="Arial" w:cs="Arial"/>
        </w:rPr>
        <w:t>concerning</w:t>
      </w:r>
      <w:r w:rsidR="005E1E52">
        <w:rPr>
          <w:rFonts w:ascii="Arial" w:hAnsi="Arial" w:cs="Arial"/>
        </w:rPr>
        <w:t xml:space="preserve"> criminal law.</w:t>
      </w:r>
      <w:r w:rsidR="00CB1B4F">
        <w:rPr>
          <w:rFonts w:ascii="Arial" w:hAnsi="Arial" w:cs="Arial"/>
        </w:rPr>
        <w:t xml:space="preserve"> In circumstances where dishones</w:t>
      </w:r>
      <w:r w:rsidR="0050399C">
        <w:rPr>
          <w:rFonts w:ascii="Arial" w:hAnsi="Arial" w:cs="Arial"/>
        </w:rPr>
        <w:t>t conduct is involved, the ruling offers a more trans</w:t>
      </w:r>
      <w:r w:rsidR="007F1699">
        <w:rPr>
          <w:rFonts w:ascii="Arial" w:hAnsi="Arial" w:cs="Arial"/>
        </w:rPr>
        <w:t>pa</w:t>
      </w:r>
      <w:r w:rsidR="00ED4E6C">
        <w:rPr>
          <w:rFonts w:ascii="Arial" w:hAnsi="Arial" w:cs="Arial"/>
        </w:rPr>
        <w:t xml:space="preserve">rent and consistent </w:t>
      </w:r>
      <w:r w:rsidR="00F45D41">
        <w:rPr>
          <w:rFonts w:ascii="Arial" w:hAnsi="Arial" w:cs="Arial"/>
        </w:rPr>
        <w:t>framework</w:t>
      </w:r>
      <w:r w:rsidR="00ED4E6C">
        <w:rPr>
          <w:rFonts w:ascii="Arial" w:hAnsi="Arial" w:cs="Arial"/>
        </w:rPr>
        <w:t xml:space="preserve"> for </w:t>
      </w:r>
      <w:r w:rsidR="00F45D41">
        <w:rPr>
          <w:rFonts w:ascii="Arial" w:hAnsi="Arial" w:cs="Arial"/>
        </w:rPr>
        <w:t>determining</w:t>
      </w:r>
      <w:r w:rsidR="00ED4E6C">
        <w:rPr>
          <w:rFonts w:ascii="Arial" w:hAnsi="Arial" w:cs="Arial"/>
        </w:rPr>
        <w:t xml:space="preserve"> criminal responsibility</w:t>
      </w:r>
      <w:r w:rsidR="00F45D41">
        <w:rPr>
          <w:rFonts w:ascii="Arial" w:hAnsi="Arial" w:cs="Arial"/>
        </w:rPr>
        <w:t xml:space="preserve"> by calling for an entirely objective method</w:t>
      </w:r>
      <w:r w:rsidR="006021DE">
        <w:rPr>
          <w:rFonts w:ascii="Arial" w:hAnsi="Arial" w:cs="Arial"/>
        </w:rPr>
        <w:t xml:space="preserve"> to judging dishonesty based on the defendant’s</w:t>
      </w:r>
      <w:r w:rsidR="00582F2C">
        <w:rPr>
          <w:rFonts w:ascii="Arial" w:hAnsi="Arial" w:cs="Arial"/>
        </w:rPr>
        <w:t xml:space="preserve"> mental state. This method reduces the legal analysis and may</w:t>
      </w:r>
      <w:r w:rsidR="000224A5">
        <w:rPr>
          <w:rFonts w:ascii="Arial" w:hAnsi="Arial" w:cs="Arial"/>
        </w:rPr>
        <w:t xml:space="preserve"> minimise ambiguity in court deci</w:t>
      </w:r>
      <w:r w:rsidR="007925AD">
        <w:rPr>
          <w:rFonts w:ascii="Arial" w:hAnsi="Arial" w:cs="Arial"/>
        </w:rPr>
        <w:t xml:space="preserve">sions by doing away with the requirement to inquire about </w:t>
      </w:r>
      <w:r w:rsidR="00296D84">
        <w:rPr>
          <w:rFonts w:ascii="Arial" w:hAnsi="Arial" w:cs="Arial"/>
        </w:rPr>
        <w:t>the defendant's morality or personal belief.</w:t>
      </w:r>
    </w:p>
    <w:p w14:paraId="48FA51A5" w14:textId="3DD1B9E7" w:rsidR="00296D84" w:rsidRPr="008540A8" w:rsidRDefault="00B64155" w:rsidP="008540A8">
      <w:pPr>
        <w:jc w:val="both"/>
        <w:rPr>
          <w:rFonts w:ascii="Arial" w:hAnsi="Arial" w:cs="Arial"/>
        </w:rPr>
      </w:pPr>
      <w:r>
        <w:rPr>
          <w:rFonts w:ascii="Arial" w:hAnsi="Arial" w:cs="Arial"/>
        </w:rPr>
        <w:t xml:space="preserve">However, </w:t>
      </w:r>
      <w:r w:rsidR="003A2BCF">
        <w:rPr>
          <w:rFonts w:ascii="Arial" w:hAnsi="Arial" w:cs="Arial"/>
        </w:rPr>
        <w:t xml:space="preserve">the </w:t>
      </w:r>
      <w:r w:rsidR="00296D84">
        <w:rPr>
          <w:rFonts w:ascii="Arial" w:hAnsi="Arial" w:cs="Arial"/>
        </w:rPr>
        <w:t xml:space="preserve">disadvantage </w:t>
      </w:r>
      <w:r w:rsidR="00123B34">
        <w:rPr>
          <w:rFonts w:ascii="Arial" w:hAnsi="Arial" w:cs="Arial"/>
        </w:rPr>
        <w:t>might deviate from acc</w:t>
      </w:r>
      <w:r w:rsidR="00156BD8">
        <w:rPr>
          <w:rFonts w:ascii="Arial" w:hAnsi="Arial" w:cs="Arial"/>
        </w:rPr>
        <w:t xml:space="preserve">epted legal precedents and social norms when </w:t>
      </w:r>
      <w:r w:rsidR="007908C4">
        <w:rPr>
          <w:rFonts w:ascii="Arial" w:hAnsi="Arial" w:cs="Arial"/>
        </w:rPr>
        <w:t>judging what constitutes dishonesty. The decision’s</w:t>
      </w:r>
      <w:r w:rsidR="00E9574F">
        <w:rPr>
          <w:rFonts w:ascii="Arial" w:hAnsi="Arial" w:cs="Arial"/>
        </w:rPr>
        <w:t xml:space="preserve"> focus on assessing the </w:t>
      </w:r>
      <w:r w:rsidR="0071797F">
        <w:rPr>
          <w:rFonts w:ascii="Arial" w:hAnsi="Arial" w:cs="Arial"/>
        </w:rPr>
        <w:t>defendant’s mental</w:t>
      </w:r>
      <w:r w:rsidR="00130F42">
        <w:rPr>
          <w:rFonts w:ascii="Arial" w:hAnsi="Arial" w:cs="Arial"/>
        </w:rPr>
        <w:t xml:space="preserve"> state </w:t>
      </w:r>
      <w:r w:rsidR="00DD1CCD">
        <w:rPr>
          <w:rFonts w:ascii="Arial" w:hAnsi="Arial" w:cs="Arial"/>
        </w:rPr>
        <w:t xml:space="preserve">alone may ignore complex issues and subjective elements that could affect how dishonesty is seen. </w:t>
      </w:r>
      <w:r w:rsidR="0071797F">
        <w:rPr>
          <w:rFonts w:ascii="Arial" w:hAnsi="Arial" w:cs="Arial"/>
        </w:rPr>
        <w:t xml:space="preserve">Furthermore, </w:t>
      </w:r>
      <w:r w:rsidR="005A5F4F">
        <w:rPr>
          <w:rFonts w:ascii="Arial" w:hAnsi="Arial" w:cs="Arial"/>
        </w:rPr>
        <w:t>strict observance of an objective</w:t>
      </w:r>
      <w:r w:rsidR="002A123E">
        <w:rPr>
          <w:rFonts w:ascii="Arial" w:hAnsi="Arial" w:cs="Arial"/>
        </w:rPr>
        <w:t xml:space="preserve"> norm could overlook unique situations or </w:t>
      </w:r>
      <w:r w:rsidR="001B52FE">
        <w:rPr>
          <w:rFonts w:ascii="Arial" w:hAnsi="Arial" w:cs="Arial"/>
        </w:rPr>
        <w:t>factors</w:t>
      </w:r>
      <w:r w:rsidR="00C87BAB">
        <w:rPr>
          <w:rFonts w:ascii="Arial" w:hAnsi="Arial" w:cs="Arial"/>
        </w:rPr>
        <w:t xml:space="preserve"> that might affect how someone views their behaviours.</w:t>
      </w:r>
    </w:p>
    <w:p w14:paraId="5C27F2BA" w14:textId="11E8E980" w:rsidR="00DA1101" w:rsidRDefault="00166F01" w:rsidP="008540A8">
      <w:pPr>
        <w:jc w:val="both"/>
        <w:rPr>
          <w:rFonts w:ascii="Arial" w:hAnsi="Arial" w:cs="Arial"/>
        </w:rPr>
      </w:pPr>
      <w:r>
        <w:rPr>
          <w:rFonts w:ascii="Arial" w:hAnsi="Arial" w:cs="Arial"/>
        </w:rPr>
        <w:t xml:space="preserve">In conclusion, </w:t>
      </w:r>
      <w:r w:rsidR="00865A89">
        <w:rPr>
          <w:rFonts w:ascii="Arial" w:hAnsi="Arial" w:cs="Arial"/>
        </w:rPr>
        <w:t>t</w:t>
      </w:r>
      <w:r w:rsidR="008540A8" w:rsidRPr="008540A8">
        <w:rPr>
          <w:rFonts w:ascii="Arial" w:hAnsi="Arial" w:cs="Arial"/>
        </w:rPr>
        <w:t xml:space="preserve">he procedure that theft charges are decided in the UK will change </w:t>
      </w:r>
      <w:r w:rsidR="007B7BA7" w:rsidRPr="008540A8">
        <w:rPr>
          <w:rFonts w:ascii="Arial" w:hAnsi="Arial" w:cs="Arial"/>
        </w:rPr>
        <w:t>because of</w:t>
      </w:r>
      <w:r w:rsidR="008540A8" w:rsidRPr="008540A8">
        <w:rPr>
          <w:rFonts w:ascii="Arial" w:hAnsi="Arial" w:cs="Arial"/>
        </w:rPr>
        <w:t xml:space="preserve"> the move towards an objective standard for dishonesty. Critics contend that although it might increase uniformity and clarity in identifying dishonesty, it runs the risk of ignoring the defendant's unique circumstances and mental condition. Furthermore, depending too much on social norms of integrity could fail to take into consideration contextual or cultural differences, which could have unfair consequences, especially for defendants from underprivileged backgrounds.</w:t>
      </w:r>
    </w:p>
    <w:p w14:paraId="0AD243D8" w14:textId="77777777" w:rsidR="008540A8" w:rsidRDefault="008540A8" w:rsidP="008540A8">
      <w:pPr>
        <w:jc w:val="both"/>
        <w:rPr>
          <w:rFonts w:ascii="Arial" w:hAnsi="Arial" w:cs="Arial"/>
        </w:rPr>
      </w:pPr>
    </w:p>
    <w:p w14:paraId="7F9E755A" w14:textId="77777777" w:rsidR="0012162F" w:rsidRDefault="0012162F" w:rsidP="008540A8">
      <w:pPr>
        <w:jc w:val="both"/>
        <w:rPr>
          <w:rFonts w:ascii="Arial" w:hAnsi="Arial" w:cs="Arial"/>
        </w:rPr>
      </w:pPr>
    </w:p>
    <w:p w14:paraId="5B5205B3" w14:textId="77777777" w:rsidR="0012162F" w:rsidRDefault="0012162F" w:rsidP="008540A8">
      <w:pPr>
        <w:jc w:val="both"/>
        <w:rPr>
          <w:rFonts w:ascii="Arial" w:hAnsi="Arial" w:cs="Arial"/>
        </w:rPr>
      </w:pPr>
    </w:p>
    <w:p w14:paraId="59DA2C70" w14:textId="77777777" w:rsidR="0012162F" w:rsidRDefault="0012162F" w:rsidP="008540A8">
      <w:pPr>
        <w:jc w:val="both"/>
        <w:rPr>
          <w:rFonts w:ascii="Arial" w:hAnsi="Arial" w:cs="Arial"/>
        </w:rPr>
      </w:pPr>
    </w:p>
    <w:p w14:paraId="4F79DE8A" w14:textId="77777777" w:rsidR="0012162F" w:rsidRDefault="0012162F" w:rsidP="008540A8">
      <w:pPr>
        <w:jc w:val="both"/>
        <w:rPr>
          <w:rFonts w:ascii="Arial" w:hAnsi="Arial" w:cs="Arial"/>
        </w:rPr>
      </w:pPr>
    </w:p>
    <w:p w14:paraId="7352ABDE" w14:textId="77777777" w:rsidR="0012162F" w:rsidRDefault="0012162F" w:rsidP="008540A8">
      <w:pPr>
        <w:jc w:val="both"/>
        <w:rPr>
          <w:rFonts w:ascii="Arial" w:hAnsi="Arial" w:cs="Arial"/>
        </w:rPr>
      </w:pPr>
    </w:p>
    <w:p w14:paraId="7E47A176" w14:textId="77777777" w:rsidR="0012162F" w:rsidRDefault="0012162F" w:rsidP="008540A8">
      <w:pPr>
        <w:jc w:val="both"/>
        <w:rPr>
          <w:rFonts w:ascii="Arial" w:hAnsi="Arial" w:cs="Arial"/>
        </w:rPr>
      </w:pPr>
    </w:p>
    <w:p w14:paraId="2A2FA187" w14:textId="77777777" w:rsidR="0012162F" w:rsidRDefault="0012162F" w:rsidP="008540A8">
      <w:pPr>
        <w:jc w:val="both"/>
        <w:rPr>
          <w:rFonts w:ascii="Arial" w:hAnsi="Arial" w:cs="Arial"/>
        </w:rPr>
      </w:pPr>
    </w:p>
    <w:p w14:paraId="438229E9" w14:textId="77777777" w:rsidR="0012162F" w:rsidRDefault="0012162F" w:rsidP="008540A8">
      <w:pPr>
        <w:jc w:val="both"/>
        <w:rPr>
          <w:rFonts w:ascii="Arial" w:hAnsi="Arial" w:cs="Arial"/>
        </w:rPr>
      </w:pPr>
    </w:p>
    <w:p w14:paraId="40095CA3" w14:textId="77777777" w:rsidR="0012162F" w:rsidRPr="00166F01" w:rsidRDefault="0012162F" w:rsidP="008540A8">
      <w:pPr>
        <w:jc w:val="both"/>
        <w:rPr>
          <w:rFonts w:ascii="Arial" w:hAnsi="Arial" w:cs="Arial"/>
          <w:b/>
          <w:bCs/>
        </w:rPr>
      </w:pPr>
    </w:p>
    <w:p w14:paraId="4473FBD5" w14:textId="70D75E58" w:rsidR="0012162F" w:rsidRPr="00166F01" w:rsidRDefault="0012162F" w:rsidP="008540A8">
      <w:pPr>
        <w:jc w:val="both"/>
        <w:rPr>
          <w:rFonts w:ascii="Arial" w:hAnsi="Arial" w:cs="Arial"/>
          <w:b/>
          <w:bCs/>
        </w:rPr>
      </w:pPr>
      <w:r w:rsidRPr="00166F01">
        <w:rPr>
          <w:rFonts w:ascii="Arial" w:hAnsi="Arial" w:cs="Arial"/>
          <w:b/>
          <w:bCs/>
        </w:rPr>
        <w:t>Reference</w:t>
      </w:r>
    </w:p>
    <w:p w14:paraId="000AD867" w14:textId="77777777" w:rsidR="00E5648A" w:rsidRDefault="00E5648A" w:rsidP="00E5648A">
      <w:pPr>
        <w:jc w:val="both"/>
        <w:rPr>
          <w:rFonts w:ascii="Arial" w:hAnsi="Arial" w:cs="Arial"/>
        </w:rPr>
      </w:pPr>
      <w:r w:rsidRPr="00E5648A">
        <w:rPr>
          <w:rFonts w:ascii="Arial" w:hAnsi="Arial" w:cs="Arial"/>
        </w:rPr>
        <w:t xml:space="preserve">Ashworth, A., &amp; </w:t>
      </w:r>
      <w:proofErr w:type="spellStart"/>
      <w:r w:rsidRPr="00E5648A">
        <w:rPr>
          <w:rFonts w:ascii="Arial" w:hAnsi="Arial" w:cs="Arial"/>
        </w:rPr>
        <w:t>Horder</w:t>
      </w:r>
      <w:proofErr w:type="spellEnd"/>
      <w:r w:rsidRPr="00E5648A">
        <w:rPr>
          <w:rFonts w:ascii="Arial" w:hAnsi="Arial" w:cs="Arial"/>
        </w:rPr>
        <w:t>, J. (2013). Principles of criminal law (8th ed.). Oxford University Press.</w:t>
      </w:r>
      <w:r w:rsidRPr="00E5648A">
        <w:rPr>
          <w:rFonts w:ascii="Arial" w:hAnsi="Arial" w:cs="Arial"/>
        </w:rPr>
        <w:t xml:space="preserve"> </w:t>
      </w:r>
    </w:p>
    <w:p w14:paraId="2E57F187" w14:textId="77777777" w:rsidR="001E5775" w:rsidRDefault="00E5648A" w:rsidP="00E5648A">
      <w:pPr>
        <w:jc w:val="both"/>
        <w:rPr>
          <w:rFonts w:ascii="Arial" w:hAnsi="Arial" w:cs="Arial"/>
        </w:rPr>
      </w:pPr>
      <w:r w:rsidRPr="00E5648A">
        <w:rPr>
          <w:rFonts w:ascii="Arial" w:hAnsi="Arial" w:cs="Arial"/>
        </w:rPr>
        <w:t>Allen, M. (2019). Textbook on criminal law (15th ed.). Oxford University Press.</w:t>
      </w:r>
      <w:r w:rsidRPr="00E5648A">
        <w:rPr>
          <w:rFonts w:ascii="Arial" w:hAnsi="Arial" w:cs="Arial"/>
        </w:rPr>
        <w:t xml:space="preserve"> </w:t>
      </w:r>
    </w:p>
    <w:p w14:paraId="2A0B6F1A" w14:textId="77D7D6CA" w:rsidR="00E5648A" w:rsidRDefault="00E5648A" w:rsidP="00E5648A">
      <w:pPr>
        <w:jc w:val="both"/>
        <w:rPr>
          <w:rFonts w:ascii="Arial" w:hAnsi="Arial" w:cs="Arial"/>
        </w:rPr>
      </w:pPr>
      <w:r w:rsidRPr="0012162F">
        <w:rPr>
          <w:rFonts w:ascii="Arial" w:hAnsi="Arial" w:cs="Arial"/>
        </w:rPr>
        <w:t xml:space="preserve">Barker, K. and Chambers, G. (2018). </w:t>
      </w:r>
      <w:r>
        <w:rPr>
          <w:rFonts w:ascii="Arial" w:hAnsi="Arial" w:cs="Arial"/>
        </w:rPr>
        <w:t>Dishonesty</w:t>
      </w:r>
      <w:r w:rsidRPr="0012162F">
        <w:rPr>
          <w:rFonts w:ascii="Arial" w:hAnsi="Arial" w:cs="Arial"/>
        </w:rPr>
        <w:t xml:space="preserve"> redefined. Available at: </w:t>
      </w:r>
      <w:hyperlink r:id="rId5" w:history="1">
        <w:r w:rsidRPr="004A6C93">
          <w:rPr>
            <w:rStyle w:val="Hyperlink"/>
            <w:rFonts w:ascii="Arial" w:hAnsi="Arial" w:cs="Arial"/>
          </w:rPr>
          <w:t>https://www.guildhallchambers.co.uk/uploadedFiles/DISHONESTY_REDEFINED%20.pdf</w:t>
        </w:r>
      </w:hyperlink>
      <w:r>
        <w:rPr>
          <w:rFonts w:ascii="Arial" w:hAnsi="Arial" w:cs="Arial"/>
        </w:rPr>
        <w:t xml:space="preserve"> </w:t>
      </w:r>
      <w:r w:rsidRPr="0012162F">
        <w:rPr>
          <w:rFonts w:ascii="Arial" w:hAnsi="Arial" w:cs="Arial"/>
        </w:rPr>
        <w:t xml:space="preserve"> </w:t>
      </w:r>
      <w:r>
        <w:rPr>
          <w:rFonts w:ascii="Arial" w:hAnsi="Arial" w:cs="Arial"/>
        </w:rPr>
        <w:t>(</w:t>
      </w:r>
      <w:r w:rsidRPr="0012162F">
        <w:rPr>
          <w:rFonts w:ascii="Arial" w:hAnsi="Arial" w:cs="Arial"/>
        </w:rPr>
        <w:t>Accessed</w:t>
      </w:r>
      <w:r>
        <w:rPr>
          <w:rFonts w:ascii="Arial" w:hAnsi="Arial" w:cs="Arial"/>
        </w:rPr>
        <w:t xml:space="preserve"> on:</w:t>
      </w:r>
      <w:r w:rsidRPr="0012162F">
        <w:rPr>
          <w:rFonts w:ascii="Arial" w:hAnsi="Arial" w:cs="Arial"/>
        </w:rPr>
        <w:t xml:space="preserve"> 22 Apr</w:t>
      </w:r>
      <w:r>
        <w:rPr>
          <w:rFonts w:ascii="Arial" w:hAnsi="Arial" w:cs="Arial"/>
        </w:rPr>
        <w:t xml:space="preserve">il </w:t>
      </w:r>
      <w:r w:rsidRPr="0012162F">
        <w:rPr>
          <w:rFonts w:ascii="Arial" w:hAnsi="Arial" w:cs="Arial"/>
        </w:rPr>
        <w:t>2024</w:t>
      </w:r>
      <w:r>
        <w:rPr>
          <w:rFonts w:ascii="Arial" w:hAnsi="Arial" w:cs="Arial"/>
        </w:rPr>
        <w:t>)</w:t>
      </w:r>
      <w:r w:rsidRPr="0012162F">
        <w:rPr>
          <w:rFonts w:ascii="Arial" w:hAnsi="Arial" w:cs="Arial"/>
        </w:rPr>
        <w:t>.</w:t>
      </w:r>
    </w:p>
    <w:p w14:paraId="7942698B" w14:textId="77777777" w:rsidR="00657E3E" w:rsidRPr="00E5648A" w:rsidRDefault="00657E3E" w:rsidP="00657E3E">
      <w:pPr>
        <w:jc w:val="both"/>
        <w:rPr>
          <w:rFonts w:ascii="Arial" w:hAnsi="Arial" w:cs="Arial"/>
        </w:rPr>
      </w:pPr>
      <w:r w:rsidRPr="00E5648A">
        <w:rPr>
          <w:rFonts w:ascii="Arial" w:hAnsi="Arial" w:cs="Arial"/>
        </w:rPr>
        <w:t>Card, R., Cross, R., &amp; Jones, P. (2019). Card, Cross &amp; Jones' criminal law (22nd ed.). Oxford University Press.</w:t>
      </w:r>
    </w:p>
    <w:p w14:paraId="24475A18" w14:textId="77777777" w:rsidR="00657E3E" w:rsidRPr="00E5648A" w:rsidRDefault="00657E3E" w:rsidP="00657E3E">
      <w:pPr>
        <w:jc w:val="both"/>
        <w:rPr>
          <w:rFonts w:ascii="Arial" w:hAnsi="Arial" w:cs="Arial"/>
        </w:rPr>
      </w:pPr>
      <w:r w:rsidRPr="00E5648A">
        <w:rPr>
          <w:rFonts w:ascii="Arial" w:hAnsi="Arial" w:cs="Arial"/>
        </w:rPr>
        <w:t>Clarkson, C., &amp; Keating, H. (2018). Criminal law: Text and materials (9th ed.). Sweet &amp; Maxwell.</w:t>
      </w:r>
    </w:p>
    <w:p w14:paraId="42241898" w14:textId="4EE1E6CD" w:rsidR="00657E3E" w:rsidRDefault="00657E3E" w:rsidP="00E5648A">
      <w:pPr>
        <w:jc w:val="both"/>
        <w:rPr>
          <w:rFonts w:ascii="Arial" w:hAnsi="Arial" w:cs="Arial"/>
        </w:rPr>
      </w:pPr>
      <w:proofErr w:type="spellStart"/>
      <w:r w:rsidRPr="00E5648A">
        <w:rPr>
          <w:rFonts w:ascii="Arial" w:hAnsi="Arial" w:cs="Arial"/>
        </w:rPr>
        <w:t>Cavadino</w:t>
      </w:r>
      <w:proofErr w:type="spellEnd"/>
      <w:r w:rsidRPr="00E5648A">
        <w:rPr>
          <w:rFonts w:ascii="Arial" w:hAnsi="Arial" w:cs="Arial"/>
        </w:rPr>
        <w:t>, M., &amp; Dignan, J. (2017). The penal system: An introduction (6th ed.). Sage Publications</w:t>
      </w:r>
    </w:p>
    <w:p w14:paraId="1A51009D" w14:textId="4FCE8DD6" w:rsidR="00E5648A" w:rsidRPr="00E5648A" w:rsidRDefault="00657E3E" w:rsidP="00E5648A">
      <w:pPr>
        <w:jc w:val="both"/>
        <w:rPr>
          <w:rFonts w:ascii="Arial" w:hAnsi="Arial" w:cs="Arial"/>
        </w:rPr>
      </w:pPr>
      <w:r w:rsidRPr="00E5648A">
        <w:rPr>
          <w:rFonts w:ascii="Arial" w:hAnsi="Arial" w:cs="Arial"/>
        </w:rPr>
        <w:t>Elliott, C., &amp; Quinn, F. (2019). Criminal law (12th ed.). Pearson Education Limited</w:t>
      </w:r>
    </w:p>
    <w:p w14:paraId="430C1FFE" w14:textId="5BCF975B" w:rsidR="00657E3E" w:rsidRDefault="00657E3E" w:rsidP="00E5648A">
      <w:pPr>
        <w:jc w:val="both"/>
        <w:rPr>
          <w:rFonts w:ascii="Arial" w:hAnsi="Arial" w:cs="Arial"/>
        </w:rPr>
      </w:pPr>
      <w:r w:rsidRPr="00E5648A">
        <w:rPr>
          <w:rFonts w:ascii="Arial" w:hAnsi="Arial" w:cs="Arial"/>
        </w:rPr>
        <w:t>Fafinski, S., &amp; Finch, E. (2018). Criminal law: Text, cases, and materials (5th ed.). Oxford University Press</w:t>
      </w:r>
      <w:r w:rsidR="009F4F0D">
        <w:rPr>
          <w:rFonts w:ascii="Arial" w:hAnsi="Arial" w:cs="Arial"/>
        </w:rPr>
        <w:t xml:space="preserve"> Ltd.</w:t>
      </w:r>
    </w:p>
    <w:p w14:paraId="0720EBD7" w14:textId="77777777" w:rsidR="009F4F0D" w:rsidRDefault="009F4F0D" w:rsidP="009F4F0D">
      <w:pPr>
        <w:jc w:val="both"/>
        <w:rPr>
          <w:rFonts w:ascii="Arial" w:hAnsi="Arial" w:cs="Arial"/>
        </w:rPr>
      </w:pPr>
      <w:r w:rsidRPr="0012162F">
        <w:rPr>
          <w:rFonts w:ascii="Arial" w:hAnsi="Arial" w:cs="Arial"/>
        </w:rPr>
        <w:t>Graham, A. and Roberts, C. (2020). Dishonesty in complex fraud claims | Insights | Mayer</w:t>
      </w:r>
      <w:r>
        <w:rPr>
          <w:rFonts w:ascii="Arial" w:hAnsi="Arial" w:cs="Arial"/>
        </w:rPr>
        <w:t xml:space="preserve"> </w:t>
      </w:r>
      <w:r w:rsidRPr="0012162F">
        <w:rPr>
          <w:rFonts w:ascii="Arial" w:hAnsi="Arial" w:cs="Arial"/>
        </w:rPr>
        <w:t>Brown</w:t>
      </w:r>
      <w:r>
        <w:rPr>
          <w:rFonts w:ascii="Arial" w:hAnsi="Arial" w:cs="Arial"/>
        </w:rPr>
        <w:t xml:space="preserve"> </w:t>
      </w:r>
      <w:r w:rsidRPr="0012162F">
        <w:rPr>
          <w:rFonts w:ascii="Arial" w:hAnsi="Arial" w:cs="Arial"/>
        </w:rPr>
        <w:t xml:space="preserve">Available at: </w:t>
      </w:r>
      <w:hyperlink r:id="rId6" w:history="1">
        <w:r w:rsidRPr="004A6C93">
          <w:rPr>
            <w:rStyle w:val="Hyperlink"/>
            <w:rFonts w:ascii="Arial" w:hAnsi="Arial" w:cs="Arial"/>
          </w:rPr>
          <w:t>https://www.mayerbrown.com/en/insights/publications/2020/07/dishonesty-in-complex-fraud-claims</w:t>
        </w:r>
      </w:hyperlink>
      <w:r>
        <w:rPr>
          <w:rFonts w:ascii="Arial" w:hAnsi="Arial" w:cs="Arial"/>
        </w:rPr>
        <w:t xml:space="preserve"> </w:t>
      </w:r>
      <w:r w:rsidRPr="0012162F">
        <w:rPr>
          <w:rFonts w:ascii="Arial" w:hAnsi="Arial" w:cs="Arial"/>
        </w:rPr>
        <w:t xml:space="preserve"> </w:t>
      </w:r>
      <w:r>
        <w:rPr>
          <w:rFonts w:ascii="Arial" w:hAnsi="Arial" w:cs="Arial"/>
        </w:rPr>
        <w:t>(</w:t>
      </w:r>
      <w:r w:rsidRPr="0012162F">
        <w:rPr>
          <w:rFonts w:ascii="Arial" w:hAnsi="Arial" w:cs="Arial"/>
        </w:rPr>
        <w:t>Accessed</w:t>
      </w:r>
      <w:r>
        <w:rPr>
          <w:rFonts w:ascii="Arial" w:hAnsi="Arial" w:cs="Arial"/>
        </w:rPr>
        <w:t xml:space="preserve"> on:</w:t>
      </w:r>
      <w:r w:rsidRPr="0012162F">
        <w:rPr>
          <w:rFonts w:ascii="Arial" w:hAnsi="Arial" w:cs="Arial"/>
        </w:rPr>
        <w:t xml:space="preserve"> 22 Apr</w:t>
      </w:r>
      <w:r>
        <w:rPr>
          <w:rFonts w:ascii="Arial" w:hAnsi="Arial" w:cs="Arial"/>
        </w:rPr>
        <w:t xml:space="preserve">il </w:t>
      </w:r>
      <w:r w:rsidRPr="0012162F">
        <w:rPr>
          <w:rFonts w:ascii="Arial" w:hAnsi="Arial" w:cs="Arial"/>
        </w:rPr>
        <w:t>2024</w:t>
      </w:r>
      <w:r>
        <w:rPr>
          <w:rFonts w:ascii="Arial" w:hAnsi="Arial" w:cs="Arial"/>
        </w:rPr>
        <w:t>)</w:t>
      </w:r>
      <w:r w:rsidRPr="0012162F">
        <w:rPr>
          <w:rFonts w:ascii="Arial" w:hAnsi="Arial" w:cs="Arial"/>
        </w:rPr>
        <w:t>.</w:t>
      </w:r>
    </w:p>
    <w:p w14:paraId="73947F52" w14:textId="3E9878AE" w:rsidR="009F4F0D" w:rsidRDefault="009F4F0D" w:rsidP="00E5648A">
      <w:pPr>
        <w:jc w:val="both"/>
        <w:rPr>
          <w:rFonts w:ascii="Arial" w:hAnsi="Arial" w:cs="Arial"/>
        </w:rPr>
      </w:pPr>
      <w:r w:rsidRPr="00E5648A">
        <w:rPr>
          <w:rFonts w:ascii="Arial" w:hAnsi="Arial" w:cs="Arial"/>
        </w:rPr>
        <w:t>Herring, J. (2018). Criminal law: Text, cases, and materials (9th ed.). Oxford University Press</w:t>
      </w:r>
    </w:p>
    <w:p w14:paraId="7F418349" w14:textId="2474A81F" w:rsidR="009F4F0D" w:rsidRDefault="009F4F0D" w:rsidP="00E5648A">
      <w:pPr>
        <w:jc w:val="both"/>
        <w:rPr>
          <w:rFonts w:ascii="Arial" w:hAnsi="Arial" w:cs="Arial"/>
        </w:rPr>
      </w:pPr>
      <w:r w:rsidRPr="0012162F">
        <w:rPr>
          <w:rFonts w:ascii="Arial" w:hAnsi="Arial" w:cs="Arial"/>
        </w:rPr>
        <w:lastRenderedPageBreak/>
        <w:t xml:space="preserve">Leggett, Z. (2019). The New Test for Dishonesty in Criminal Law—Lessons From the Courts of Equity? The Journal of Criminal Law, 84(1), pp.37–48. </w:t>
      </w:r>
      <w:proofErr w:type="spellStart"/>
      <w:r w:rsidRPr="0012162F">
        <w:rPr>
          <w:rFonts w:ascii="Arial" w:hAnsi="Arial" w:cs="Arial"/>
        </w:rPr>
        <w:t>doi:https</w:t>
      </w:r>
      <w:proofErr w:type="spellEnd"/>
      <w:r w:rsidRPr="0012162F">
        <w:rPr>
          <w:rFonts w:ascii="Arial" w:hAnsi="Arial" w:cs="Arial"/>
        </w:rPr>
        <w:t>://doi.org/10.1177/0022018319879847</w:t>
      </w:r>
    </w:p>
    <w:p w14:paraId="31B61230" w14:textId="64078288" w:rsidR="00B95F9E" w:rsidRDefault="00E5648A" w:rsidP="008540A8">
      <w:pPr>
        <w:jc w:val="both"/>
        <w:rPr>
          <w:rFonts w:ascii="Arial" w:hAnsi="Arial" w:cs="Arial"/>
        </w:rPr>
      </w:pPr>
      <w:r w:rsidRPr="00E5648A">
        <w:rPr>
          <w:rFonts w:ascii="Arial" w:hAnsi="Arial" w:cs="Arial"/>
        </w:rPr>
        <w:t>Ormerod, D. (2018). Smith and Hogan's criminal law (15th ed.). Oxford University Press.</w:t>
      </w:r>
    </w:p>
    <w:p w14:paraId="12E21FFA" w14:textId="3695BB61" w:rsidR="0012162F" w:rsidRPr="00107380" w:rsidRDefault="0012162F" w:rsidP="008540A8">
      <w:pPr>
        <w:jc w:val="both"/>
        <w:rPr>
          <w:rFonts w:ascii="Arial" w:hAnsi="Arial" w:cs="Arial"/>
        </w:rPr>
      </w:pPr>
      <w:r w:rsidRPr="0012162F">
        <w:rPr>
          <w:rFonts w:ascii="Arial" w:hAnsi="Arial" w:cs="Arial"/>
        </w:rPr>
        <w:t xml:space="preserve">Shehadeh, V. (2017). Ivey v Genting Casinos (UK) Ltd t/a Crockfords </w:t>
      </w:r>
      <w:r w:rsidR="0014050B">
        <w:rPr>
          <w:rFonts w:ascii="Arial" w:hAnsi="Arial" w:cs="Arial"/>
        </w:rPr>
        <w:t>(</w:t>
      </w:r>
      <w:r w:rsidRPr="0012162F">
        <w:rPr>
          <w:rFonts w:ascii="Arial" w:hAnsi="Arial" w:cs="Arial"/>
        </w:rPr>
        <w:t>2017</w:t>
      </w:r>
      <w:r w:rsidR="0014050B">
        <w:rPr>
          <w:rFonts w:ascii="Arial" w:hAnsi="Arial" w:cs="Arial"/>
        </w:rPr>
        <w:t>)</w:t>
      </w:r>
      <w:r w:rsidRPr="0012162F">
        <w:rPr>
          <w:rFonts w:ascii="Arial" w:hAnsi="Arial" w:cs="Arial"/>
        </w:rPr>
        <w:t xml:space="preserve">UKSC 67, No more Ghosh test - dishonesty is like an elephant. 2 Bedford Row. Available at: </w:t>
      </w:r>
      <w:hyperlink r:id="rId7" w:history="1">
        <w:r w:rsidR="0014050B" w:rsidRPr="004A6C93">
          <w:rPr>
            <w:rStyle w:val="Hyperlink"/>
            <w:rFonts w:ascii="Arial" w:hAnsi="Arial" w:cs="Arial"/>
          </w:rPr>
          <w:t>https://www.2bedfordrow.co.uk/ivey-v-genting-casinos-uk-ltd-ta-crockfords-2017-uksc-67-no-ghosh-test-dishonesty-like-elephant/</w:t>
        </w:r>
      </w:hyperlink>
      <w:r w:rsidRPr="0012162F">
        <w:rPr>
          <w:rFonts w:ascii="Arial" w:hAnsi="Arial" w:cs="Arial"/>
        </w:rPr>
        <w:t xml:space="preserve"> </w:t>
      </w:r>
      <w:r w:rsidR="0014050B">
        <w:rPr>
          <w:rFonts w:ascii="Arial" w:hAnsi="Arial" w:cs="Arial"/>
        </w:rPr>
        <w:t>(</w:t>
      </w:r>
      <w:r w:rsidRPr="0012162F">
        <w:rPr>
          <w:rFonts w:ascii="Arial" w:hAnsi="Arial" w:cs="Arial"/>
        </w:rPr>
        <w:t>Accessed</w:t>
      </w:r>
      <w:r w:rsidR="0014050B">
        <w:rPr>
          <w:rFonts w:ascii="Arial" w:hAnsi="Arial" w:cs="Arial"/>
        </w:rPr>
        <w:t xml:space="preserve"> on: </w:t>
      </w:r>
      <w:r w:rsidRPr="0012162F">
        <w:rPr>
          <w:rFonts w:ascii="Arial" w:hAnsi="Arial" w:cs="Arial"/>
        </w:rPr>
        <w:t>16 Mar</w:t>
      </w:r>
      <w:r w:rsidR="002D6A29">
        <w:rPr>
          <w:rFonts w:ascii="Arial" w:hAnsi="Arial" w:cs="Arial"/>
        </w:rPr>
        <w:t>ch</w:t>
      </w:r>
      <w:r w:rsidRPr="0012162F">
        <w:rPr>
          <w:rFonts w:ascii="Arial" w:hAnsi="Arial" w:cs="Arial"/>
        </w:rPr>
        <w:t xml:space="preserve"> 2024</w:t>
      </w:r>
      <w:r w:rsidR="002D6A29">
        <w:rPr>
          <w:rFonts w:ascii="Arial" w:hAnsi="Arial" w:cs="Arial"/>
        </w:rPr>
        <w:t xml:space="preserve">) </w:t>
      </w:r>
      <w:r w:rsidRPr="0012162F">
        <w:rPr>
          <w:rFonts w:ascii="Arial" w:hAnsi="Arial" w:cs="Arial"/>
        </w:rPr>
        <w:t>www.lawteacher.net. (2024). Ivey v Genting Casinos (Crockfords Club) - Case Summary.</w:t>
      </w:r>
      <w:r w:rsidR="002D6A29">
        <w:rPr>
          <w:rFonts w:ascii="Arial" w:hAnsi="Arial" w:cs="Arial"/>
        </w:rPr>
        <w:t xml:space="preserve"> </w:t>
      </w:r>
      <w:r w:rsidR="003947AB">
        <w:rPr>
          <w:rFonts w:ascii="Arial" w:hAnsi="Arial" w:cs="Arial"/>
        </w:rPr>
        <w:t>Available at:</w:t>
      </w:r>
      <w:r w:rsidR="00166F01">
        <w:rPr>
          <w:rFonts w:ascii="Arial" w:hAnsi="Arial" w:cs="Arial"/>
        </w:rPr>
        <w:t xml:space="preserve"> </w:t>
      </w:r>
      <w:hyperlink r:id="rId8" w:history="1">
        <w:r w:rsidR="00166F01" w:rsidRPr="004A6C93">
          <w:rPr>
            <w:rStyle w:val="Hyperlink"/>
            <w:rFonts w:ascii="Arial" w:hAnsi="Arial" w:cs="Arial"/>
          </w:rPr>
          <w:t>https://www.lawteacher.net/cases/ivey-v-genting-casinos-4148.php#:~:text=Over%20two%20days%2C%20Ivey%20won</w:t>
        </w:r>
      </w:hyperlink>
      <w:r w:rsidR="00166F01">
        <w:rPr>
          <w:rFonts w:ascii="Arial" w:hAnsi="Arial" w:cs="Arial"/>
        </w:rPr>
        <w:t xml:space="preserve"> (</w:t>
      </w:r>
      <w:r w:rsidRPr="0012162F">
        <w:rPr>
          <w:rFonts w:ascii="Arial" w:hAnsi="Arial" w:cs="Arial"/>
        </w:rPr>
        <w:t>Accessed</w:t>
      </w:r>
      <w:r w:rsidR="00166F01">
        <w:rPr>
          <w:rFonts w:ascii="Arial" w:hAnsi="Arial" w:cs="Arial"/>
        </w:rPr>
        <w:t xml:space="preserve"> on:</w:t>
      </w:r>
      <w:r w:rsidRPr="0012162F">
        <w:rPr>
          <w:rFonts w:ascii="Arial" w:hAnsi="Arial" w:cs="Arial"/>
        </w:rPr>
        <w:t xml:space="preserve"> 18 Apr</w:t>
      </w:r>
      <w:r w:rsidR="00166F01">
        <w:rPr>
          <w:rFonts w:ascii="Arial" w:hAnsi="Arial" w:cs="Arial"/>
        </w:rPr>
        <w:t>il</w:t>
      </w:r>
      <w:r w:rsidRPr="0012162F">
        <w:rPr>
          <w:rFonts w:ascii="Arial" w:hAnsi="Arial" w:cs="Arial"/>
        </w:rPr>
        <w:t xml:space="preserve"> 2024</w:t>
      </w:r>
      <w:r w:rsidR="00166F01">
        <w:rPr>
          <w:rFonts w:ascii="Arial" w:hAnsi="Arial" w:cs="Arial"/>
        </w:rPr>
        <w:t>)</w:t>
      </w:r>
      <w:r w:rsidRPr="0012162F">
        <w:rPr>
          <w:rFonts w:ascii="Arial" w:hAnsi="Arial" w:cs="Arial"/>
        </w:rPr>
        <w:t>.</w:t>
      </w:r>
    </w:p>
    <w:sectPr w:rsidR="0012162F" w:rsidRPr="001073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3F6"/>
    <w:rsid w:val="000224A5"/>
    <w:rsid w:val="00044F26"/>
    <w:rsid w:val="00050804"/>
    <w:rsid w:val="000860EA"/>
    <w:rsid w:val="000977E7"/>
    <w:rsid w:val="000D396D"/>
    <w:rsid w:val="00107380"/>
    <w:rsid w:val="0012162F"/>
    <w:rsid w:val="00123B34"/>
    <w:rsid w:val="00130F42"/>
    <w:rsid w:val="0014050B"/>
    <w:rsid w:val="00151580"/>
    <w:rsid w:val="00156BD8"/>
    <w:rsid w:val="001600CF"/>
    <w:rsid w:val="00166F01"/>
    <w:rsid w:val="001906D0"/>
    <w:rsid w:val="001A4D19"/>
    <w:rsid w:val="001A65D7"/>
    <w:rsid w:val="001B4FCE"/>
    <w:rsid w:val="001B52FE"/>
    <w:rsid w:val="001D08C3"/>
    <w:rsid w:val="001E5775"/>
    <w:rsid w:val="00247622"/>
    <w:rsid w:val="00256593"/>
    <w:rsid w:val="00257AF4"/>
    <w:rsid w:val="00271B5B"/>
    <w:rsid w:val="00275267"/>
    <w:rsid w:val="002851C3"/>
    <w:rsid w:val="0029072A"/>
    <w:rsid w:val="00296D84"/>
    <w:rsid w:val="002A123E"/>
    <w:rsid w:val="002A4AC8"/>
    <w:rsid w:val="002B02AC"/>
    <w:rsid w:val="002B1671"/>
    <w:rsid w:val="002D6A29"/>
    <w:rsid w:val="00340A5A"/>
    <w:rsid w:val="00363222"/>
    <w:rsid w:val="00377806"/>
    <w:rsid w:val="003947AB"/>
    <w:rsid w:val="003A2BCF"/>
    <w:rsid w:val="00462A69"/>
    <w:rsid w:val="0046542E"/>
    <w:rsid w:val="00495455"/>
    <w:rsid w:val="004B601F"/>
    <w:rsid w:val="004E55FC"/>
    <w:rsid w:val="0050399C"/>
    <w:rsid w:val="00507361"/>
    <w:rsid w:val="00582F2C"/>
    <w:rsid w:val="005A5F4F"/>
    <w:rsid w:val="005B53F6"/>
    <w:rsid w:val="005D12BF"/>
    <w:rsid w:val="005E1E52"/>
    <w:rsid w:val="006021DE"/>
    <w:rsid w:val="006364F7"/>
    <w:rsid w:val="00642332"/>
    <w:rsid w:val="00654A74"/>
    <w:rsid w:val="00657C45"/>
    <w:rsid w:val="00657E3E"/>
    <w:rsid w:val="006C7846"/>
    <w:rsid w:val="006E7498"/>
    <w:rsid w:val="006E75D6"/>
    <w:rsid w:val="006E79A6"/>
    <w:rsid w:val="007101C6"/>
    <w:rsid w:val="007146DE"/>
    <w:rsid w:val="0071797F"/>
    <w:rsid w:val="007328FA"/>
    <w:rsid w:val="007473A8"/>
    <w:rsid w:val="00770C67"/>
    <w:rsid w:val="00783AAE"/>
    <w:rsid w:val="007908C4"/>
    <w:rsid w:val="007925AD"/>
    <w:rsid w:val="007A6E3A"/>
    <w:rsid w:val="007B7BA7"/>
    <w:rsid w:val="007C215D"/>
    <w:rsid w:val="007C7D92"/>
    <w:rsid w:val="007F1699"/>
    <w:rsid w:val="00825CE7"/>
    <w:rsid w:val="00844EF4"/>
    <w:rsid w:val="008540A8"/>
    <w:rsid w:val="00854A85"/>
    <w:rsid w:val="00865A89"/>
    <w:rsid w:val="008A61C7"/>
    <w:rsid w:val="008D5622"/>
    <w:rsid w:val="008E0D54"/>
    <w:rsid w:val="008E240A"/>
    <w:rsid w:val="008E3E23"/>
    <w:rsid w:val="008E576C"/>
    <w:rsid w:val="008F11D2"/>
    <w:rsid w:val="00911C36"/>
    <w:rsid w:val="00917297"/>
    <w:rsid w:val="0092090E"/>
    <w:rsid w:val="00925709"/>
    <w:rsid w:val="009753C9"/>
    <w:rsid w:val="009D3B7D"/>
    <w:rsid w:val="009F4F0D"/>
    <w:rsid w:val="00A014FC"/>
    <w:rsid w:val="00A271F6"/>
    <w:rsid w:val="00A4253D"/>
    <w:rsid w:val="00A4458C"/>
    <w:rsid w:val="00A46930"/>
    <w:rsid w:val="00A575C2"/>
    <w:rsid w:val="00A60FEB"/>
    <w:rsid w:val="00AC26C1"/>
    <w:rsid w:val="00AC69C4"/>
    <w:rsid w:val="00AD07EB"/>
    <w:rsid w:val="00AD623F"/>
    <w:rsid w:val="00AF23B6"/>
    <w:rsid w:val="00B0351E"/>
    <w:rsid w:val="00B15E67"/>
    <w:rsid w:val="00B64155"/>
    <w:rsid w:val="00B927DA"/>
    <w:rsid w:val="00B95F9E"/>
    <w:rsid w:val="00BE0CD9"/>
    <w:rsid w:val="00C32A39"/>
    <w:rsid w:val="00C87BAB"/>
    <w:rsid w:val="00C908D8"/>
    <w:rsid w:val="00CA5024"/>
    <w:rsid w:val="00CB1B4F"/>
    <w:rsid w:val="00CE67EB"/>
    <w:rsid w:val="00CE6CEB"/>
    <w:rsid w:val="00DA1101"/>
    <w:rsid w:val="00DC11F0"/>
    <w:rsid w:val="00DD1CCD"/>
    <w:rsid w:val="00DE4CFA"/>
    <w:rsid w:val="00E27992"/>
    <w:rsid w:val="00E35FE8"/>
    <w:rsid w:val="00E466CB"/>
    <w:rsid w:val="00E5648A"/>
    <w:rsid w:val="00E66D56"/>
    <w:rsid w:val="00E82719"/>
    <w:rsid w:val="00E9574F"/>
    <w:rsid w:val="00E96E0D"/>
    <w:rsid w:val="00EB38C0"/>
    <w:rsid w:val="00EC1B2A"/>
    <w:rsid w:val="00EC4BD5"/>
    <w:rsid w:val="00ED4E6C"/>
    <w:rsid w:val="00EF598A"/>
    <w:rsid w:val="00EF7647"/>
    <w:rsid w:val="00F010B9"/>
    <w:rsid w:val="00F03BBA"/>
    <w:rsid w:val="00F117F0"/>
    <w:rsid w:val="00F435A8"/>
    <w:rsid w:val="00F45D41"/>
    <w:rsid w:val="00F50A76"/>
    <w:rsid w:val="00F73B4B"/>
    <w:rsid w:val="00FE237E"/>
    <w:rsid w:val="00FE24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8FF876"/>
  <w15:chartTrackingRefBased/>
  <w15:docId w15:val="{9EBA4FAE-10BC-4693-8FBB-21C52A38D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53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53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53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53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53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53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53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53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53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53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53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53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53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53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53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53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53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53F6"/>
    <w:rPr>
      <w:rFonts w:eastAsiaTheme="majorEastAsia" w:cstheme="majorBidi"/>
      <w:color w:val="272727" w:themeColor="text1" w:themeTint="D8"/>
    </w:rPr>
  </w:style>
  <w:style w:type="paragraph" w:styleId="Title">
    <w:name w:val="Title"/>
    <w:basedOn w:val="Normal"/>
    <w:next w:val="Normal"/>
    <w:link w:val="TitleChar"/>
    <w:uiPriority w:val="10"/>
    <w:qFormat/>
    <w:rsid w:val="005B53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53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53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53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53F6"/>
    <w:pPr>
      <w:spacing w:before="160"/>
      <w:jc w:val="center"/>
    </w:pPr>
    <w:rPr>
      <w:i/>
      <w:iCs/>
      <w:color w:val="404040" w:themeColor="text1" w:themeTint="BF"/>
    </w:rPr>
  </w:style>
  <w:style w:type="character" w:customStyle="1" w:styleId="QuoteChar">
    <w:name w:val="Quote Char"/>
    <w:basedOn w:val="DefaultParagraphFont"/>
    <w:link w:val="Quote"/>
    <w:uiPriority w:val="29"/>
    <w:rsid w:val="005B53F6"/>
    <w:rPr>
      <w:i/>
      <w:iCs/>
      <w:color w:val="404040" w:themeColor="text1" w:themeTint="BF"/>
    </w:rPr>
  </w:style>
  <w:style w:type="paragraph" w:styleId="ListParagraph">
    <w:name w:val="List Paragraph"/>
    <w:basedOn w:val="Normal"/>
    <w:uiPriority w:val="34"/>
    <w:qFormat/>
    <w:rsid w:val="005B53F6"/>
    <w:pPr>
      <w:ind w:left="720"/>
      <w:contextualSpacing/>
    </w:pPr>
  </w:style>
  <w:style w:type="character" w:styleId="IntenseEmphasis">
    <w:name w:val="Intense Emphasis"/>
    <w:basedOn w:val="DefaultParagraphFont"/>
    <w:uiPriority w:val="21"/>
    <w:qFormat/>
    <w:rsid w:val="005B53F6"/>
    <w:rPr>
      <w:i/>
      <w:iCs/>
      <w:color w:val="0F4761" w:themeColor="accent1" w:themeShade="BF"/>
    </w:rPr>
  </w:style>
  <w:style w:type="paragraph" w:styleId="IntenseQuote">
    <w:name w:val="Intense Quote"/>
    <w:basedOn w:val="Normal"/>
    <w:next w:val="Normal"/>
    <w:link w:val="IntenseQuoteChar"/>
    <w:uiPriority w:val="30"/>
    <w:qFormat/>
    <w:rsid w:val="005B53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53F6"/>
    <w:rPr>
      <w:i/>
      <w:iCs/>
      <w:color w:val="0F4761" w:themeColor="accent1" w:themeShade="BF"/>
    </w:rPr>
  </w:style>
  <w:style w:type="character" w:styleId="IntenseReference">
    <w:name w:val="Intense Reference"/>
    <w:basedOn w:val="DefaultParagraphFont"/>
    <w:uiPriority w:val="32"/>
    <w:qFormat/>
    <w:rsid w:val="005B53F6"/>
    <w:rPr>
      <w:b/>
      <w:bCs/>
      <w:smallCaps/>
      <w:color w:val="0F4761" w:themeColor="accent1" w:themeShade="BF"/>
      <w:spacing w:val="5"/>
    </w:rPr>
  </w:style>
  <w:style w:type="character" w:styleId="Hyperlink">
    <w:name w:val="Hyperlink"/>
    <w:basedOn w:val="DefaultParagraphFont"/>
    <w:uiPriority w:val="99"/>
    <w:unhideWhenUsed/>
    <w:rsid w:val="00462A69"/>
    <w:rPr>
      <w:color w:val="467886" w:themeColor="hyperlink"/>
      <w:u w:val="single"/>
    </w:rPr>
  </w:style>
  <w:style w:type="character" w:styleId="UnresolvedMention">
    <w:name w:val="Unresolved Mention"/>
    <w:basedOn w:val="DefaultParagraphFont"/>
    <w:uiPriority w:val="99"/>
    <w:semiHidden/>
    <w:unhideWhenUsed/>
    <w:rsid w:val="00462A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wteacher.net/cases/ivey-v-genting-casinos-4148.php#:~:text=Over%20two%20days%2C%20Ivey%20won" TargetMode="External"/><Relationship Id="rId3" Type="http://schemas.openxmlformats.org/officeDocument/2006/relationships/settings" Target="settings.xml"/><Relationship Id="rId7" Type="http://schemas.openxmlformats.org/officeDocument/2006/relationships/hyperlink" Target="https://www.2bedfordrow.co.uk/ivey-v-genting-casinos-uk-ltd-ta-crockfords-2017-uksc-67-no-ghosh-test-dishonesty-like-elephan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mayerbrown.com/en/insights/publications/2020/07/dishonesty-in-complex-fraud-claims" TargetMode="External"/><Relationship Id="rId5" Type="http://schemas.openxmlformats.org/officeDocument/2006/relationships/hyperlink" Target="https://www.guildhallchambers.co.uk/uploadedFiles/DISHONESTY_REDEFINED%20.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6B1775-281F-441F-82FB-4985BBE3A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1714</TotalTime>
  <Pages>5</Pages>
  <Words>1651</Words>
  <Characters>9593</Characters>
  <Application>Microsoft Office Word</Application>
  <DocSecurity>0</DocSecurity>
  <Lines>166</Lines>
  <Paragraphs>32</Paragraphs>
  <ScaleCrop>false</ScaleCrop>
  <Company/>
  <LinksUpToDate>false</LinksUpToDate>
  <CharactersWithSpaces>11229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Traore M (FLSE)</dc:creator>
  <cp:keywords/>
  <dc:description/>
  <cp:lastModifiedBy>Traore M (FLSE)</cp:lastModifiedBy>
  <cp:revision>146</cp:revision>
  <dcterms:created xsi:type="dcterms:W3CDTF">2024-05-01T13:11:00Z</dcterms:created>
  <dcterms:modified xsi:type="dcterms:W3CDTF">2024-05-03T22:39:00Z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9bce2cd1-b9a4-41b7-9126-034a9a104ea2</vt:lpwstr>
  </property>
</Properties>
</file>