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244ED3" w14:textId="79254E8C" w:rsidR="009B47AE" w:rsidRDefault="00970126" w:rsidP="00970126">
      <w:pPr>
        <w:pStyle w:val="AssignBody"/>
        <w:jc w:val="center"/>
      </w:pPr>
      <w:r w:rsidRPr="00970126">
        <w:rPr>
          <w:b/>
          <w:sz w:val="36"/>
          <w:u w:val="single"/>
        </w:rPr>
        <w:t>Unders</w:t>
      </w:r>
      <w:bookmarkStart w:id="0" w:name="_GoBack"/>
      <w:bookmarkEnd w:id="0"/>
      <w:r w:rsidRPr="00970126">
        <w:rPr>
          <w:b/>
          <w:sz w:val="36"/>
          <w:u w:val="single"/>
        </w:rPr>
        <w:t>tanding how the learner, the school and the local community work together to deliver one of the four purposes of the new curriculum: a video presentation that critically examines this process.</w:t>
      </w:r>
    </w:p>
    <w:p w14:paraId="04B332E0" w14:textId="77777777" w:rsidR="009B47AE" w:rsidRDefault="009B47AE" w:rsidP="00CD1240">
      <w:pPr>
        <w:pStyle w:val="AssignBody"/>
      </w:pPr>
    </w:p>
    <w:p w14:paraId="20C4B590" w14:textId="51BA4E1A" w:rsidR="009B47AE" w:rsidRDefault="009B47AE" w:rsidP="00E611D9">
      <w:pPr>
        <w:pStyle w:val="AssignBody"/>
        <w:rPr>
          <w:i/>
        </w:rPr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  <w:hyperlink r:id="rId9" w:history="1">
        <w:r w:rsidR="00C21FC7" w:rsidRPr="009E05F3">
          <w:rPr>
            <w:rStyle w:val="Hyperlink"/>
            <w:i/>
          </w:rPr>
          <w:t>https://uowtsd-my.sharepoint.com/:v:/g/personal/1900764_student_uwtsd_ac_uk/EYW4Q7x5rXRBsT-XDElKMW4B9ilZr_wCRnJhlGvhx_TWHA?e=7sD8Wu</w:t>
        </w:r>
      </w:hyperlink>
    </w:p>
    <w:p w14:paraId="4BBBCDAF" w14:textId="77777777" w:rsidR="00C21FC7" w:rsidRDefault="00C21FC7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2184E4B1" w:rsidR="00E611D9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1D1E0E25" w14:textId="4B0B8215" w:rsidR="00EE4ED1" w:rsidRPr="00EE4ED1" w:rsidRDefault="00EE4ED1" w:rsidP="00970126">
      <w:pPr>
        <w:spacing w:line="360" w:lineRule="auto"/>
        <w:rPr>
          <w:rFonts w:eastAsiaTheme="minorEastAsia" w:cstheme="minorHAnsi"/>
        </w:rPr>
      </w:pPr>
      <w:r w:rsidRPr="00EE4ED1">
        <w:rPr>
          <w:rFonts w:eastAsiaTheme="minorEastAsia" w:cstheme="minorHAnsi"/>
        </w:rPr>
        <w:t xml:space="preserve">British Educational Research Association [BERA]. (2018) </w:t>
      </w:r>
      <w:r w:rsidRPr="00EE4ED1">
        <w:rPr>
          <w:rFonts w:eastAsiaTheme="minorEastAsia" w:cstheme="minorHAnsi"/>
          <w:i/>
          <w:iCs/>
        </w:rPr>
        <w:t>Ethical Guidelines for Educational Research</w:t>
      </w:r>
      <w:r w:rsidRPr="00EE4ED1">
        <w:rPr>
          <w:rFonts w:eastAsiaTheme="minorEastAsia" w:cstheme="minorHAnsi"/>
        </w:rPr>
        <w:t xml:space="preserve"> 4</w:t>
      </w:r>
      <w:r w:rsidRPr="00EE4ED1">
        <w:rPr>
          <w:rFonts w:eastAsiaTheme="minorEastAsia" w:cstheme="minorHAnsi"/>
          <w:vertAlign w:val="superscript"/>
        </w:rPr>
        <w:t>th</w:t>
      </w:r>
      <w:r w:rsidRPr="00EE4ED1">
        <w:rPr>
          <w:rFonts w:eastAsiaTheme="minorEastAsia" w:cstheme="minorHAnsi"/>
        </w:rPr>
        <w:t xml:space="preserve"> Ed.  London: BERA. </w:t>
      </w:r>
    </w:p>
    <w:p w14:paraId="3E0164DA" w14:textId="38B2B147" w:rsidR="00EE4ED1" w:rsidRPr="00EE4ED1" w:rsidRDefault="00EE4ED1" w:rsidP="00970126">
      <w:pPr>
        <w:spacing w:line="360" w:lineRule="auto"/>
        <w:rPr>
          <w:rFonts w:eastAsiaTheme="minorEastAsia" w:cstheme="minorHAnsi"/>
        </w:rPr>
      </w:pPr>
      <w:r w:rsidRPr="00EE4ED1">
        <w:rPr>
          <w:rFonts w:eastAsiaTheme="minorEastAsia" w:cstheme="minorHAnsi"/>
        </w:rPr>
        <w:t xml:space="preserve">Donaldson, G. (2015) </w:t>
      </w:r>
      <w:r w:rsidRPr="00EE4ED1">
        <w:rPr>
          <w:rFonts w:eastAsiaTheme="minorEastAsia" w:cstheme="minorHAnsi"/>
          <w:i/>
          <w:iCs/>
        </w:rPr>
        <w:t xml:space="preserve">Successful Futures – Independent Review of Curriculum and Assessment Arrangements in Wales. </w:t>
      </w:r>
      <w:r w:rsidRPr="00EE4ED1">
        <w:rPr>
          <w:rFonts w:eastAsiaTheme="minorEastAsia" w:cstheme="minorHAnsi"/>
        </w:rPr>
        <w:t xml:space="preserve">Available at: </w:t>
      </w:r>
      <w:hyperlink r:id="rId10" w:history="1">
        <w:r w:rsidRPr="00EE4ED1">
          <w:rPr>
            <w:rFonts w:eastAsiaTheme="minorEastAsia" w:cstheme="minorHAnsi"/>
            <w:u w:val="single"/>
          </w:rPr>
          <w:t>https://gov.wales/docs/dcells/publications/150225-successful-futures-en.pdf</w:t>
        </w:r>
      </w:hyperlink>
      <w:r w:rsidRPr="00EE4ED1">
        <w:rPr>
          <w:rFonts w:eastAsiaTheme="minorEastAsia" w:cstheme="minorHAnsi"/>
          <w:u w:val="single"/>
        </w:rPr>
        <w:t xml:space="preserve"> </w:t>
      </w:r>
      <w:r w:rsidRPr="00EE4ED1">
        <w:rPr>
          <w:rFonts w:eastAsiaTheme="minorEastAsia" w:cstheme="minorHAnsi"/>
        </w:rPr>
        <w:t>(Accessed: 10</w:t>
      </w:r>
      <w:r w:rsidRPr="00EE4ED1">
        <w:rPr>
          <w:rFonts w:eastAsiaTheme="minorEastAsia" w:cstheme="minorHAnsi"/>
          <w:vertAlign w:val="superscript"/>
        </w:rPr>
        <w:t>th</w:t>
      </w:r>
      <w:r w:rsidRPr="00EE4ED1">
        <w:rPr>
          <w:rFonts w:eastAsiaTheme="minorEastAsia" w:cstheme="minorHAnsi"/>
        </w:rPr>
        <w:t xml:space="preserve"> March 2020)</w:t>
      </w:r>
    </w:p>
    <w:p w14:paraId="3A47C490" w14:textId="7D9F0673" w:rsidR="00EE4ED1" w:rsidRPr="00EE4ED1" w:rsidRDefault="00EE4ED1" w:rsidP="00970126">
      <w:pPr>
        <w:spacing w:line="360" w:lineRule="auto"/>
        <w:rPr>
          <w:rFonts w:eastAsiaTheme="minorEastAsia" w:cstheme="minorHAnsi"/>
        </w:rPr>
      </w:pPr>
      <w:r>
        <w:rPr>
          <w:rFonts w:cstheme="minorHAnsi"/>
          <w:shd w:val="clear" w:color="auto" w:fill="FFFFFF"/>
        </w:rPr>
        <w:t>Elder</w:t>
      </w:r>
      <w:r w:rsidRPr="00EE4ED1">
        <w:rPr>
          <w:rFonts w:cstheme="minorHAnsi"/>
          <w:shd w:val="clear" w:color="auto" w:fill="FFFFFF"/>
        </w:rPr>
        <w:t xml:space="preserve">, G. H. and </w:t>
      </w:r>
      <w:r>
        <w:rPr>
          <w:rFonts w:cstheme="minorHAnsi"/>
          <w:shd w:val="clear" w:color="auto" w:fill="FFFFFF"/>
        </w:rPr>
        <w:t>Conger</w:t>
      </w:r>
      <w:r w:rsidRPr="00EE4ED1">
        <w:rPr>
          <w:rFonts w:cstheme="minorHAnsi"/>
          <w:shd w:val="clear" w:color="auto" w:fill="FFFFFF"/>
        </w:rPr>
        <w:t>, R. D., (2000). </w:t>
      </w:r>
      <w:r w:rsidRPr="00EE4ED1">
        <w:rPr>
          <w:rStyle w:val="Emphasis"/>
          <w:rFonts w:cstheme="minorHAnsi"/>
          <w:shd w:val="clear" w:color="auto" w:fill="FFFFFF"/>
        </w:rPr>
        <w:t>Children of the Land: Adversity and Success in Rural America. </w:t>
      </w:r>
      <w:r w:rsidRPr="00EE4ED1">
        <w:rPr>
          <w:rFonts w:cstheme="minorHAnsi"/>
          <w:shd w:val="clear" w:color="auto" w:fill="FFFFFF"/>
        </w:rPr>
        <w:t>Chicago: The University of Chicago Press Ltd.</w:t>
      </w:r>
    </w:p>
    <w:p w14:paraId="016F6F1C" w14:textId="697EFE93" w:rsidR="00EE4ED1" w:rsidRPr="00EE4ED1" w:rsidRDefault="00EE4ED1" w:rsidP="00970126">
      <w:pPr>
        <w:spacing w:line="360" w:lineRule="auto"/>
        <w:rPr>
          <w:rStyle w:val="Emphasis"/>
          <w:rFonts w:cstheme="minorHAnsi"/>
          <w:i w:val="0"/>
          <w:iCs w:val="0"/>
          <w:shd w:val="clear" w:color="auto" w:fill="FFFFFF"/>
        </w:rPr>
      </w:pPr>
      <w:r w:rsidRPr="00EE4ED1">
        <w:rPr>
          <w:rStyle w:val="Emphasis"/>
          <w:rFonts w:cstheme="minorHAnsi"/>
          <w:i w:val="0"/>
          <w:iCs w:val="0"/>
          <w:shd w:val="clear" w:color="auto" w:fill="FFFFFF"/>
        </w:rPr>
        <w:t>Henderson, Anne T. and Karen L. Mapp</w:t>
      </w:r>
      <w:r w:rsidRPr="00EE4ED1">
        <w:rPr>
          <w:rStyle w:val="Emphasis"/>
          <w:rFonts w:cstheme="minorHAnsi"/>
          <w:shd w:val="clear" w:color="auto" w:fill="FFFFFF"/>
        </w:rPr>
        <w:t>.</w:t>
      </w:r>
      <w:r w:rsidRPr="00EE4ED1">
        <w:rPr>
          <w:rStyle w:val="Emphasis"/>
          <w:rFonts w:cstheme="minorHAnsi"/>
          <w:i w:val="0"/>
          <w:iCs w:val="0"/>
          <w:shd w:val="clear" w:color="auto" w:fill="FFFFFF"/>
        </w:rPr>
        <w:t xml:space="preserve"> (2002)</w:t>
      </w:r>
      <w:r w:rsidRPr="00EE4ED1">
        <w:rPr>
          <w:rStyle w:val="Emphasis"/>
          <w:rFonts w:cstheme="minorHAnsi"/>
          <w:shd w:val="clear" w:color="auto" w:fill="FFFFFF"/>
        </w:rPr>
        <w:t xml:space="preserve"> “A New Wave of Evidence: The Impact of School, Family, and the Community Connections on Student Achievement.” SEDL. </w:t>
      </w:r>
      <w:r w:rsidRPr="00EE4ED1">
        <w:rPr>
          <w:rStyle w:val="Emphasis"/>
          <w:rFonts w:cstheme="minorHAnsi"/>
          <w:i w:val="0"/>
          <w:iCs w:val="0"/>
          <w:shd w:val="clear" w:color="auto" w:fill="FFFFFF"/>
        </w:rPr>
        <w:t>Available at:</w:t>
      </w:r>
      <w:r w:rsidRPr="00EE4ED1">
        <w:rPr>
          <w:rStyle w:val="Emphasis"/>
          <w:rFonts w:cstheme="minorHAnsi"/>
          <w:i w:val="0"/>
          <w:iCs w:val="0"/>
          <w:shd w:val="clear" w:color="auto" w:fill="FFFFFF"/>
        </w:rPr>
        <w:t> </w:t>
      </w:r>
      <w:hyperlink r:id="rId11" w:tgtFrame="_blank" w:history="1">
        <w:r w:rsidRPr="00EE4ED1">
          <w:rPr>
            <w:rStyle w:val="Hyperlink"/>
            <w:rFonts w:cstheme="minorHAnsi"/>
            <w:i/>
            <w:iCs/>
            <w:color w:val="auto"/>
            <w:shd w:val="clear" w:color="auto" w:fill="FFFFFF"/>
          </w:rPr>
          <w:t>https://www.sedl.org/connections/resources/evidence.pdf</w:t>
        </w:r>
      </w:hyperlink>
      <w:r w:rsidRPr="00EE4ED1">
        <w:rPr>
          <w:rStyle w:val="Emphasis"/>
          <w:rFonts w:cstheme="minorHAnsi"/>
          <w:i w:val="0"/>
          <w:iCs w:val="0"/>
          <w:shd w:val="clear" w:color="auto" w:fill="FFFFFF"/>
        </w:rPr>
        <w:t>.  Accessed: 1</w:t>
      </w:r>
      <w:r w:rsidRPr="00EE4ED1">
        <w:rPr>
          <w:rStyle w:val="Emphasis"/>
          <w:rFonts w:cstheme="minorHAnsi"/>
          <w:i w:val="0"/>
          <w:iCs w:val="0"/>
          <w:shd w:val="clear" w:color="auto" w:fill="FFFFFF"/>
          <w:vertAlign w:val="superscript"/>
        </w:rPr>
        <w:t>st</w:t>
      </w:r>
      <w:r w:rsidRPr="00EE4ED1">
        <w:rPr>
          <w:rStyle w:val="Emphasis"/>
          <w:rFonts w:cstheme="minorHAnsi"/>
          <w:i w:val="0"/>
          <w:iCs w:val="0"/>
          <w:shd w:val="clear" w:color="auto" w:fill="FFFFFF"/>
        </w:rPr>
        <w:t xml:space="preserve"> April</w:t>
      </w:r>
      <w:r w:rsidRPr="00EE4ED1">
        <w:rPr>
          <w:rStyle w:val="Emphasis"/>
          <w:rFonts w:cstheme="minorHAnsi"/>
          <w:i w:val="0"/>
          <w:iCs w:val="0"/>
          <w:shd w:val="clear" w:color="auto" w:fill="FFFFFF"/>
        </w:rPr>
        <w:t xml:space="preserve"> 20</w:t>
      </w:r>
      <w:r w:rsidRPr="00EE4ED1">
        <w:rPr>
          <w:rStyle w:val="Emphasis"/>
          <w:rFonts w:cstheme="minorHAnsi"/>
          <w:i w:val="0"/>
          <w:iCs w:val="0"/>
          <w:shd w:val="clear" w:color="auto" w:fill="FFFFFF"/>
        </w:rPr>
        <w:t>20</w:t>
      </w:r>
      <w:r w:rsidRPr="00EE4ED1">
        <w:rPr>
          <w:rStyle w:val="Emphasis"/>
          <w:rFonts w:cstheme="minorHAnsi"/>
          <w:i w:val="0"/>
          <w:iCs w:val="0"/>
          <w:shd w:val="clear" w:color="auto" w:fill="FFFFFF"/>
        </w:rPr>
        <w:t>.</w:t>
      </w:r>
    </w:p>
    <w:p w14:paraId="47F93028" w14:textId="359BA742" w:rsidR="00EE4ED1" w:rsidRPr="00EE4ED1" w:rsidRDefault="00EE4ED1" w:rsidP="00970126">
      <w:pPr>
        <w:spacing w:line="360" w:lineRule="auto"/>
        <w:rPr>
          <w:rFonts w:cstheme="minorHAnsi"/>
          <w:shd w:val="clear" w:color="auto" w:fill="FFFFFF"/>
        </w:rPr>
      </w:pPr>
      <w:r w:rsidRPr="00EE4ED1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6A5B8C" wp14:editId="2D46B7F1">
                <wp:simplePos x="0" y="0"/>
                <wp:positionH relativeFrom="column">
                  <wp:posOffset>2019300</wp:posOffset>
                </wp:positionH>
                <wp:positionV relativeFrom="paragraph">
                  <wp:posOffset>10795</wp:posOffset>
                </wp:positionV>
                <wp:extent cx="1243330" cy="155575"/>
                <wp:effectExtent l="0" t="0" r="13970" b="1587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3330" cy="155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2987E8" id="Rectangle 15" o:spid="_x0000_s1026" style="position:absolute;margin-left:159pt;margin-top:.85pt;width:97.9pt;height:1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" fillcolor="black [3200]" strokecolor="black [1600]" strokeweight="1pt"/>
            </w:pict>
          </mc:Fallback>
        </mc:AlternateContent>
      </w:r>
      <w:r w:rsidRPr="00EE4ED1">
        <w:rPr>
          <w:rFonts w:cstheme="minorHAnsi"/>
          <w:shd w:val="clear" w:color="auto" w:fill="FFFFFF"/>
        </w:rPr>
        <w:t>Mylocalschool.wales.gov.uk. (2018). </w:t>
      </w:r>
      <w:r w:rsidRPr="00EE4ED1">
        <w:rPr>
          <w:rFonts w:cstheme="minorHAnsi"/>
          <w:i/>
          <w:iCs/>
          <w:shd w:val="clear" w:color="auto" w:fill="FFFFFF"/>
        </w:rPr>
        <w:t>Halfway C.P. School</w:t>
      </w:r>
      <w:r w:rsidRPr="00EE4ED1">
        <w:rPr>
          <w:rFonts w:cstheme="minorHAnsi"/>
          <w:shd w:val="clear" w:color="auto" w:fill="FFFFFF"/>
        </w:rPr>
        <w:t>. [online] Available at: http://mylocalschool.wales.gov.uk/School/6692188?lang=en [Accessed 2</w:t>
      </w:r>
      <w:r w:rsidRPr="00EE4ED1">
        <w:rPr>
          <w:rFonts w:cstheme="minorHAnsi"/>
          <w:shd w:val="clear" w:color="auto" w:fill="FFFFFF"/>
          <w:vertAlign w:val="superscript"/>
        </w:rPr>
        <w:t>nd</w:t>
      </w:r>
      <w:r w:rsidRPr="00EE4ED1">
        <w:rPr>
          <w:rFonts w:cstheme="minorHAnsi"/>
          <w:shd w:val="clear" w:color="auto" w:fill="FFFFFF"/>
        </w:rPr>
        <w:t xml:space="preserve"> April 2020].</w:t>
      </w:r>
    </w:p>
    <w:p w14:paraId="2F6C6824" w14:textId="58C75B98" w:rsidR="00EE4ED1" w:rsidRDefault="00EE4ED1" w:rsidP="00970126">
      <w:pPr>
        <w:spacing w:line="360" w:lineRule="auto"/>
        <w:rPr>
          <w:rFonts w:cstheme="minorHAnsi"/>
          <w:shd w:val="clear" w:color="auto" w:fill="FFFFFF"/>
        </w:rPr>
      </w:pPr>
      <w:r w:rsidRPr="00EE4ED1">
        <w:rPr>
          <w:rFonts w:cstheme="minorHAnsi"/>
          <w:shd w:val="clear" w:color="auto" w:fill="FFFFFF"/>
        </w:rPr>
        <w:t>Rogoff, B</w:t>
      </w:r>
      <w:r w:rsidRPr="00EE4ED1">
        <w:rPr>
          <w:rFonts w:cstheme="minorHAnsi"/>
          <w:shd w:val="clear" w:color="auto" w:fill="FFFFFF"/>
        </w:rPr>
        <w:t>. (</w:t>
      </w:r>
      <w:r w:rsidRPr="00EE4ED1">
        <w:rPr>
          <w:rFonts w:cstheme="minorHAnsi"/>
          <w:shd w:val="clear" w:color="auto" w:fill="FFFFFF"/>
        </w:rPr>
        <w:t>2002</w:t>
      </w:r>
      <w:r w:rsidRPr="00EE4ED1">
        <w:rPr>
          <w:rFonts w:cstheme="minorHAnsi"/>
          <w:shd w:val="clear" w:color="auto" w:fill="FFFFFF"/>
        </w:rPr>
        <w:t>)</w:t>
      </w:r>
      <w:r w:rsidRPr="00EE4ED1">
        <w:rPr>
          <w:rFonts w:cstheme="minorHAnsi"/>
          <w:shd w:val="clear" w:color="auto" w:fill="FFFFFF"/>
        </w:rPr>
        <w:t> </w:t>
      </w:r>
      <w:r w:rsidRPr="00EE4ED1">
        <w:rPr>
          <w:rFonts w:cstheme="minorHAnsi"/>
          <w:i/>
          <w:iCs/>
          <w:shd w:val="clear" w:color="auto" w:fill="FFFFFF"/>
        </w:rPr>
        <w:t>Learning Together</w:t>
      </w:r>
      <w:r w:rsidRPr="00EE4ED1">
        <w:rPr>
          <w:rFonts w:cstheme="minorHAnsi"/>
          <w:shd w:val="clear" w:color="auto" w:fill="FFFFFF"/>
        </w:rPr>
        <w:t>. New York: Oxford University Press.</w:t>
      </w:r>
    </w:p>
    <w:p w14:paraId="7311ACC2" w14:textId="00B4D9C9" w:rsidR="00EE4ED1" w:rsidRPr="00EE4ED1" w:rsidRDefault="00EE4ED1" w:rsidP="00970126">
      <w:pPr>
        <w:spacing w:line="360" w:lineRule="auto"/>
        <w:rPr>
          <w:rStyle w:val="Emphasis"/>
          <w:rFonts w:cstheme="minorHAnsi"/>
          <w:i w:val="0"/>
          <w:iCs w:val="0"/>
          <w:shd w:val="clear" w:color="auto" w:fill="FFFFFF"/>
        </w:rPr>
      </w:pPr>
      <w:r>
        <w:rPr>
          <w:rFonts w:cstheme="minorHAnsi"/>
          <w:shd w:val="clear" w:color="auto" w:fill="FFFFFF"/>
        </w:rPr>
        <w:t>University of Warwick and University of the West of England (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2008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)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Improving Care In Residential Care Homes: A Literature Review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York: Joseph Rowntree Foundation.</w:t>
      </w:r>
    </w:p>
    <w:p w14:paraId="0656C2FF" w14:textId="77777777" w:rsidR="00EE4ED1" w:rsidRPr="00EE4ED1" w:rsidRDefault="00EE4ED1" w:rsidP="00970126">
      <w:pPr>
        <w:spacing w:line="360" w:lineRule="auto"/>
        <w:rPr>
          <w:rFonts w:cstheme="minorHAnsi"/>
        </w:rPr>
      </w:pPr>
      <w:r w:rsidRPr="00EE4ED1">
        <w:rPr>
          <w:rFonts w:cstheme="minorHAnsi"/>
        </w:rPr>
        <w:t xml:space="preserve">Welsh Government (2014) </w:t>
      </w:r>
      <w:r w:rsidRPr="00EE4ED1">
        <w:rPr>
          <w:rFonts w:cstheme="minorHAnsi"/>
          <w:i/>
          <w:iCs/>
        </w:rPr>
        <w:t>School Development Plans – Guidance 155/2014</w:t>
      </w:r>
      <w:r w:rsidRPr="00EE4ED1">
        <w:rPr>
          <w:rFonts w:cstheme="minorHAnsi"/>
        </w:rPr>
        <w:t xml:space="preserve">. Available at: </w:t>
      </w:r>
      <w:hyperlink r:id="rId12" w:history="1">
        <w:r w:rsidRPr="00EE4ED1">
          <w:rPr>
            <w:rFonts w:cstheme="minorHAnsi"/>
            <w:u w:val="single"/>
          </w:rPr>
          <w:t>https://gov.wales/sites/default/files/publications/2018-03/school-development-plans.pdf</w:t>
        </w:r>
      </w:hyperlink>
      <w:r w:rsidRPr="00EE4ED1">
        <w:rPr>
          <w:rFonts w:cstheme="minorHAnsi"/>
        </w:rPr>
        <w:t xml:space="preserve"> (Accessed: 2nd April 2020)</w:t>
      </w:r>
    </w:p>
    <w:p w14:paraId="41702561" w14:textId="77777777" w:rsidR="00EE4ED1" w:rsidRPr="00EE4ED1" w:rsidRDefault="00EE4ED1" w:rsidP="00970126">
      <w:pPr>
        <w:spacing w:line="360" w:lineRule="auto"/>
        <w:rPr>
          <w:rFonts w:cstheme="minorHAnsi"/>
          <w:shd w:val="clear" w:color="auto" w:fill="FFFFFF"/>
        </w:rPr>
      </w:pPr>
    </w:p>
    <w:p w14:paraId="0A9140CB" w14:textId="77777777" w:rsidR="00EE4ED1" w:rsidRPr="00EE4ED1" w:rsidRDefault="00EE4ED1" w:rsidP="00970126">
      <w:pPr>
        <w:pStyle w:val="AssignBody"/>
        <w:rPr>
          <w:rFonts w:asciiTheme="minorHAnsi" w:hAnsiTheme="minorHAnsi" w:cstheme="minorHAnsi"/>
        </w:rPr>
      </w:pPr>
    </w:p>
    <w:sectPr w:rsidR="00EE4ED1" w:rsidRPr="00EE4ED1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26480B" w14:textId="77777777" w:rsidR="00B67895" w:rsidRDefault="00B67895" w:rsidP="00E611D9">
      <w:pPr>
        <w:spacing w:after="0" w:line="240" w:lineRule="auto"/>
      </w:pPr>
      <w:r>
        <w:separator/>
      </w:r>
    </w:p>
  </w:endnote>
  <w:endnote w:type="continuationSeparator" w:id="0">
    <w:p w14:paraId="0FD77398" w14:textId="77777777" w:rsidR="00B67895" w:rsidRDefault="00B67895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639A59" w14:textId="77777777" w:rsidR="00B67895" w:rsidRDefault="00B67895" w:rsidP="00E611D9">
      <w:pPr>
        <w:spacing w:after="0" w:line="240" w:lineRule="auto"/>
      </w:pPr>
      <w:r>
        <w:separator/>
      </w:r>
    </w:p>
  </w:footnote>
  <w:footnote w:type="continuationSeparator" w:id="0">
    <w:p w14:paraId="2AED970F" w14:textId="77777777" w:rsidR="00B67895" w:rsidRDefault="00B67895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09B804D9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C21FC7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19DE5FB3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C21FC7">
            <w:rPr>
              <w:rFonts w:ascii="Arial" w:hAnsi="Arial" w:cs="Arial"/>
            </w:rPr>
            <w:t>1900764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51A69FFA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2229F0"/>
    <w:rsid w:val="003B567F"/>
    <w:rsid w:val="003E55AE"/>
    <w:rsid w:val="00433F17"/>
    <w:rsid w:val="005956FB"/>
    <w:rsid w:val="006419C3"/>
    <w:rsid w:val="00691A46"/>
    <w:rsid w:val="006B5861"/>
    <w:rsid w:val="00817F7A"/>
    <w:rsid w:val="00970126"/>
    <w:rsid w:val="009B47AE"/>
    <w:rsid w:val="00AD4EBD"/>
    <w:rsid w:val="00B67895"/>
    <w:rsid w:val="00BC651E"/>
    <w:rsid w:val="00C21FC7"/>
    <w:rsid w:val="00CD1240"/>
    <w:rsid w:val="00E611D9"/>
    <w:rsid w:val="00EE4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4ED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EE4ED1"/>
    <w:rPr>
      <w:i/>
      <w:iCs/>
    </w:rPr>
  </w:style>
  <w:style w:type="character" w:styleId="Hyperlink">
    <w:name w:val="Hyperlink"/>
    <w:basedOn w:val="DefaultParagraphFont"/>
    <w:uiPriority w:val="99"/>
    <w:unhideWhenUsed/>
    <w:rsid w:val="00EE4ED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1F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about:blan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sedl.org/connections/resources/evidence.pdf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about:blank" TargetMode="Externa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v:/g/personal/1900764_student_uwtsd_ac_uk/EYW4Q7x5rXRBsT-XDElKMW4B9ilZr_wCRnJhlGvhx_TWHA?e=7sD8W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Megan me</cp:lastModifiedBy>
  <cp:revision>2</cp:revision>
  <dcterms:created xsi:type="dcterms:W3CDTF">2020-04-13T10:46:00Z</dcterms:created>
  <dcterms:modified xsi:type="dcterms:W3CDTF">2020-04-13T10:46:00Z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