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870908" w:rsidRPr="007948E0" w:rsidTr="00870908">
        <w:tc>
          <w:tcPr>
            <w:tcW w:w="4675" w:type="dxa"/>
          </w:tcPr>
          <w:p w:rsidR="00870908" w:rsidRPr="00C752D2" w:rsidRDefault="00870908" w:rsidP="00C752D2">
            <w:pPr>
              <w:spacing w:line="480" w:lineRule="auto"/>
              <w:rPr>
                <w:rFonts w:ascii="Tahoma" w:eastAsia="Times New Roman" w:hAnsi="Tahoma" w:cs="Tahoma"/>
                <w:bCs/>
                <w:kern w:val="36"/>
                <w:sz w:val="38"/>
                <w:szCs w:val="48"/>
                <w:lang w:eastAsia="en-GB"/>
              </w:rPr>
            </w:pPr>
            <w:r w:rsidRPr="00C752D2">
              <w:rPr>
                <w:rFonts w:ascii="Tahoma" w:eastAsia="Times New Roman" w:hAnsi="Tahoma" w:cs="Tahoma"/>
                <w:bCs/>
                <w:kern w:val="36"/>
                <w:sz w:val="38"/>
                <w:szCs w:val="48"/>
                <w:lang w:eastAsia="en-GB"/>
              </w:rPr>
              <w:t>Student Name</w:t>
            </w:r>
            <w:bookmarkStart w:id="0" w:name="_GoBack"/>
            <w:bookmarkEnd w:id="0"/>
          </w:p>
        </w:tc>
        <w:tc>
          <w:tcPr>
            <w:tcW w:w="4675" w:type="dxa"/>
          </w:tcPr>
          <w:p w:rsidR="00870908" w:rsidRPr="00C752D2" w:rsidRDefault="007948E0" w:rsidP="00C752D2">
            <w:pPr>
              <w:spacing w:line="480" w:lineRule="auto"/>
              <w:rPr>
                <w:rFonts w:ascii="Tahoma" w:eastAsia="Times New Roman" w:hAnsi="Tahoma" w:cs="Tahoma"/>
                <w:bCs/>
                <w:kern w:val="36"/>
                <w:sz w:val="38"/>
                <w:szCs w:val="48"/>
                <w:lang w:eastAsia="en-GB"/>
              </w:rPr>
            </w:pPr>
            <w:r w:rsidRPr="00C752D2">
              <w:rPr>
                <w:rFonts w:ascii="Tahoma" w:eastAsia="Times New Roman" w:hAnsi="Tahoma" w:cs="Tahoma"/>
                <w:bCs/>
                <w:kern w:val="36"/>
                <w:sz w:val="38"/>
                <w:szCs w:val="48"/>
                <w:lang w:eastAsia="en-GB"/>
              </w:rPr>
              <w:t>Sobia Khan</w:t>
            </w:r>
          </w:p>
        </w:tc>
      </w:tr>
      <w:tr w:rsidR="00870908" w:rsidRPr="007948E0" w:rsidTr="00870908">
        <w:tc>
          <w:tcPr>
            <w:tcW w:w="4675" w:type="dxa"/>
          </w:tcPr>
          <w:p w:rsidR="00870908" w:rsidRPr="00C752D2" w:rsidRDefault="00870908" w:rsidP="00C752D2">
            <w:pPr>
              <w:spacing w:line="480" w:lineRule="auto"/>
              <w:rPr>
                <w:rFonts w:ascii="Tahoma" w:eastAsia="Times New Roman" w:hAnsi="Tahoma" w:cs="Tahoma"/>
                <w:bCs/>
                <w:kern w:val="36"/>
                <w:sz w:val="38"/>
                <w:szCs w:val="48"/>
                <w:lang w:eastAsia="en-GB"/>
              </w:rPr>
            </w:pPr>
            <w:r w:rsidRPr="00C752D2">
              <w:rPr>
                <w:rFonts w:ascii="Tahoma" w:eastAsia="Times New Roman" w:hAnsi="Tahoma" w:cs="Tahoma"/>
                <w:bCs/>
                <w:kern w:val="36"/>
                <w:sz w:val="38"/>
                <w:szCs w:val="48"/>
                <w:lang w:eastAsia="en-GB"/>
              </w:rPr>
              <w:t>Student ID</w:t>
            </w:r>
          </w:p>
        </w:tc>
        <w:tc>
          <w:tcPr>
            <w:tcW w:w="4675" w:type="dxa"/>
          </w:tcPr>
          <w:p w:rsidR="00870908" w:rsidRPr="00C752D2" w:rsidRDefault="007948E0" w:rsidP="00C752D2">
            <w:pPr>
              <w:spacing w:line="480" w:lineRule="auto"/>
              <w:rPr>
                <w:rFonts w:ascii="Tahoma" w:eastAsia="Times New Roman" w:hAnsi="Tahoma" w:cs="Tahoma"/>
                <w:bCs/>
                <w:kern w:val="36"/>
                <w:sz w:val="38"/>
                <w:szCs w:val="48"/>
                <w:lang w:eastAsia="en-GB"/>
              </w:rPr>
            </w:pPr>
            <w:r w:rsidRPr="00C752D2">
              <w:rPr>
                <w:rFonts w:ascii="Tahoma" w:eastAsia="Times New Roman" w:hAnsi="Tahoma" w:cs="Tahoma"/>
                <w:bCs/>
                <w:kern w:val="36"/>
                <w:sz w:val="38"/>
                <w:szCs w:val="48"/>
                <w:lang w:eastAsia="en-GB"/>
              </w:rPr>
              <w:t>2327970</w:t>
            </w:r>
          </w:p>
        </w:tc>
      </w:tr>
      <w:tr w:rsidR="00870908" w:rsidRPr="007948E0" w:rsidTr="00870908">
        <w:tc>
          <w:tcPr>
            <w:tcW w:w="4675" w:type="dxa"/>
          </w:tcPr>
          <w:p w:rsidR="00870908" w:rsidRPr="00C752D2" w:rsidRDefault="00870908" w:rsidP="00C752D2">
            <w:pPr>
              <w:spacing w:line="480" w:lineRule="auto"/>
              <w:rPr>
                <w:rFonts w:ascii="Tahoma" w:eastAsia="Times New Roman" w:hAnsi="Tahoma" w:cs="Tahoma"/>
                <w:bCs/>
                <w:kern w:val="36"/>
                <w:sz w:val="38"/>
                <w:szCs w:val="48"/>
                <w:lang w:eastAsia="en-GB"/>
              </w:rPr>
            </w:pPr>
            <w:r w:rsidRPr="00C752D2">
              <w:rPr>
                <w:rFonts w:ascii="Tahoma" w:eastAsia="Times New Roman" w:hAnsi="Tahoma" w:cs="Tahoma"/>
                <w:bCs/>
                <w:kern w:val="36"/>
                <w:sz w:val="38"/>
                <w:szCs w:val="48"/>
                <w:lang w:eastAsia="en-GB"/>
              </w:rPr>
              <w:t>Module Name</w:t>
            </w:r>
          </w:p>
        </w:tc>
        <w:tc>
          <w:tcPr>
            <w:tcW w:w="4675" w:type="dxa"/>
          </w:tcPr>
          <w:p w:rsidR="00870908" w:rsidRPr="00C752D2" w:rsidRDefault="007948E0" w:rsidP="00C752D2">
            <w:pPr>
              <w:spacing w:line="480" w:lineRule="auto"/>
              <w:rPr>
                <w:rFonts w:ascii="Tahoma" w:eastAsia="Times New Roman" w:hAnsi="Tahoma" w:cs="Tahoma"/>
                <w:bCs/>
                <w:kern w:val="36"/>
                <w:sz w:val="38"/>
                <w:szCs w:val="48"/>
                <w:lang w:eastAsia="en-GB"/>
              </w:rPr>
            </w:pPr>
            <w:r w:rsidRPr="00C752D2">
              <w:rPr>
                <w:rFonts w:ascii="Tahoma" w:eastAsia="Times New Roman" w:hAnsi="Tahoma" w:cs="Tahoma"/>
                <w:bCs/>
                <w:kern w:val="36"/>
                <w:sz w:val="38"/>
                <w:szCs w:val="48"/>
                <w:lang w:eastAsia="en-GB"/>
              </w:rPr>
              <w:t>Protecting and Supporting Families in Health &amp; Care</w:t>
            </w:r>
          </w:p>
        </w:tc>
      </w:tr>
      <w:tr w:rsidR="00870908" w:rsidRPr="007948E0" w:rsidTr="00870908">
        <w:tc>
          <w:tcPr>
            <w:tcW w:w="4675" w:type="dxa"/>
          </w:tcPr>
          <w:p w:rsidR="00870908" w:rsidRPr="00C752D2" w:rsidRDefault="00870908" w:rsidP="00C752D2">
            <w:pPr>
              <w:spacing w:line="480" w:lineRule="auto"/>
              <w:rPr>
                <w:rFonts w:ascii="Tahoma" w:eastAsia="Times New Roman" w:hAnsi="Tahoma" w:cs="Tahoma"/>
                <w:bCs/>
                <w:kern w:val="36"/>
                <w:sz w:val="38"/>
                <w:szCs w:val="48"/>
                <w:lang w:eastAsia="en-GB"/>
              </w:rPr>
            </w:pPr>
            <w:r w:rsidRPr="00C752D2">
              <w:rPr>
                <w:rFonts w:ascii="Tahoma" w:eastAsia="Times New Roman" w:hAnsi="Tahoma" w:cs="Tahoma"/>
                <w:bCs/>
                <w:kern w:val="36"/>
                <w:sz w:val="38"/>
                <w:szCs w:val="48"/>
                <w:lang w:eastAsia="en-GB"/>
              </w:rPr>
              <w:t>Assignment Title</w:t>
            </w:r>
          </w:p>
        </w:tc>
        <w:tc>
          <w:tcPr>
            <w:tcW w:w="4675" w:type="dxa"/>
          </w:tcPr>
          <w:p w:rsidR="00870908" w:rsidRPr="00C752D2" w:rsidRDefault="007948E0" w:rsidP="00C752D2">
            <w:pPr>
              <w:spacing w:line="480" w:lineRule="auto"/>
              <w:rPr>
                <w:rFonts w:ascii="Tahoma" w:eastAsia="Times New Roman" w:hAnsi="Tahoma" w:cs="Tahoma"/>
                <w:bCs/>
                <w:kern w:val="36"/>
                <w:sz w:val="38"/>
                <w:szCs w:val="48"/>
                <w:lang w:eastAsia="en-GB"/>
              </w:rPr>
            </w:pPr>
            <w:r w:rsidRPr="00C752D2">
              <w:rPr>
                <w:rFonts w:ascii="Tahoma" w:eastAsia="Times New Roman" w:hAnsi="Tahoma" w:cs="Tahoma"/>
                <w:bCs/>
                <w:kern w:val="36"/>
                <w:sz w:val="38"/>
                <w:szCs w:val="48"/>
                <w:lang w:eastAsia="en-GB"/>
              </w:rPr>
              <w:t>Reference List</w:t>
            </w:r>
          </w:p>
        </w:tc>
      </w:tr>
      <w:tr w:rsidR="00870908" w:rsidRPr="007948E0" w:rsidTr="00870908">
        <w:tc>
          <w:tcPr>
            <w:tcW w:w="4675" w:type="dxa"/>
          </w:tcPr>
          <w:p w:rsidR="00870908" w:rsidRPr="00C752D2" w:rsidRDefault="00870908" w:rsidP="00C752D2">
            <w:pPr>
              <w:spacing w:line="480" w:lineRule="auto"/>
              <w:rPr>
                <w:rFonts w:ascii="Tahoma" w:eastAsia="Times New Roman" w:hAnsi="Tahoma" w:cs="Tahoma"/>
                <w:bCs/>
                <w:kern w:val="36"/>
                <w:sz w:val="38"/>
                <w:szCs w:val="48"/>
                <w:lang w:eastAsia="en-GB"/>
              </w:rPr>
            </w:pPr>
            <w:r w:rsidRPr="00C752D2">
              <w:rPr>
                <w:rFonts w:ascii="Tahoma" w:eastAsia="Times New Roman" w:hAnsi="Tahoma" w:cs="Tahoma"/>
                <w:bCs/>
                <w:kern w:val="36"/>
                <w:sz w:val="38"/>
                <w:szCs w:val="48"/>
                <w:lang w:eastAsia="en-GB"/>
              </w:rPr>
              <w:t>Submission Date</w:t>
            </w:r>
          </w:p>
        </w:tc>
        <w:tc>
          <w:tcPr>
            <w:tcW w:w="4675" w:type="dxa"/>
          </w:tcPr>
          <w:p w:rsidR="00870908" w:rsidRPr="00C752D2" w:rsidRDefault="007948E0" w:rsidP="00C752D2">
            <w:pPr>
              <w:spacing w:line="480" w:lineRule="auto"/>
              <w:rPr>
                <w:rFonts w:ascii="Tahoma" w:eastAsia="Times New Roman" w:hAnsi="Tahoma" w:cs="Tahoma"/>
                <w:bCs/>
                <w:kern w:val="36"/>
                <w:sz w:val="38"/>
                <w:szCs w:val="48"/>
                <w:lang w:eastAsia="en-GB"/>
              </w:rPr>
            </w:pPr>
            <w:r w:rsidRPr="00C752D2">
              <w:rPr>
                <w:rFonts w:ascii="Tahoma" w:eastAsia="Times New Roman" w:hAnsi="Tahoma" w:cs="Tahoma"/>
                <w:bCs/>
                <w:kern w:val="36"/>
                <w:sz w:val="38"/>
                <w:szCs w:val="48"/>
                <w:lang w:eastAsia="en-GB"/>
              </w:rPr>
              <w:t>23 February 2026</w:t>
            </w:r>
          </w:p>
        </w:tc>
      </w:tr>
    </w:tbl>
    <w:p w:rsidR="008C4F59" w:rsidRPr="00B56F3C" w:rsidRDefault="00870908" w:rsidP="00C26967">
      <w:pPr>
        <w:spacing w:line="240" w:lineRule="auto"/>
        <w:jc w:val="both"/>
        <w:rPr>
          <w:rFonts w:ascii="Arial" w:eastAsia="Times New Roman" w:hAnsi="Arial" w:cs="Arial"/>
          <w:b/>
          <w:bCs/>
          <w:kern w:val="36"/>
          <w:sz w:val="28"/>
          <w:szCs w:val="48"/>
          <w:lang w:eastAsia="en-GB"/>
        </w:rPr>
      </w:pPr>
      <w:r w:rsidRPr="00B56F3C">
        <w:rPr>
          <w:rFonts w:ascii="Times New Roman" w:eastAsia="Times New Roman" w:hAnsi="Times New Roman" w:cs="Times New Roman"/>
          <w:b/>
          <w:bCs/>
          <w:kern w:val="36"/>
          <w:sz w:val="28"/>
          <w:szCs w:val="48"/>
          <w:lang w:eastAsia="en-GB"/>
        </w:rPr>
        <w:br w:type="page"/>
      </w:r>
      <w:r w:rsidR="008C4F59" w:rsidRPr="00B56F3C">
        <w:rPr>
          <w:rFonts w:ascii="Arial" w:eastAsia="Times New Roman" w:hAnsi="Arial" w:cs="Arial"/>
          <w:b/>
          <w:bCs/>
          <w:kern w:val="36"/>
          <w:sz w:val="28"/>
          <w:szCs w:val="48"/>
          <w:lang w:eastAsia="en-GB"/>
        </w:rPr>
        <w:lastRenderedPageBreak/>
        <w:t>Reference List</w:t>
      </w:r>
    </w:p>
    <w:p w:rsidR="00870908" w:rsidRPr="00B56F3C" w:rsidRDefault="00870908" w:rsidP="00C752D2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56F3C">
        <w:rPr>
          <w:rFonts w:ascii="Arial" w:hAnsi="Arial" w:cs="Arial"/>
          <w:color w:val="1B1B1B"/>
          <w:sz w:val="22"/>
          <w:szCs w:val="22"/>
          <w:shd w:val="clear" w:color="auto" w:fill="FFFFFF"/>
        </w:rPr>
        <w:t xml:space="preserve">Bellis, M., Hughes, K., </w:t>
      </w:r>
      <w:proofErr w:type="spellStart"/>
      <w:r w:rsidRPr="00B56F3C">
        <w:rPr>
          <w:rFonts w:ascii="Arial" w:hAnsi="Arial" w:cs="Arial"/>
          <w:color w:val="1B1B1B"/>
          <w:sz w:val="22"/>
          <w:szCs w:val="22"/>
          <w:shd w:val="clear" w:color="auto" w:fill="FFFFFF"/>
        </w:rPr>
        <w:t>Hardcastle</w:t>
      </w:r>
      <w:proofErr w:type="spellEnd"/>
      <w:r w:rsidRPr="00B56F3C">
        <w:rPr>
          <w:rFonts w:ascii="Arial" w:hAnsi="Arial" w:cs="Arial"/>
          <w:color w:val="1B1B1B"/>
          <w:sz w:val="22"/>
          <w:szCs w:val="22"/>
          <w:shd w:val="clear" w:color="auto" w:fill="FFFFFF"/>
        </w:rPr>
        <w:t xml:space="preserve">, K., Ashton, K., Ford, K., </w:t>
      </w:r>
      <w:proofErr w:type="spellStart"/>
      <w:r w:rsidRPr="00B56F3C">
        <w:rPr>
          <w:rFonts w:ascii="Arial" w:hAnsi="Arial" w:cs="Arial"/>
          <w:color w:val="1B1B1B"/>
          <w:sz w:val="22"/>
          <w:szCs w:val="22"/>
          <w:shd w:val="clear" w:color="auto" w:fill="FFFFFF"/>
        </w:rPr>
        <w:t>Quigg</w:t>
      </w:r>
      <w:proofErr w:type="spellEnd"/>
      <w:r w:rsidRPr="00B56F3C">
        <w:rPr>
          <w:rFonts w:ascii="Arial" w:hAnsi="Arial" w:cs="Arial"/>
          <w:color w:val="1B1B1B"/>
          <w:sz w:val="22"/>
          <w:szCs w:val="22"/>
          <w:shd w:val="clear" w:color="auto" w:fill="FFFFFF"/>
        </w:rPr>
        <w:t xml:space="preserve">, Z., and Davies, A. (2017). </w:t>
      </w:r>
      <w:r w:rsidR="00C26967" w:rsidRPr="00B56F3C">
        <w:rPr>
          <w:rFonts w:ascii="Arial" w:hAnsi="Arial" w:cs="Arial"/>
          <w:color w:val="1B1B1B"/>
          <w:sz w:val="22"/>
          <w:szCs w:val="22"/>
          <w:shd w:val="clear" w:color="auto" w:fill="FFFFFF"/>
        </w:rPr>
        <w:t>‘</w:t>
      </w:r>
      <w:r w:rsidRPr="00B56F3C">
        <w:rPr>
          <w:rFonts w:ascii="Arial" w:hAnsi="Arial" w:cs="Arial"/>
          <w:color w:val="1B1B1B"/>
          <w:sz w:val="22"/>
          <w:szCs w:val="22"/>
          <w:shd w:val="clear" w:color="auto" w:fill="FFFFFF"/>
        </w:rPr>
        <w:t>The impact of adverse childhood experiences on health service use across the life course using a retrospective cohort study</w:t>
      </w:r>
      <w:r w:rsidR="00C26967" w:rsidRPr="00B56F3C">
        <w:rPr>
          <w:rFonts w:ascii="Arial" w:hAnsi="Arial" w:cs="Arial"/>
          <w:color w:val="1B1B1B"/>
          <w:sz w:val="22"/>
          <w:szCs w:val="22"/>
          <w:shd w:val="clear" w:color="auto" w:fill="FFFFFF"/>
        </w:rPr>
        <w:t>’,</w:t>
      </w:r>
      <w:r w:rsidRPr="00B56F3C">
        <w:rPr>
          <w:rFonts w:ascii="Arial" w:hAnsi="Arial" w:cs="Arial"/>
          <w:color w:val="1B1B1B"/>
          <w:sz w:val="22"/>
          <w:szCs w:val="22"/>
          <w:shd w:val="clear" w:color="auto" w:fill="FFFFFF"/>
        </w:rPr>
        <w:t> </w:t>
      </w:r>
      <w:r w:rsidRPr="00B56F3C">
        <w:rPr>
          <w:rFonts w:ascii="Arial" w:hAnsi="Arial" w:cs="Arial"/>
          <w:i/>
          <w:iCs/>
          <w:color w:val="1B1B1B"/>
          <w:sz w:val="22"/>
          <w:szCs w:val="22"/>
          <w:shd w:val="clear" w:color="auto" w:fill="FFFFFF"/>
        </w:rPr>
        <w:t>Journal of Health Services Research &amp; Policy</w:t>
      </w:r>
      <w:r w:rsidRPr="00B56F3C">
        <w:rPr>
          <w:rFonts w:ascii="Arial" w:hAnsi="Arial" w:cs="Arial"/>
          <w:color w:val="1B1B1B"/>
          <w:sz w:val="22"/>
          <w:szCs w:val="22"/>
          <w:shd w:val="clear" w:color="auto" w:fill="FFFFFF"/>
        </w:rPr>
        <w:t>, </w:t>
      </w:r>
      <w:r w:rsidRPr="00B56F3C">
        <w:rPr>
          <w:rFonts w:ascii="Arial" w:hAnsi="Arial" w:cs="Arial"/>
          <w:iCs/>
          <w:color w:val="1B1B1B"/>
          <w:sz w:val="22"/>
          <w:szCs w:val="22"/>
          <w:shd w:val="clear" w:color="auto" w:fill="FFFFFF"/>
        </w:rPr>
        <w:t>22</w:t>
      </w:r>
      <w:r w:rsidRPr="00B56F3C">
        <w:rPr>
          <w:rFonts w:ascii="Arial" w:hAnsi="Arial" w:cs="Arial"/>
          <w:color w:val="1B1B1B"/>
          <w:sz w:val="22"/>
          <w:szCs w:val="22"/>
          <w:shd w:val="clear" w:color="auto" w:fill="FFFFFF"/>
        </w:rPr>
        <w:t>(3), 168–177</w:t>
      </w:r>
      <w:r w:rsidRPr="00B56F3C">
        <w:rPr>
          <w:rFonts w:ascii="Arial" w:hAnsi="Arial" w:cs="Arial"/>
          <w:sz w:val="22"/>
          <w:szCs w:val="22"/>
        </w:rPr>
        <w:t>.</w:t>
      </w:r>
    </w:p>
    <w:p w:rsidR="00870908" w:rsidRPr="00B56F3C" w:rsidRDefault="00870908" w:rsidP="00C752D2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56F3C">
        <w:rPr>
          <w:rFonts w:ascii="Arial" w:hAnsi="Arial" w:cs="Arial"/>
          <w:sz w:val="22"/>
          <w:szCs w:val="22"/>
        </w:rPr>
        <w:t xml:space="preserve">Brandon, M., </w:t>
      </w:r>
      <w:proofErr w:type="spellStart"/>
      <w:r w:rsidRPr="00B56F3C">
        <w:rPr>
          <w:rFonts w:ascii="Arial" w:hAnsi="Arial" w:cs="Arial"/>
          <w:sz w:val="22"/>
          <w:szCs w:val="22"/>
        </w:rPr>
        <w:t>Sidebotham</w:t>
      </w:r>
      <w:proofErr w:type="spellEnd"/>
      <w:r w:rsidRPr="00B56F3C">
        <w:rPr>
          <w:rFonts w:ascii="Arial" w:hAnsi="Arial" w:cs="Arial"/>
          <w:sz w:val="22"/>
          <w:szCs w:val="22"/>
        </w:rPr>
        <w:t xml:space="preserve">, P., </w:t>
      </w:r>
      <w:proofErr w:type="spellStart"/>
      <w:r w:rsidRPr="00B56F3C">
        <w:rPr>
          <w:rFonts w:ascii="Arial" w:hAnsi="Arial" w:cs="Arial"/>
          <w:sz w:val="22"/>
          <w:szCs w:val="22"/>
        </w:rPr>
        <w:t>Belderson</w:t>
      </w:r>
      <w:proofErr w:type="spellEnd"/>
      <w:r w:rsidRPr="00B56F3C">
        <w:rPr>
          <w:rFonts w:ascii="Arial" w:hAnsi="Arial" w:cs="Arial"/>
          <w:sz w:val="22"/>
          <w:szCs w:val="22"/>
        </w:rPr>
        <w:t xml:space="preserve">, P., Cleaver, H., Dickens, J., </w:t>
      </w:r>
      <w:proofErr w:type="spellStart"/>
      <w:r w:rsidRPr="00B56F3C">
        <w:rPr>
          <w:rFonts w:ascii="Arial" w:hAnsi="Arial" w:cs="Arial"/>
          <w:sz w:val="22"/>
          <w:szCs w:val="22"/>
        </w:rPr>
        <w:t>Garstang</w:t>
      </w:r>
      <w:proofErr w:type="spellEnd"/>
      <w:r w:rsidRPr="00B56F3C">
        <w:rPr>
          <w:rFonts w:ascii="Arial" w:hAnsi="Arial" w:cs="Arial"/>
          <w:sz w:val="22"/>
          <w:szCs w:val="22"/>
        </w:rPr>
        <w:t xml:space="preserve">, J., Harris, J., Sorensen, P., and </w:t>
      </w:r>
      <w:proofErr w:type="spellStart"/>
      <w:r w:rsidRPr="00B56F3C">
        <w:rPr>
          <w:rFonts w:ascii="Arial" w:hAnsi="Arial" w:cs="Arial"/>
          <w:sz w:val="22"/>
          <w:szCs w:val="22"/>
        </w:rPr>
        <w:t>Wate</w:t>
      </w:r>
      <w:proofErr w:type="spellEnd"/>
      <w:r w:rsidRPr="00B56F3C">
        <w:rPr>
          <w:rFonts w:ascii="Arial" w:hAnsi="Arial" w:cs="Arial"/>
          <w:sz w:val="22"/>
          <w:szCs w:val="22"/>
        </w:rPr>
        <w:t xml:space="preserve">, R. (2020). </w:t>
      </w:r>
      <w:r w:rsidRPr="00B56F3C">
        <w:rPr>
          <w:rFonts w:ascii="Arial" w:hAnsi="Arial" w:cs="Arial"/>
          <w:i/>
          <w:sz w:val="22"/>
          <w:szCs w:val="22"/>
        </w:rPr>
        <w:t>Complexity and challenge: a triennial analysis of SCRs 2014-2017</w:t>
      </w:r>
      <w:r w:rsidRPr="00B56F3C">
        <w:rPr>
          <w:rFonts w:ascii="Arial" w:hAnsi="Arial" w:cs="Arial"/>
          <w:sz w:val="22"/>
          <w:szCs w:val="22"/>
        </w:rPr>
        <w:t xml:space="preserve">. Department for Education. Available at:  </w:t>
      </w:r>
      <w:hyperlink r:id="rId4" w:history="1">
        <w:r w:rsidRPr="00B56F3C">
          <w:rPr>
            <w:rStyle w:val="Hyperlink"/>
            <w:rFonts w:ascii="Arial" w:hAnsi="Arial" w:cs="Arial"/>
            <w:sz w:val="22"/>
            <w:szCs w:val="22"/>
          </w:rPr>
          <w:t>https://assets.publishing.service.gov.uk/government/uploads/system/uploads/attachment_data/file/869586/TRIENNIAL_SCR_REPORT_2014_to_2017.pdf</w:t>
        </w:r>
      </w:hyperlink>
      <w:r w:rsidRPr="00B56F3C">
        <w:rPr>
          <w:rFonts w:ascii="Arial" w:hAnsi="Arial" w:cs="Arial"/>
          <w:sz w:val="22"/>
          <w:szCs w:val="22"/>
        </w:rPr>
        <w:t xml:space="preserve"> (Accessed: 14 February 2026).</w:t>
      </w:r>
    </w:p>
    <w:p w:rsidR="00C26967" w:rsidRPr="00B56F3C" w:rsidRDefault="002A62A7" w:rsidP="00C752D2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56F3C">
        <w:rPr>
          <w:rFonts w:ascii="Arial" w:hAnsi="Arial" w:cs="Arial"/>
          <w:sz w:val="22"/>
          <w:szCs w:val="22"/>
        </w:rPr>
        <w:t>Buntin</w:t>
      </w:r>
      <w:r w:rsidR="003C0C6A">
        <w:rPr>
          <w:rFonts w:ascii="Arial" w:hAnsi="Arial" w:cs="Arial"/>
          <w:sz w:val="22"/>
          <w:szCs w:val="22"/>
        </w:rPr>
        <w:t>g, L., Webb, M.A. and Healy, J.</w:t>
      </w:r>
      <w:r w:rsidRPr="00B56F3C">
        <w:rPr>
          <w:rFonts w:ascii="Arial" w:hAnsi="Arial" w:cs="Arial"/>
          <w:sz w:val="22"/>
          <w:szCs w:val="22"/>
        </w:rPr>
        <w:t xml:space="preserve"> </w:t>
      </w:r>
      <w:r w:rsidR="003C0C6A">
        <w:rPr>
          <w:rFonts w:ascii="Arial" w:hAnsi="Arial" w:cs="Arial"/>
          <w:sz w:val="22"/>
          <w:szCs w:val="22"/>
        </w:rPr>
        <w:t>(</w:t>
      </w:r>
      <w:r w:rsidRPr="00B56F3C">
        <w:rPr>
          <w:rFonts w:ascii="Arial" w:hAnsi="Arial" w:cs="Arial"/>
          <w:sz w:val="22"/>
          <w:szCs w:val="22"/>
        </w:rPr>
        <w:t>2010</w:t>
      </w:r>
      <w:r w:rsidR="003C0C6A">
        <w:rPr>
          <w:rFonts w:ascii="Arial" w:hAnsi="Arial" w:cs="Arial"/>
          <w:sz w:val="22"/>
          <w:szCs w:val="22"/>
        </w:rPr>
        <w:t>)</w:t>
      </w:r>
      <w:r w:rsidRPr="00B56F3C">
        <w:rPr>
          <w:rFonts w:ascii="Arial" w:hAnsi="Arial" w:cs="Arial"/>
          <w:sz w:val="22"/>
          <w:szCs w:val="22"/>
        </w:rPr>
        <w:t xml:space="preserve">. ‘In two </w:t>
      </w:r>
      <w:proofErr w:type="gramStart"/>
      <w:r w:rsidRPr="00B56F3C">
        <w:rPr>
          <w:rFonts w:ascii="Arial" w:hAnsi="Arial" w:cs="Arial"/>
          <w:sz w:val="22"/>
          <w:szCs w:val="22"/>
        </w:rPr>
        <w:t>minds?—</w:t>
      </w:r>
      <w:proofErr w:type="gramEnd"/>
      <w:r w:rsidRPr="00B56F3C">
        <w:rPr>
          <w:rFonts w:ascii="Arial" w:hAnsi="Arial" w:cs="Arial"/>
          <w:sz w:val="22"/>
          <w:szCs w:val="22"/>
        </w:rPr>
        <w:t xml:space="preserve">parental attitudes toward physical punishment in the UK’, </w:t>
      </w:r>
      <w:r w:rsidRPr="00B56F3C">
        <w:rPr>
          <w:rFonts w:ascii="Arial" w:hAnsi="Arial" w:cs="Arial"/>
          <w:i/>
          <w:sz w:val="22"/>
          <w:szCs w:val="22"/>
        </w:rPr>
        <w:t>Children &amp; society</w:t>
      </w:r>
      <w:r w:rsidRPr="00B56F3C">
        <w:rPr>
          <w:rFonts w:ascii="Arial" w:hAnsi="Arial" w:cs="Arial"/>
          <w:sz w:val="22"/>
          <w:szCs w:val="22"/>
        </w:rPr>
        <w:t>, 24(5), pp.359-370</w:t>
      </w:r>
      <w:r w:rsidR="00C26967" w:rsidRPr="00B56F3C">
        <w:rPr>
          <w:rFonts w:ascii="Arial" w:hAnsi="Arial" w:cs="Arial"/>
          <w:sz w:val="22"/>
          <w:szCs w:val="22"/>
        </w:rPr>
        <w:t>.</w:t>
      </w:r>
    </w:p>
    <w:p w:rsidR="00870908" w:rsidRPr="00B56F3C" w:rsidRDefault="00870908" w:rsidP="00C752D2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proofErr w:type="spellStart"/>
      <w:r w:rsidRPr="00B56F3C">
        <w:rPr>
          <w:rFonts w:ascii="Arial" w:hAnsi="Arial" w:cs="Arial"/>
          <w:color w:val="212121"/>
          <w:sz w:val="22"/>
          <w:szCs w:val="22"/>
          <w:shd w:val="clear" w:color="auto" w:fill="FFFFFF"/>
        </w:rPr>
        <w:t>Felitti</w:t>
      </w:r>
      <w:proofErr w:type="spellEnd"/>
      <w:r w:rsidRPr="00B56F3C"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, V. J., </w:t>
      </w:r>
      <w:proofErr w:type="spellStart"/>
      <w:r w:rsidRPr="00B56F3C">
        <w:rPr>
          <w:rFonts w:ascii="Arial" w:hAnsi="Arial" w:cs="Arial"/>
          <w:color w:val="212121"/>
          <w:sz w:val="22"/>
          <w:szCs w:val="22"/>
          <w:shd w:val="clear" w:color="auto" w:fill="FFFFFF"/>
        </w:rPr>
        <w:t>Anda</w:t>
      </w:r>
      <w:proofErr w:type="spellEnd"/>
      <w:r w:rsidRPr="00B56F3C">
        <w:rPr>
          <w:rFonts w:ascii="Arial" w:hAnsi="Arial" w:cs="Arial"/>
          <w:color w:val="212121"/>
          <w:sz w:val="22"/>
          <w:szCs w:val="22"/>
          <w:shd w:val="clear" w:color="auto" w:fill="FFFFFF"/>
        </w:rPr>
        <w:t xml:space="preserve">, R. F., </w:t>
      </w:r>
      <w:proofErr w:type="spellStart"/>
      <w:r w:rsidRPr="00B56F3C">
        <w:rPr>
          <w:rFonts w:ascii="Arial" w:hAnsi="Arial" w:cs="Arial"/>
          <w:color w:val="212121"/>
          <w:sz w:val="22"/>
          <w:szCs w:val="22"/>
          <w:shd w:val="clear" w:color="auto" w:fill="FFFFFF"/>
        </w:rPr>
        <w:t>Nordenberg</w:t>
      </w:r>
      <w:proofErr w:type="spellEnd"/>
      <w:r w:rsidRPr="00B56F3C">
        <w:rPr>
          <w:rFonts w:ascii="Arial" w:hAnsi="Arial" w:cs="Arial"/>
          <w:color w:val="212121"/>
          <w:sz w:val="22"/>
          <w:szCs w:val="22"/>
          <w:shd w:val="clear" w:color="auto" w:fill="FFFFFF"/>
        </w:rPr>
        <w:t>, D., Williamson, D. F., Spitz, A. M., Edwards, V., Koss, M. P., and Marks, J. S. (1998). ‘Relationship of childhood abuse and household dysfunction to many of the leading causes of death in adults. The Adverse Childhood Experiences (ACE) Study’. </w:t>
      </w:r>
      <w:r w:rsidRPr="00B56F3C">
        <w:rPr>
          <w:rFonts w:ascii="Arial" w:hAnsi="Arial" w:cs="Arial"/>
          <w:i/>
          <w:iCs/>
          <w:color w:val="212121"/>
          <w:sz w:val="22"/>
          <w:szCs w:val="22"/>
          <w:shd w:val="clear" w:color="auto" w:fill="FFFFFF"/>
        </w:rPr>
        <w:t>American journal of preventive medicine</w:t>
      </w:r>
      <w:r w:rsidRPr="00B56F3C">
        <w:rPr>
          <w:rFonts w:ascii="Arial" w:hAnsi="Arial" w:cs="Arial"/>
          <w:color w:val="212121"/>
          <w:sz w:val="22"/>
          <w:szCs w:val="22"/>
          <w:shd w:val="clear" w:color="auto" w:fill="FFFFFF"/>
        </w:rPr>
        <w:t>, </w:t>
      </w:r>
      <w:r w:rsidRPr="00B56F3C">
        <w:rPr>
          <w:rFonts w:ascii="Arial" w:hAnsi="Arial" w:cs="Arial"/>
          <w:i/>
          <w:iCs/>
          <w:color w:val="212121"/>
          <w:sz w:val="22"/>
          <w:szCs w:val="22"/>
          <w:shd w:val="clear" w:color="auto" w:fill="FFFFFF"/>
        </w:rPr>
        <w:t>14</w:t>
      </w:r>
      <w:r w:rsidRPr="00B56F3C">
        <w:rPr>
          <w:rFonts w:ascii="Arial" w:hAnsi="Arial" w:cs="Arial"/>
          <w:color w:val="212121"/>
          <w:sz w:val="22"/>
          <w:szCs w:val="22"/>
          <w:shd w:val="clear" w:color="auto" w:fill="FFFFFF"/>
        </w:rPr>
        <w:t>(4), 245–258</w:t>
      </w:r>
      <w:r w:rsidRPr="00B56F3C">
        <w:rPr>
          <w:rFonts w:ascii="Arial" w:hAnsi="Arial" w:cs="Arial"/>
          <w:sz w:val="22"/>
          <w:szCs w:val="22"/>
        </w:rPr>
        <w:t>.</w:t>
      </w:r>
    </w:p>
    <w:p w:rsidR="003C0C6A" w:rsidRDefault="00870908" w:rsidP="00C752D2">
      <w:pPr>
        <w:pStyle w:val="NormalWeb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56F3C">
        <w:rPr>
          <w:rFonts w:ascii="Arial" w:hAnsi="Arial" w:cs="Arial"/>
          <w:sz w:val="22"/>
          <w:szCs w:val="22"/>
        </w:rPr>
        <w:t xml:space="preserve">HM Government (2023). </w:t>
      </w:r>
      <w:r w:rsidRPr="00B56F3C">
        <w:rPr>
          <w:rStyle w:val="Emphasis"/>
          <w:rFonts w:ascii="Arial" w:hAnsi="Arial" w:cs="Arial"/>
          <w:sz w:val="22"/>
          <w:szCs w:val="22"/>
        </w:rPr>
        <w:t>Working together to safeguard children 2023</w:t>
      </w:r>
      <w:r w:rsidRPr="00B56F3C">
        <w:rPr>
          <w:rFonts w:ascii="Arial" w:hAnsi="Arial" w:cs="Arial"/>
          <w:sz w:val="22"/>
          <w:szCs w:val="22"/>
        </w:rPr>
        <w:t xml:space="preserve">. Available at: </w:t>
      </w:r>
      <w:hyperlink r:id="rId5" w:history="1">
        <w:r w:rsidRPr="00B56F3C">
          <w:rPr>
            <w:rStyle w:val="Hyperlink"/>
            <w:rFonts w:ascii="Arial" w:hAnsi="Arial" w:cs="Arial"/>
            <w:sz w:val="22"/>
            <w:szCs w:val="22"/>
          </w:rPr>
          <w:t>https://assets.publishing.service.gov.uk/media/6849a7b67cba25f610c7db3f/Working_together_to_safeguard_children_2023_-_statutory_guidance.pdf</w:t>
        </w:r>
      </w:hyperlink>
      <w:r w:rsidRPr="00B56F3C">
        <w:rPr>
          <w:rFonts w:ascii="Arial" w:hAnsi="Arial" w:cs="Arial"/>
          <w:sz w:val="22"/>
          <w:szCs w:val="22"/>
        </w:rPr>
        <w:t xml:space="preserve"> (Accessed: 10 February 2026). </w:t>
      </w:r>
    </w:p>
    <w:p w:rsidR="00870908" w:rsidRPr="00B56F3C" w:rsidRDefault="00870908" w:rsidP="001503C5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lang w:eastAsia="en-GB"/>
        </w:rPr>
      </w:pPr>
      <w:r w:rsidRPr="00870908">
        <w:rPr>
          <w:rFonts w:ascii="Arial" w:eastAsia="Times New Roman" w:hAnsi="Arial" w:cs="Arial"/>
          <w:lang w:eastAsia="en-GB"/>
        </w:rPr>
        <w:t>HM Inspectorate of Constabulary and Fire &amp; Rescue Services (HMICFRS) (2018)</w:t>
      </w:r>
      <w:r w:rsidR="001503C5" w:rsidRPr="00B56F3C">
        <w:rPr>
          <w:rFonts w:ascii="Arial" w:eastAsia="Times New Roman" w:hAnsi="Arial" w:cs="Arial"/>
          <w:lang w:eastAsia="en-GB"/>
        </w:rPr>
        <w:t>.</w:t>
      </w:r>
      <w:r w:rsidRPr="00870908">
        <w:rPr>
          <w:rFonts w:ascii="Arial" w:eastAsia="Times New Roman" w:hAnsi="Arial" w:cs="Arial"/>
          <w:lang w:eastAsia="en-GB"/>
        </w:rPr>
        <w:t xml:space="preserve"> </w:t>
      </w:r>
      <w:r w:rsidR="001503C5" w:rsidRPr="00B56F3C">
        <w:rPr>
          <w:rFonts w:ascii="Arial" w:eastAsia="Times New Roman" w:hAnsi="Arial" w:cs="Arial"/>
          <w:i/>
          <w:iCs/>
          <w:lang w:eastAsia="en-GB"/>
        </w:rPr>
        <w:t>The police response to</w:t>
      </w:r>
      <w:r w:rsidR="001503C5" w:rsidRPr="00B56F3C">
        <w:rPr>
          <w:rFonts w:ascii="Arial" w:eastAsia="Times New Roman" w:hAnsi="Arial" w:cs="Arial"/>
          <w:i/>
          <w:iCs/>
          <w:lang w:eastAsia="en-GB"/>
        </w:rPr>
        <w:t xml:space="preserve"> </w:t>
      </w:r>
      <w:r w:rsidR="001503C5" w:rsidRPr="00B56F3C">
        <w:rPr>
          <w:rFonts w:ascii="Arial" w:eastAsia="Times New Roman" w:hAnsi="Arial" w:cs="Arial"/>
          <w:i/>
          <w:iCs/>
          <w:lang w:eastAsia="en-GB"/>
        </w:rPr>
        <w:t>domestic abuse</w:t>
      </w:r>
      <w:r w:rsidR="001503C5" w:rsidRPr="00B56F3C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gramStart"/>
      <w:r w:rsidR="001503C5" w:rsidRPr="00B56F3C">
        <w:rPr>
          <w:rFonts w:ascii="Arial" w:eastAsia="Times New Roman" w:hAnsi="Arial" w:cs="Arial"/>
          <w:i/>
          <w:iCs/>
          <w:lang w:eastAsia="en-GB"/>
        </w:rPr>
        <w:t>An</w:t>
      </w:r>
      <w:proofErr w:type="gramEnd"/>
      <w:r w:rsidR="001503C5" w:rsidRPr="00B56F3C">
        <w:rPr>
          <w:rFonts w:ascii="Arial" w:eastAsia="Times New Roman" w:hAnsi="Arial" w:cs="Arial"/>
          <w:i/>
          <w:iCs/>
          <w:lang w:eastAsia="en-GB"/>
        </w:rPr>
        <w:t xml:space="preserve"> update report</w:t>
      </w:r>
      <w:r w:rsidRPr="00870908">
        <w:rPr>
          <w:rFonts w:ascii="Arial" w:eastAsia="Times New Roman" w:hAnsi="Arial" w:cs="Arial"/>
          <w:lang w:eastAsia="en-GB"/>
        </w:rPr>
        <w:t>. London: HMICFRS.</w:t>
      </w:r>
      <w:r w:rsidR="001503C5" w:rsidRPr="00B56F3C">
        <w:rPr>
          <w:rFonts w:ascii="Arial" w:eastAsia="Times New Roman" w:hAnsi="Arial" w:cs="Arial"/>
          <w:lang w:eastAsia="en-GB"/>
        </w:rPr>
        <w:t xml:space="preserve"> Available at: </w:t>
      </w:r>
      <w:hyperlink r:id="rId6" w:history="1">
        <w:r w:rsidR="001503C5" w:rsidRPr="00B56F3C">
          <w:rPr>
            <w:rStyle w:val="Hyperlink"/>
            <w:rFonts w:ascii="Arial" w:eastAsia="Times New Roman" w:hAnsi="Arial" w:cs="Arial"/>
            <w:lang w:eastAsia="en-GB"/>
          </w:rPr>
          <w:t>https://assets-hmicfrs.justiceinspectorates.gov.uk/uploads/the-police-response-to-domestic-abuse-an-update-report.pdf</w:t>
        </w:r>
      </w:hyperlink>
      <w:r w:rsidR="001503C5" w:rsidRPr="00B56F3C">
        <w:rPr>
          <w:rFonts w:ascii="Arial" w:eastAsia="Times New Roman" w:hAnsi="Arial" w:cs="Arial"/>
          <w:lang w:eastAsia="en-GB"/>
        </w:rPr>
        <w:t xml:space="preserve"> (Accessed: 12 February 2026).</w:t>
      </w:r>
    </w:p>
    <w:p w:rsidR="00C26967" w:rsidRPr="00B56F3C" w:rsidRDefault="00730D2C" w:rsidP="00C752D2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lang w:eastAsia="en-GB"/>
        </w:rPr>
      </w:pPr>
      <w:r w:rsidRPr="00B56F3C">
        <w:rPr>
          <w:rFonts w:ascii="Arial" w:hAnsi="Arial" w:cs="Arial"/>
          <w:shd w:val="clear" w:color="auto" w:fill="FFFFFF"/>
        </w:rPr>
        <w:t xml:space="preserve">Robinson, A. L., </w:t>
      </w:r>
      <w:proofErr w:type="spellStart"/>
      <w:r w:rsidRPr="00B56F3C">
        <w:rPr>
          <w:rFonts w:ascii="Arial" w:hAnsi="Arial" w:cs="Arial"/>
          <w:shd w:val="clear" w:color="auto" w:fill="FFFFFF"/>
        </w:rPr>
        <w:t>Myhill</w:t>
      </w:r>
      <w:proofErr w:type="spellEnd"/>
      <w:r w:rsidRPr="00B56F3C">
        <w:rPr>
          <w:rFonts w:ascii="Arial" w:hAnsi="Arial" w:cs="Arial"/>
          <w:shd w:val="clear" w:color="auto" w:fill="FFFFFF"/>
        </w:rPr>
        <w:t>, A., and</w:t>
      </w:r>
      <w:r w:rsidRPr="00B56F3C">
        <w:rPr>
          <w:rFonts w:ascii="Arial" w:hAnsi="Arial" w:cs="Arial"/>
          <w:shd w:val="clear" w:color="auto" w:fill="FFFFFF"/>
        </w:rPr>
        <w:t xml:space="preserve"> Wire, J. (2017). </w:t>
      </w:r>
      <w:r w:rsidRPr="00B56F3C">
        <w:rPr>
          <w:rFonts w:ascii="Arial" w:hAnsi="Arial" w:cs="Arial"/>
          <w:shd w:val="clear" w:color="auto" w:fill="FFFFFF"/>
        </w:rPr>
        <w:t>‘</w:t>
      </w:r>
      <w:r w:rsidRPr="00B56F3C">
        <w:rPr>
          <w:rFonts w:ascii="Arial" w:hAnsi="Arial" w:cs="Arial"/>
          <w:shd w:val="clear" w:color="auto" w:fill="FFFFFF"/>
        </w:rPr>
        <w:t>Practitioner (</w:t>
      </w:r>
      <w:proofErr w:type="spellStart"/>
      <w:r w:rsidRPr="00B56F3C">
        <w:rPr>
          <w:rFonts w:ascii="Arial" w:hAnsi="Arial" w:cs="Arial"/>
          <w:shd w:val="clear" w:color="auto" w:fill="FFFFFF"/>
        </w:rPr>
        <w:t>mis</w:t>
      </w:r>
      <w:proofErr w:type="spellEnd"/>
      <w:r w:rsidRPr="00B56F3C">
        <w:rPr>
          <w:rFonts w:ascii="Arial" w:hAnsi="Arial" w:cs="Arial"/>
          <w:shd w:val="clear" w:color="auto" w:fill="FFFFFF"/>
        </w:rPr>
        <w:t>)understandings of coercive control in England and Wales</w:t>
      </w:r>
      <w:r w:rsidRPr="00B56F3C">
        <w:rPr>
          <w:rFonts w:ascii="Arial" w:hAnsi="Arial" w:cs="Arial"/>
          <w:shd w:val="clear" w:color="auto" w:fill="FFFFFF"/>
        </w:rPr>
        <w:t>’,</w:t>
      </w:r>
      <w:r w:rsidRPr="00B56F3C">
        <w:rPr>
          <w:rFonts w:ascii="Arial" w:hAnsi="Arial" w:cs="Arial"/>
          <w:shd w:val="clear" w:color="auto" w:fill="FFFFFF"/>
        </w:rPr>
        <w:t> </w:t>
      </w:r>
      <w:r w:rsidRPr="00B56F3C">
        <w:rPr>
          <w:rFonts w:ascii="Arial" w:hAnsi="Arial" w:cs="Arial"/>
          <w:i/>
          <w:iCs/>
          <w:shd w:val="clear" w:color="auto" w:fill="FFFFFF"/>
        </w:rPr>
        <w:t>Criminology &amp; Criminal Justice</w:t>
      </w:r>
      <w:r w:rsidRPr="00B56F3C">
        <w:rPr>
          <w:rFonts w:ascii="Arial" w:hAnsi="Arial" w:cs="Arial"/>
          <w:shd w:val="clear" w:color="auto" w:fill="FFFFFF"/>
        </w:rPr>
        <w:t>, </w:t>
      </w:r>
      <w:r w:rsidRPr="00B56F3C">
        <w:rPr>
          <w:rFonts w:ascii="Arial" w:hAnsi="Arial" w:cs="Arial"/>
          <w:i/>
          <w:iCs/>
          <w:shd w:val="clear" w:color="auto" w:fill="FFFFFF"/>
        </w:rPr>
        <w:t>18</w:t>
      </w:r>
      <w:r w:rsidRPr="00B56F3C">
        <w:rPr>
          <w:rFonts w:ascii="Arial" w:hAnsi="Arial" w:cs="Arial"/>
          <w:shd w:val="clear" w:color="auto" w:fill="FFFFFF"/>
        </w:rPr>
        <w:t>(1), 29-49.</w:t>
      </w:r>
    </w:p>
    <w:p w:rsidR="00CB4A33" w:rsidRPr="00B56F3C" w:rsidRDefault="00CB4A33" w:rsidP="00CB4A33">
      <w:pPr>
        <w:pStyle w:val="NormalWeb"/>
        <w:spacing w:line="360" w:lineRule="auto"/>
        <w:jc w:val="both"/>
        <w:rPr>
          <w:rFonts w:ascii="Arial" w:hAnsi="Arial" w:cs="Arial"/>
          <w:color w:val="1B1B1B"/>
          <w:sz w:val="22"/>
          <w:szCs w:val="22"/>
          <w:shd w:val="clear" w:color="auto" w:fill="FFFFFF"/>
        </w:rPr>
      </w:pPr>
      <w:r w:rsidRPr="00B56F3C">
        <w:rPr>
          <w:rFonts w:ascii="Arial" w:hAnsi="Arial" w:cs="Arial"/>
          <w:color w:val="1B1B1B"/>
          <w:sz w:val="22"/>
          <w:szCs w:val="22"/>
          <w:shd w:val="clear" w:color="auto" w:fill="FFFFFF"/>
        </w:rPr>
        <w:t xml:space="preserve">Shaw, M., and De Jong, M. (2012). ‘Child abuse and neglect: a major public health issue and the role of child and adolescent mental health services’. </w:t>
      </w:r>
      <w:r w:rsidRPr="00B56F3C">
        <w:rPr>
          <w:rFonts w:ascii="Arial" w:hAnsi="Arial" w:cs="Arial"/>
          <w:i/>
          <w:color w:val="1B1B1B"/>
          <w:sz w:val="22"/>
          <w:szCs w:val="22"/>
          <w:shd w:val="clear" w:color="auto" w:fill="FFFFFF"/>
        </w:rPr>
        <w:t>The Psychiatrist</w:t>
      </w:r>
      <w:r w:rsidRPr="00B56F3C">
        <w:rPr>
          <w:rFonts w:ascii="Arial" w:hAnsi="Arial" w:cs="Arial"/>
          <w:color w:val="1B1B1B"/>
          <w:sz w:val="22"/>
          <w:szCs w:val="22"/>
          <w:shd w:val="clear" w:color="auto" w:fill="FFFFFF"/>
        </w:rPr>
        <w:t>, 36(9), 321–325.</w:t>
      </w:r>
    </w:p>
    <w:sectPr w:rsidR="00CB4A33" w:rsidRPr="00B56F3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43C68"/>
    <w:rsid w:val="00143C68"/>
    <w:rsid w:val="001503C5"/>
    <w:rsid w:val="00171E0A"/>
    <w:rsid w:val="002A62A7"/>
    <w:rsid w:val="003C0C6A"/>
    <w:rsid w:val="00546036"/>
    <w:rsid w:val="00570FE0"/>
    <w:rsid w:val="00582B96"/>
    <w:rsid w:val="00695766"/>
    <w:rsid w:val="00730D2C"/>
    <w:rsid w:val="007948E0"/>
    <w:rsid w:val="00870908"/>
    <w:rsid w:val="008C4F59"/>
    <w:rsid w:val="00993100"/>
    <w:rsid w:val="00B56F3C"/>
    <w:rsid w:val="00C26967"/>
    <w:rsid w:val="00C752D2"/>
    <w:rsid w:val="00CB4A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74669A"/>
  <w15:chartTrackingRefBased/>
  <w15:docId w15:val="{8C8B7FED-745F-4850-BDB3-BB2003776D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008C4F59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4F59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paragraph" w:styleId="NormalWeb">
    <w:name w:val="Normal (Web)"/>
    <w:basedOn w:val="Normal"/>
    <w:uiPriority w:val="99"/>
    <w:unhideWhenUsed/>
    <w:rsid w:val="008C4F5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8C4F59"/>
    <w:rPr>
      <w:i/>
      <w:iCs/>
    </w:rPr>
  </w:style>
  <w:style w:type="character" w:styleId="Hyperlink">
    <w:name w:val="Hyperlink"/>
    <w:basedOn w:val="DefaultParagraphFont"/>
    <w:uiPriority w:val="99"/>
    <w:unhideWhenUsed/>
    <w:rsid w:val="00870908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87090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0580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230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assets-hmicfrs.justiceinspectorates.gov.uk/uploads/the-police-response-to-domestic-abuse-an-update-report.pdf" TargetMode="External"/><Relationship Id="rId5" Type="http://schemas.openxmlformats.org/officeDocument/2006/relationships/hyperlink" Target="https://assets.publishing.service.gov.uk/media/6849a7b67cba25f610c7db3f/Working_together_to_safeguard_children_2023_-_statutory_guidance.pdf" TargetMode="External"/><Relationship Id="rId4" Type="http://schemas.openxmlformats.org/officeDocument/2006/relationships/hyperlink" Target="https://assets.publishing.service.gov.uk/government/uploads/system/uploads/attachment_data/file/869586/TRIENNIAL_SCR_REPORT_2014_to_2017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2</Pages>
  <Words>411</Words>
  <Characters>2347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Sobia Khan</dc:creator>
  <cp:keywords/>
  <dc:description/>
  <cp:lastModifiedBy>hatif</cp:lastModifiedBy>
  <cp:revision>16</cp:revision>
  <dcterms:created xsi:type="dcterms:W3CDTF">2026-02-13T20:44:00Z</dcterms:created>
  <dcterms:modified xsi:type="dcterms:W3CDTF">2026-02-19T21:20:00Z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b5adfbdf-4f06-43bd-a127-d14fe706761a</vt:lpwstr>
  </property>
</Properties>
</file>